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52C882">
      <w:pPr>
        <w:spacing w:line="360" w:lineRule="auto"/>
        <w:ind w:right="-48" w:rightChars="-23"/>
        <w:jc w:val="center"/>
        <w:rPr>
          <w:rFonts w:hint="default" w:ascii="Times New Roman" w:hAnsi="Times New Roman" w:eastAsiaTheme="minorEastAsia"/>
          <w:b/>
          <w:spacing w:val="4"/>
          <w:w w:val="90"/>
          <w:sz w:val="52"/>
          <w:szCs w:val="52"/>
          <w:lang w:val="en-US" w:eastAsia="zh-CN"/>
        </w:rPr>
      </w:pPr>
      <w:bookmarkStart w:id="0" w:name="OLE_LINK30"/>
      <w:bookmarkStart w:id="1" w:name="OLE_LINK31"/>
      <w:r>
        <w:rPr>
          <w:rFonts w:hint="eastAsia" w:ascii="Times New Roman" w:hAnsi="Times New Roman"/>
          <w:b/>
          <w:spacing w:val="4"/>
          <w:w w:val="90"/>
          <w:sz w:val="52"/>
          <w:szCs w:val="52"/>
          <w:lang w:val="en-US" w:eastAsia="zh-CN"/>
        </w:rPr>
        <w:t>中国重汽集团泰安五岳专用汽车有限公司</w:t>
      </w:r>
    </w:p>
    <w:p w14:paraId="5D84BF48">
      <w:pPr>
        <w:spacing w:line="360" w:lineRule="auto"/>
        <w:ind w:right="-48" w:rightChars="-23"/>
        <w:jc w:val="center"/>
        <w:rPr>
          <w:rFonts w:ascii="Times New Roman" w:hAnsi="Times New Roman"/>
          <w:b/>
          <w:spacing w:val="4"/>
          <w:w w:val="90"/>
          <w:sz w:val="52"/>
          <w:szCs w:val="52"/>
        </w:rPr>
      </w:pPr>
      <w:r>
        <w:rPr>
          <w:rFonts w:hint="eastAsia" w:ascii="Times New Roman" w:hAnsi="Times New Roman"/>
          <w:b/>
          <w:spacing w:val="4"/>
          <w:w w:val="90"/>
          <w:sz w:val="52"/>
          <w:szCs w:val="52"/>
          <w:lang w:val="en-US" w:eastAsia="zh-CN"/>
        </w:rPr>
        <w:t>自卸车车箱抛丸清理设备项目</w:t>
      </w:r>
    </w:p>
    <w:p w14:paraId="720FB5C4">
      <w:pPr>
        <w:pStyle w:val="20"/>
      </w:pPr>
    </w:p>
    <w:p w14:paraId="17516664">
      <w:pPr>
        <w:pStyle w:val="20"/>
      </w:pPr>
    </w:p>
    <w:p w14:paraId="2DC44775">
      <w:pPr>
        <w:pStyle w:val="20"/>
      </w:pPr>
    </w:p>
    <w:p w14:paraId="49F673FA">
      <w:pPr>
        <w:jc w:val="right"/>
        <w:rPr>
          <w:rFonts w:ascii="Calibri" w:hAnsi="Calibri" w:eastAsia="宋体" w:cs="Times New Roman"/>
          <w:color w:val="000000"/>
          <w:sz w:val="28"/>
          <w:szCs w:val="28"/>
        </w:rPr>
      </w:pPr>
    </w:p>
    <w:p w14:paraId="342ABE51">
      <w:pPr>
        <w:jc w:val="center"/>
        <w:rPr>
          <w:rFonts w:ascii="黑体" w:hAnsi="宋体" w:eastAsia="黑体" w:cs="Times New Roman"/>
          <w:color w:val="000000"/>
          <w:sz w:val="72"/>
          <w:szCs w:val="72"/>
        </w:rPr>
      </w:pPr>
      <w:r>
        <w:rPr>
          <w:rFonts w:hint="eastAsia" w:ascii="黑体" w:hAnsi="宋体" w:eastAsia="黑体" w:cs="Times New Roman"/>
          <w:color w:val="000000"/>
          <w:sz w:val="72"/>
          <w:szCs w:val="72"/>
        </w:rPr>
        <w:t>招</w:t>
      </w:r>
    </w:p>
    <w:p w14:paraId="31B4705A">
      <w:pPr>
        <w:jc w:val="center"/>
        <w:rPr>
          <w:rFonts w:ascii="黑体" w:hAnsi="宋体" w:eastAsia="黑体" w:cs="Times New Roman"/>
          <w:color w:val="000000"/>
          <w:sz w:val="72"/>
          <w:szCs w:val="72"/>
        </w:rPr>
      </w:pPr>
    </w:p>
    <w:p w14:paraId="2A9FEDE4">
      <w:pPr>
        <w:jc w:val="center"/>
        <w:rPr>
          <w:rFonts w:ascii="黑体" w:hAnsi="宋体" w:eastAsia="黑体" w:cs="Times New Roman"/>
          <w:color w:val="000000"/>
          <w:sz w:val="72"/>
          <w:szCs w:val="72"/>
        </w:rPr>
      </w:pPr>
      <w:r>
        <w:rPr>
          <w:rFonts w:hint="eastAsia" w:ascii="黑体" w:hAnsi="宋体" w:eastAsia="黑体" w:cs="Times New Roman"/>
          <w:color w:val="000000"/>
          <w:sz w:val="72"/>
          <w:szCs w:val="72"/>
        </w:rPr>
        <w:t>标</w:t>
      </w:r>
    </w:p>
    <w:p w14:paraId="5875A4ED">
      <w:pPr>
        <w:jc w:val="center"/>
        <w:rPr>
          <w:rFonts w:ascii="黑体" w:hAnsi="宋体" w:eastAsia="黑体" w:cs="Times New Roman"/>
          <w:color w:val="000000"/>
          <w:sz w:val="72"/>
          <w:szCs w:val="72"/>
        </w:rPr>
      </w:pPr>
    </w:p>
    <w:p w14:paraId="6288B955">
      <w:pPr>
        <w:jc w:val="center"/>
        <w:rPr>
          <w:rFonts w:ascii="宋体" w:hAnsi="Calibri" w:eastAsia="宋体" w:cs="Times New Roman"/>
          <w:color w:val="000000"/>
          <w:sz w:val="28"/>
          <w:szCs w:val="28"/>
        </w:rPr>
      </w:pPr>
      <w:r>
        <w:rPr>
          <w:rFonts w:hint="eastAsia" w:ascii="黑体" w:hAnsi="宋体" w:eastAsia="黑体" w:cs="Times New Roman"/>
          <w:color w:val="000000"/>
          <w:sz w:val="72"/>
          <w:szCs w:val="72"/>
        </w:rPr>
        <w:t>书</w:t>
      </w:r>
    </w:p>
    <w:p w14:paraId="718A6A51">
      <w:pPr>
        <w:spacing w:line="860" w:lineRule="exact"/>
        <w:rPr>
          <w:rFonts w:ascii="华文仿宋" w:hAnsi="华文仿宋" w:eastAsia="华文仿宋"/>
          <w:b/>
          <w:bCs/>
          <w:sz w:val="32"/>
          <w:szCs w:val="28"/>
        </w:rPr>
      </w:pPr>
      <w:r>
        <w:rPr>
          <w:rFonts w:hint="eastAsia" w:ascii="华文仿宋" w:hAnsi="华文仿宋" w:eastAsia="华文仿宋"/>
          <w:sz w:val="32"/>
          <w:szCs w:val="28"/>
        </w:rPr>
        <w:t xml:space="preserve">                </w:t>
      </w:r>
      <w:r>
        <w:rPr>
          <w:rFonts w:hint="eastAsia" w:ascii="华文仿宋" w:hAnsi="华文仿宋" w:eastAsia="华文仿宋"/>
          <w:b/>
          <w:bCs/>
          <w:sz w:val="32"/>
          <w:szCs w:val="28"/>
        </w:rPr>
        <w:t xml:space="preserve"> </w:t>
      </w:r>
    </w:p>
    <w:p w14:paraId="1B54ACB4">
      <w:pPr>
        <w:spacing w:line="860" w:lineRule="exact"/>
        <w:rPr>
          <w:rFonts w:ascii="华文仿宋" w:hAnsi="华文仿宋" w:eastAsia="华文仿宋"/>
          <w:b/>
          <w:bCs/>
          <w:sz w:val="32"/>
          <w:szCs w:val="28"/>
        </w:rPr>
      </w:pPr>
      <w:r>
        <w:rPr>
          <w:rFonts w:hint="eastAsia" w:ascii="华文仿宋" w:hAnsi="华文仿宋" w:eastAsia="华文仿宋"/>
          <w:b/>
          <w:bCs/>
          <w:sz w:val="32"/>
          <w:szCs w:val="28"/>
        </w:rPr>
        <w:t xml:space="preserve"> </w:t>
      </w:r>
    </w:p>
    <w:p w14:paraId="0DF049FB">
      <w:pPr>
        <w:pStyle w:val="20"/>
        <w:rPr>
          <w:b/>
          <w:bCs/>
        </w:rPr>
      </w:pPr>
    </w:p>
    <w:p w14:paraId="5EE23681">
      <w:pPr>
        <w:jc w:val="center"/>
        <w:rPr>
          <w:rFonts w:hint="default" w:ascii="宋体" w:hAnsi="宋体" w:eastAsia="宋体" w:cs="Times New Roman"/>
          <w:color w:val="000000"/>
          <w:sz w:val="28"/>
          <w:szCs w:val="28"/>
          <w:lang w:val="en-US" w:eastAsia="zh-CN"/>
        </w:rPr>
      </w:pPr>
      <w:r>
        <w:rPr>
          <w:rFonts w:hint="eastAsia" w:ascii="宋体" w:hAnsi="宋体" w:eastAsia="宋体" w:cs="Times New Roman"/>
          <w:color w:val="000000"/>
          <w:sz w:val="28"/>
          <w:szCs w:val="28"/>
        </w:rPr>
        <w:t>招</w:t>
      </w:r>
      <w:r>
        <w:rPr>
          <w:rFonts w:ascii="宋体" w:hAnsi="宋体" w:eastAsia="宋体" w:cs="Times New Roman"/>
          <w:color w:val="000000"/>
          <w:sz w:val="28"/>
          <w:szCs w:val="28"/>
        </w:rPr>
        <w:t xml:space="preserve"> </w:t>
      </w:r>
      <w:r>
        <w:rPr>
          <w:rFonts w:hint="eastAsia" w:ascii="宋体" w:hAnsi="宋体" w:eastAsia="宋体" w:cs="Times New Roman"/>
          <w:color w:val="000000"/>
          <w:sz w:val="28"/>
          <w:szCs w:val="28"/>
        </w:rPr>
        <w:t>标</w:t>
      </w:r>
      <w:r>
        <w:rPr>
          <w:rFonts w:ascii="宋体" w:hAnsi="宋体" w:eastAsia="宋体" w:cs="Times New Roman"/>
          <w:color w:val="000000"/>
          <w:sz w:val="28"/>
          <w:szCs w:val="28"/>
        </w:rPr>
        <w:t xml:space="preserve"> </w:t>
      </w:r>
      <w:r>
        <w:rPr>
          <w:rFonts w:hint="eastAsia" w:ascii="宋体" w:hAnsi="宋体" w:eastAsia="宋体" w:cs="Times New Roman"/>
          <w:color w:val="000000"/>
          <w:sz w:val="28"/>
          <w:szCs w:val="28"/>
        </w:rPr>
        <w:t>人：中国重汽集团</w:t>
      </w:r>
      <w:r>
        <w:rPr>
          <w:rFonts w:hint="eastAsia" w:ascii="宋体" w:hAnsi="宋体" w:eastAsia="宋体" w:cs="Times New Roman"/>
          <w:color w:val="000000"/>
          <w:sz w:val="28"/>
          <w:szCs w:val="28"/>
          <w:lang w:val="en-US" w:eastAsia="zh-CN"/>
        </w:rPr>
        <w:t>泰安五岳专用汽车有限公司</w:t>
      </w:r>
    </w:p>
    <w:p w14:paraId="087903D9">
      <w:pPr>
        <w:jc w:val="center"/>
        <w:rPr>
          <w:rFonts w:ascii="宋体" w:hAnsi="Calibri" w:eastAsia="宋体" w:cs="Times New Roman"/>
          <w:color w:val="000000"/>
          <w:sz w:val="28"/>
          <w:szCs w:val="28"/>
        </w:rPr>
      </w:pPr>
      <w:r>
        <w:rPr>
          <w:rFonts w:hint="eastAsia" w:ascii="Calibri" w:hAnsi="Calibri" w:eastAsia="宋体" w:cs="Times New Roman"/>
          <w:color w:val="000000"/>
          <w:sz w:val="28"/>
          <w:szCs w:val="28"/>
        </w:rPr>
        <w:t>2026年0</w:t>
      </w:r>
      <w:r>
        <w:rPr>
          <w:rFonts w:hint="eastAsia" w:ascii="Calibri" w:hAnsi="Calibri" w:eastAsia="宋体" w:cs="Times New Roman"/>
          <w:color w:val="000000"/>
          <w:sz w:val="28"/>
          <w:szCs w:val="28"/>
          <w:lang w:val="en-US" w:eastAsia="zh-CN"/>
        </w:rPr>
        <w:t>9</w:t>
      </w:r>
      <w:r>
        <w:rPr>
          <w:rFonts w:hint="eastAsia" w:ascii="Calibri" w:hAnsi="Calibri" w:eastAsia="宋体" w:cs="Times New Roman"/>
          <w:color w:val="000000"/>
          <w:sz w:val="28"/>
          <w:szCs w:val="28"/>
        </w:rPr>
        <w:t>月</w:t>
      </w:r>
    </w:p>
    <w:p w14:paraId="77718A07">
      <w:pPr>
        <w:keepNext/>
        <w:keepLines/>
        <w:jc w:val="center"/>
        <w:rPr>
          <w:rFonts w:ascii="Calibri" w:hAnsi="Calibri" w:eastAsia="宋体" w:cs="Times New Roman"/>
          <w:b/>
          <w:bCs/>
          <w:kern w:val="44"/>
          <w:sz w:val="36"/>
          <w:szCs w:val="44"/>
        </w:rPr>
        <w:sectPr>
          <w:footerReference r:id="rId4" w:type="first"/>
          <w:footerReference r:id="rId3" w:type="default"/>
          <w:pgSz w:w="11906" w:h="16838"/>
          <w:pgMar w:top="1588" w:right="1418" w:bottom="1134" w:left="1418" w:header="851" w:footer="992" w:gutter="0"/>
          <w:cols w:space="720" w:num="1"/>
          <w:titlePg/>
          <w:docGrid w:type="lines" w:linePitch="312" w:charSpace="0"/>
        </w:sectPr>
      </w:pPr>
    </w:p>
    <w:sdt>
      <w:sdtPr>
        <w:rPr>
          <w:rFonts w:ascii="宋体" w:hAnsi="宋体" w:eastAsia="宋体" w:cs="宋体"/>
          <w:b/>
          <w:bCs/>
          <w:sz w:val="48"/>
          <w:szCs w:val="48"/>
        </w:rPr>
        <w:id w:val="147459055"/>
        <w:docPartObj>
          <w:docPartGallery w:val="Table of Contents"/>
          <w:docPartUnique/>
        </w:docPartObj>
      </w:sdtPr>
      <w:sdtEndPr>
        <w:rPr>
          <w:rFonts w:hint="eastAsia" w:ascii="Calibri" w:hAnsi="Calibri" w:eastAsia="宋体" w:cs="Times New Roman"/>
          <w:b/>
          <w:bCs/>
          <w:kern w:val="44"/>
          <w:sz w:val="21"/>
          <w:szCs w:val="44"/>
        </w:rPr>
      </w:sdtEndPr>
      <w:sdtContent>
        <w:p w14:paraId="280A847A">
          <w:pPr>
            <w:spacing w:line="480" w:lineRule="auto"/>
            <w:jc w:val="center"/>
            <w:rPr>
              <w:rFonts w:cs="宋体"/>
              <w:b/>
              <w:bCs/>
              <w:sz w:val="48"/>
              <w:szCs w:val="48"/>
            </w:rPr>
          </w:pPr>
          <w:r>
            <w:rPr>
              <w:rFonts w:ascii="宋体" w:hAnsi="宋体" w:eastAsia="宋体" w:cs="宋体"/>
              <w:b/>
              <w:bCs/>
              <w:sz w:val="48"/>
              <w:szCs w:val="48"/>
            </w:rPr>
            <w:t>目录</w:t>
          </w:r>
        </w:p>
        <w:p w14:paraId="6C3AF9E7">
          <w:pPr>
            <w:pStyle w:val="27"/>
            <w:tabs>
              <w:tab w:val="right" w:leader="dot" w:pos="9061"/>
            </w:tabs>
            <w:rPr>
              <w:rFonts w:asciiTheme="minorHAnsi" w:hAnsiTheme="minorHAnsi" w:eastAsiaTheme="minorEastAsia" w:cstheme="minorBidi"/>
              <w:b w:val="0"/>
              <w:caps w:val="0"/>
              <w:color w:val="auto"/>
              <w:sz w:val="28"/>
              <w:szCs w:val="22"/>
            </w:rPr>
          </w:pPr>
          <w:r>
            <w:rPr>
              <w:rFonts w:hint="eastAsia" w:ascii="Calibri" w:hAnsi="Calibri"/>
              <w:bCs/>
              <w:color w:val="auto"/>
              <w:kern w:val="44"/>
              <w:sz w:val="48"/>
              <w:szCs w:val="44"/>
            </w:rPr>
            <w:fldChar w:fldCharType="begin"/>
          </w:r>
          <w:r>
            <w:rPr>
              <w:rFonts w:hint="eastAsia" w:ascii="Calibri" w:hAnsi="Calibri"/>
              <w:bCs/>
              <w:color w:val="auto"/>
              <w:kern w:val="44"/>
              <w:sz w:val="48"/>
              <w:szCs w:val="44"/>
            </w:rPr>
            <w:instrText xml:space="preserve">TOC \o "1-1" \h \u </w:instrText>
          </w:r>
          <w:r>
            <w:rPr>
              <w:rFonts w:hint="eastAsia" w:ascii="Calibri" w:hAnsi="Calibri"/>
              <w:bCs/>
              <w:color w:val="auto"/>
              <w:kern w:val="44"/>
              <w:sz w:val="48"/>
              <w:szCs w:val="44"/>
            </w:rPr>
            <w:fldChar w:fldCharType="separate"/>
          </w:r>
          <w:r>
            <w:fldChar w:fldCharType="begin"/>
          </w:r>
          <w:r>
            <w:instrText xml:space="preserve"> HYPERLINK \l "_Toc234572370" </w:instrText>
          </w:r>
          <w:r>
            <w:fldChar w:fldCharType="separate"/>
          </w:r>
          <w:r>
            <w:rPr>
              <w:rStyle w:val="50"/>
              <w:rFonts w:eastAsia="黑体"/>
              <w:bCs/>
              <w:color w:val="auto"/>
              <w:kern w:val="44"/>
              <w:sz w:val="28"/>
            </w:rPr>
            <w:t>第一部分 投标邀请函</w:t>
          </w:r>
          <w:r>
            <w:rPr>
              <w:color w:val="auto"/>
              <w:sz w:val="28"/>
            </w:rPr>
            <w:tab/>
          </w:r>
          <w:r>
            <w:rPr>
              <w:color w:val="auto"/>
              <w:sz w:val="28"/>
            </w:rPr>
            <w:fldChar w:fldCharType="begin"/>
          </w:r>
          <w:r>
            <w:rPr>
              <w:color w:val="auto"/>
              <w:sz w:val="28"/>
            </w:rPr>
            <w:instrText xml:space="preserve"> PAGEREF _Toc234572370 \h </w:instrText>
          </w:r>
          <w:r>
            <w:rPr>
              <w:color w:val="auto"/>
              <w:sz w:val="28"/>
            </w:rPr>
            <w:fldChar w:fldCharType="separate"/>
          </w:r>
          <w:r>
            <w:rPr>
              <w:color w:val="auto"/>
              <w:sz w:val="28"/>
            </w:rPr>
            <w:t>3</w:t>
          </w:r>
          <w:r>
            <w:rPr>
              <w:color w:val="auto"/>
              <w:sz w:val="28"/>
            </w:rPr>
            <w:fldChar w:fldCharType="end"/>
          </w:r>
          <w:r>
            <w:rPr>
              <w:color w:val="auto"/>
              <w:sz w:val="28"/>
            </w:rPr>
            <w:fldChar w:fldCharType="end"/>
          </w:r>
        </w:p>
        <w:p w14:paraId="120D7CC6">
          <w:pPr>
            <w:pStyle w:val="27"/>
            <w:tabs>
              <w:tab w:val="right" w:leader="dot" w:pos="9061"/>
            </w:tabs>
            <w:rPr>
              <w:rFonts w:asciiTheme="minorHAnsi" w:hAnsiTheme="minorHAnsi" w:eastAsiaTheme="minorEastAsia" w:cstheme="minorBidi"/>
              <w:b w:val="0"/>
              <w:caps w:val="0"/>
              <w:color w:val="auto"/>
              <w:sz w:val="28"/>
              <w:szCs w:val="22"/>
            </w:rPr>
          </w:pPr>
          <w:r>
            <w:fldChar w:fldCharType="begin"/>
          </w:r>
          <w:r>
            <w:instrText xml:space="preserve"> HYPERLINK \l "_Toc234572371" </w:instrText>
          </w:r>
          <w:r>
            <w:fldChar w:fldCharType="separate"/>
          </w:r>
          <w:r>
            <w:rPr>
              <w:rStyle w:val="50"/>
              <w:rFonts w:eastAsia="黑体"/>
              <w:bCs/>
              <w:color w:val="auto"/>
              <w:kern w:val="44"/>
              <w:sz w:val="28"/>
            </w:rPr>
            <w:t>第二部分 投标须知前附表</w:t>
          </w:r>
          <w:r>
            <w:rPr>
              <w:color w:val="auto"/>
              <w:sz w:val="28"/>
            </w:rPr>
            <w:tab/>
          </w:r>
          <w:r>
            <w:rPr>
              <w:color w:val="auto"/>
              <w:sz w:val="28"/>
            </w:rPr>
            <w:fldChar w:fldCharType="begin"/>
          </w:r>
          <w:r>
            <w:rPr>
              <w:color w:val="auto"/>
              <w:sz w:val="28"/>
            </w:rPr>
            <w:instrText xml:space="preserve"> PAGEREF _Toc234572371 \h </w:instrText>
          </w:r>
          <w:r>
            <w:rPr>
              <w:color w:val="auto"/>
              <w:sz w:val="28"/>
            </w:rPr>
            <w:fldChar w:fldCharType="separate"/>
          </w:r>
          <w:r>
            <w:rPr>
              <w:color w:val="auto"/>
              <w:sz w:val="28"/>
            </w:rPr>
            <w:t>4</w:t>
          </w:r>
          <w:r>
            <w:rPr>
              <w:color w:val="auto"/>
              <w:sz w:val="28"/>
            </w:rPr>
            <w:fldChar w:fldCharType="end"/>
          </w:r>
          <w:r>
            <w:rPr>
              <w:color w:val="auto"/>
              <w:sz w:val="28"/>
            </w:rPr>
            <w:fldChar w:fldCharType="end"/>
          </w:r>
        </w:p>
        <w:p w14:paraId="004FF47E">
          <w:pPr>
            <w:pStyle w:val="27"/>
            <w:tabs>
              <w:tab w:val="right" w:leader="dot" w:pos="9061"/>
            </w:tabs>
            <w:rPr>
              <w:rFonts w:hint="eastAsia" w:eastAsia="宋体" w:asciiTheme="minorHAnsi" w:hAnsiTheme="minorHAnsi" w:cstheme="minorBidi"/>
              <w:b w:val="0"/>
              <w:caps w:val="0"/>
              <w:color w:val="auto"/>
              <w:sz w:val="28"/>
              <w:szCs w:val="22"/>
              <w:lang w:val="en-US" w:eastAsia="zh-CN"/>
            </w:rPr>
          </w:pPr>
          <w:r>
            <w:fldChar w:fldCharType="begin"/>
          </w:r>
          <w:r>
            <w:instrText xml:space="preserve"> HYPERLINK \l "_Toc234572372" </w:instrText>
          </w:r>
          <w:r>
            <w:fldChar w:fldCharType="separate"/>
          </w:r>
          <w:r>
            <w:rPr>
              <w:rStyle w:val="50"/>
              <w:rFonts w:eastAsia="黑体"/>
              <w:bCs/>
              <w:color w:val="auto"/>
              <w:kern w:val="44"/>
              <w:sz w:val="28"/>
            </w:rPr>
            <w:t>第三部分 投标须知</w:t>
          </w:r>
          <w:r>
            <w:rPr>
              <w:color w:val="auto"/>
              <w:sz w:val="28"/>
            </w:rPr>
            <w:tab/>
          </w:r>
          <w:r>
            <w:rPr>
              <w:rFonts w:hint="eastAsia"/>
              <w:color w:val="auto"/>
              <w:sz w:val="28"/>
              <w:lang w:val="en-US" w:eastAsia="zh-CN"/>
            </w:rPr>
            <w:t>1</w:t>
          </w:r>
          <w:r>
            <w:rPr>
              <w:color w:val="auto"/>
              <w:sz w:val="28"/>
            </w:rPr>
            <w:fldChar w:fldCharType="end"/>
          </w:r>
          <w:r>
            <w:rPr>
              <w:rFonts w:hint="eastAsia"/>
              <w:color w:val="auto"/>
              <w:sz w:val="28"/>
              <w:lang w:val="en-US" w:eastAsia="zh-CN"/>
            </w:rPr>
            <w:t>0</w:t>
          </w:r>
        </w:p>
        <w:p w14:paraId="433CA645">
          <w:pPr>
            <w:pStyle w:val="27"/>
            <w:tabs>
              <w:tab w:val="right" w:leader="dot" w:pos="9061"/>
            </w:tabs>
            <w:rPr>
              <w:rFonts w:hint="eastAsia" w:eastAsia="宋体" w:asciiTheme="minorHAnsi" w:hAnsiTheme="minorHAnsi" w:cstheme="minorBidi"/>
              <w:b w:val="0"/>
              <w:caps w:val="0"/>
              <w:color w:val="auto"/>
              <w:sz w:val="28"/>
              <w:szCs w:val="22"/>
              <w:lang w:val="en-US" w:eastAsia="zh-CN"/>
            </w:rPr>
          </w:pPr>
          <w:r>
            <w:fldChar w:fldCharType="begin"/>
          </w:r>
          <w:r>
            <w:instrText xml:space="preserve"> HYPERLINK \l "_Toc234572373" </w:instrText>
          </w:r>
          <w:r>
            <w:fldChar w:fldCharType="separate"/>
          </w:r>
          <w:r>
            <w:rPr>
              <w:rStyle w:val="50"/>
              <w:rFonts w:eastAsia="黑体"/>
              <w:bCs/>
              <w:color w:val="auto"/>
              <w:kern w:val="44"/>
              <w:sz w:val="28"/>
            </w:rPr>
            <w:t>第四部分 投标文件编制</w:t>
          </w:r>
          <w:r>
            <w:rPr>
              <w:color w:val="auto"/>
              <w:sz w:val="28"/>
            </w:rPr>
            <w:tab/>
          </w:r>
          <w:r>
            <w:rPr>
              <w:rFonts w:hint="eastAsia"/>
              <w:color w:val="auto"/>
              <w:sz w:val="28"/>
              <w:lang w:val="en-US" w:eastAsia="zh-CN"/>
            </w:rPr>
            <w:t>1</w:t>
          </w:r>
          <w:r>
            <w:rPr>
              <w:color w:val="auto"/>
              <w:sz w:val="28"/>
            </w:rPr>
            <w:fldChar w:fldCharType="end"/>
          </w:r>
          <w:r>
            <w:rPr>
              <w:rFonts w:hint="eastAsia"/>
              <w:color w:val="auto"/>
              <w:sz w:val="28"/>
              <w:lang w:val="en-US" w:eastAsia="zh-CN"/>
            </w:rPr>
            <w:t>6</w:t>
          </w:r>
        </w:p>
        <w:p w14:paraId="02D22135">
          <w:pPr>
            <w:pStyle w:val="27"/>
            <w:tabs>
              <w:tab w:val="right" w:leader="dot" w:pos="9061"/>
            </w:tabs>
            <w:rPr>
              <w:rFonts w:hint="eastAsia" w:eastAsia="宋体" w:asciiTheme="minorHAnsi" w:hAnsiTheme="minorHAnsi" w:cstheme="minorBidi"/>
              <w:b w:val="0"/>
              <w:caps w:val="0"/>
              <w:color w:val="auto"/>
              <w:sz w:val="28"/>
              <w:szCs w:val="22"/>
              <w:lang w:val="en-US" w:eastAsia="zh-CN"/>
            </w:rPr>
          </w:pPr>
          <w:r>
            <w:fldChar w:fldCharType="begin"/>
          </w:r>
          <w:r>
            <w:instrText xml:space="preserve"> HYPERLINK \l "_Toc234572374" </w:instrText>
          </w:r>
          <w:r>
            <w:fldChar w:fldCharType="separate"/>
          </w:r>
          <w:r>
            <w:rPr>
              <w:rStyle w:val="50"/>
              <w:rFonts w:eastAsia="黑体"/>
              <w:bCs/>
              <w:color w:val="auto"/>
              <w:kern w:val="44"/>
              <w:sz w:val="28"/>
              <w:szCs w:val="22"/>
            </w:rPr>
            <w:t>第五部分 技术标书</w:t>
          </w:r>
          <w:r>
            <w:rPr>
              <w:color w:val="auto"/>
              <w:sz w:val="28"/>
            </w:rPr>
            <w:tab/>
          </w:r>
          <w:r>
            <w:rPr>
              <w:rFonts w:hint="eastAsia"/>
              <w:color w:val="auto"/>
              <w:sz w:val="28"/>
              <w:lang w:val="en-US" w:eastAsia="zh-CN"/>
            </w:rPr>
            <w:t>1</w:t>
          </w:r>
          <w:r>
            <w:rPr>
              <w:color w:val="auto"/>
              <w:sz w:val="28"/>
            </w:rPr>
            <w:fldChar w:fldCharType="end"/>
          </w:r>
          <w:r>
            <w:rPr>
              <w:rFonts w:hint="eastAsia"/>
              <w:color w:val="auto"/>
              <w:sz w:val="28"/>
              <w:lang w:val="en-US" w:eastAsia="zh-CN"/>
            </w:rPr>
            <w:t>9</w:t>
          </w:r>
        </w:p>
        <w:p w14:paraId="60EFD861">
          <w:pPr>
            <w:pStyle w:val="27"/>
            <w:tabs>
              <w:tab w:val="right" w:leader="dot" w:pos="9061"/>
            </w:tabs>
            <w:rPr>
              <w:rFonts w:asciiTheme="minorHAnsi" w:hAnsiTheme="minorHAnsi" w:eastAsiaTheme="minorEastAsia" w:cstheme="minorBidi"/>
              <w:b w:val="0"/>
              <w:caps w:val="0"/>
              <w:color w:val="auto"/>
              <w:sz w:val="28"/>
              <w:szCs w:val="22"/>
            </w:rPr>
          </w:pPr>
          <w:r>
            <w:fldChar w:fldCharType="begin"/>
          </w:r>
          <w:r>
            <w:instrText xml:space="preserve"> HYPERLINK \l "_Toc234572375" </w:instrText>
          </w:r>
          <w:r>
            <w:fldChar w:fldCharType="separate"/>
          </w:r>
          <w:r>
            <w:rPr>
              <w:rStyle w:val="50"/>
              <w:rFonts w:eastAsia="黑体"/>
              <w:bCs/>
              <w:color w:val="auto"/>
              <w:kern w:val="44"/>
              <w:sz w:val="28"/>
              <w:szCs w:val="22"/>
            </w:rPr>
            <w:t>第六部分 设备采购合同</w:t>
          </w:r>
          <w:r>
            <w:rPr>
              <w:color w:val="auto"/>
              <w:sz w:val="28"/>
            </w:rPr>
            <w:tab/>
          </w:r>
          <w:r>
            <w:rPr>
              <w:rFonts w:hint="eastAsia"/>
              <w:color w:val="auto"/>
              <w:sz w:val="28"/>
              <w:lang w:val="en-US" w:eastAsia="zh-CN"/>
            </w:rPr>
            <w:t>32</w:t>
          </w:r>
          <w:r>
            <w:rPr>
              <w:color w:val="auto"/>
              <w:sz w:val="28"/>
            </w:rPr>
            <w:fldChar w:fldCharType="end"/>
          </w:r>
        </w:p>
        <w:p w14:paraId="69B199DB">
          <w:pPr>
            <w:pStyle w:val="27"/>
            <w:tabs>
              <w:tab w:val="right" w:leader="dot" w:pos="9061"/>
            </w:tabs>
            <w:rPr>
              <w:rFonts w:hint="eastAsia" w:eastAsia="宋体" w:asciiTheme="minorHAnsi" w:hAnsiTheme="minorHAnsi" w:cstheme="minorBidi"/>
              <w:b w:val="0"/>
              <w:caps w:val="0"/>
              <w:color w:val="auto"/>
              <w:sz w:val="28"/>
              <w:szCs w:val="22"/>
              <w:lang w:val="en-US" w:eastAsia="zh-CN"/>
            </w:rPr>
          </w:pPr>
          <w:r>
            <w:fldChar w:fldCharType="begin"/>
          </w:r>
          <w:r>
            <w:instrText xml:space="preserve"> HYPERLINK \l "_Toc234572376" </w:instrText>
          </w:r>
          <w:r>
            <w:fldChar w:fldCharType="separate"/>
          </w:r>
          <w:r>
            <w:rPr>
              <w:rStyle w:val="50"/>
              <w:rFonts w:eastAsia="黑体"/>
              <w:bCs/>
              <w:color w:val="auto"/>
              <w:kern w:val="44"/>
              <w:sz w:val="28"/>
              <w:szCs w:val="22"/>
            </w:rPr>
            <w:t>第七部分 投标文件附件</w:t>
          </w:r>
          <w:r>
            <w:rPr>
              <w:color w:val="auto"/>
              <w:sz w:val="28"/>
            </w:rPr>
            <w:tab/>
          </w:r>
          <w:r>
            <w:rPr>
              <w:rFonts w:hint="eastAsia"/>
              <w:color w:val="auto"/>
              <w:sz w:val="28"/>
              <w:lang w:val="en-US" w:eastAsia="zh-CN"/>
            </w:rPr>
            <w:t>4</w:t>
          </w:r>
          <w:r>
            <w:rPr>
              <w:color w:val="auto"/>
              <w:sz w:val="28"/>
            </w:rPr>
            <w:fldChar w:fldCharType="end"/>
          </w:r>
          <w:r>
            <w:rPr>
              <w:rFonts w:hint="eastAsia"/>
              <w:color w:val="auto"/>
              <w:sz w:val="28"/>
              <w:lang w:val="en-US" w:eastAsia="zh-CN"/>
            </w:rPr>
            <w:t>0</w:t>
          </w:r>
        </w:p>
        <w:p w14:paraId="42F18A82">
          <w:pPr>
            <w:pStyle w:val="20"/>
            <w:spacing w:line="480" w:lineRule="auto"/>
            <w:jc w:val="center"/>
            <w:rPr>
              <w:rFonts w:ascii="Calibri" w:hAnsi="Calibri" w:eastAsia="宋体" w:cs="Times New Roman"/>
              <w:b/>
              <w:bCs/>
              <w:kern w:val="44"/>
              <w:sz w:val="36"/>
              <w:szCs w:val="44"/>
            </w:rPr>
            <w:sectPr>
              <w:headerReference r:id="rId5" w:type="default"/>
              <w:footerReference r:id="rId6" w:type="default"/>
              <w:pgSz w:w="11907" w:h="16840"/>
              <w:pgMar w:top="1304" w:right="1418" w:bottom="1304" w:left="1418" w:header="724" w:footer="851" w:gutter="0"/>
              <w:cols w:space="720" w:num="1"/>
              <w:docGrid w:linePitch="290" w:charSpace="-3931"/>
            </w:sectPr>
          </w:pPr>
          <w:r>
            <w:rPr>
              <w:rFonts w:hint="eastAsia" w:ascii="Calibri" w:hAnsi="Calibri" w:eastAsia="宋体" w:cs="Times New Roman"/>
              <w:bCs/>
              <w:kern w:val="44"/>
              <w:sz w:val="28"/>
              <w:szCs w:val="44"/>
            </w:rPr>
            <w:fldChar w:fldCharType="end"/>
          </w:r>
        </w:p>
      </w:sdtContent>
    </w:sdt>
    <w:p w14:paraId="66CEC064">
      <w:pPr>
        <w:pStyle w:val="20"/>
        <w:jc w:val="center"/>
        <w:outlineLvl w:val="0"/>
        <w:rPr>
          <w:rFonts w:eastAsia="黑体" w:asciiTheme="minorHAnsi" w:hAnsiTheme="minorHAnsi"/>
          <w:bCs/>
          <w:color w:val="000000"/>
          <w:kern w:val="44"/>
          <w:sz w:val="36"/>
          <w:szCs w:val="24"/>
        </w:rPr>
      </w:pPr>
      <w:bookmarkStart w:id="2" w:name="_Toc234572370"/>
      <w:r>
        <w:rPr>
          <w:rFonts w:hint="eastAsia" w:eastAsia="黑体" w:asciiTheme="minorHAnsi" w:hAnsiTheme="minorHAnsi"/>
          <w:bCs/>
          <w:color w:val="000000"/>
          <w:kern w:val="44"/>
          <w:sz w:val="36"/>
          <w:szCs w:val="24"/>
        </w:rPr>
        <w:t>第一部分 投标邀请函</w:t>
      </w:r>
      <w:bookmarkEnd w:id="2"/>
    </w:p>
    <w:p w14:paraId="5E086462">
      <w:pPr>
        <w:ind w:right="-172" w:rightChars="-82" w:firstLine="480" w:firstLineChars="200"/>
        <w:jc w:val="left"/>
        <w:rPr>
          <w:color w:val="000000"/>
          <w:sz w:val="24"/>
          <w:szCs w:val="24"/>
          <w:u w:val="single"/>
        </w:rPr>
      </w:pPr>
      <w:r>
        <w:rPr>
          <w:rFonts w:hint="eastAsia"/>
          <w:color w:val="000000"/>
          <w:sz w:val="24"/>
          <w:szCs w:val="24"/>
          <w:u w:val="single"/>
        </w:rPr>
        <w:t>本招标项目</w:t>
      </w:r>
      <w:r>
        <w:rPr>
          <w:rFonts w:hint="eastAsia"/>
          <w:color w:val="000000"/>
          <w:sz w:val="24"/>
          <w:szCs w:val="24"/>
          <w:u w:val="single"/>
          <w:lang w:val="en-US" w:eastAsia="zh-CN"/>
        </w:rPr>
        <w:t>中国重汽集团泰安五岳专用汽车</w:t>
      </w:r>
      <w:r>
        <w:rPr>
          <w:rFonts w:hint="eastAsia"/>
          <w:color w:val="000000"/>
          <w:sz w:val="24"/>
          <w:szCs w:val="24"/>
          <w:u w:val="single"/>
        </w:rPr>
        <w:t>有限公司</w:t>
      </w:r>
      <w:r>
        <w:rPr>
          <w:rFonts w:hint="eastAsia"/>
          <w:color w:val="000000"/>
          <w:sz w:val="24"/>
          <w:szCs w:val="24"/>
          <w:u w:val="single"/>
          <w:lang w:val="en-US" w:eastAsia="zh-CN"/>
        </w:rPr>
        <w:t>新建</w:t>
      </w:r>
      <w:r>
        <w:rPr>
          <w:rFonts w:hint="eastAsia"/>
          <w:color w:val="000000"/>
          <w:sz w:val="24"/>
          <w:szCs w:val="24"/>
          <w:u w:val="single"/>
        </w:rPr>
        <w:t>自卸车车箱抛丸清理设备项目</w:t>
      </w:r>
      <w:r>
        <w:rPr>
          <w:rFonts w:hint="eastAsia"/>
          <w:sz w:val="24"/>
          <w:szCs w:val="24"/>
          <w:u w:val="single"/>
        </w:rPr>
        <w:t>进行</w:t>
      </w:r>
      <w:r>
        <w:rPr>
          <w:rFonts w:hint="eastAsia"/>
          <w:sz w:val="24"/>
          <w:szCs w:val="24"/>
          <w:highlight w:val="yellow"/>
          <w:u w:val="single"/>
          <w:lang w:val="en-US" w:eastAsia="zh-CN"/>
        </w:rPr>
        <w:t>公开</w:t>
      </w:r>
      <w:r>
        <w:rPr>
          <w:rFonts w:hint="eastAsia"/>
          <w:sz w:val="24"/>
          <w:szCs w:val="24"/>
          <w:highlight w:val="yellow"/>
          <w:u w:val="single"/>
        </w:rPr>
        <w:t>招标采购</w:t>
      </w:r>
      <w:r>
        <w:rPr>
          <w:rFonts w:hint="eastAsia"/>
          <w:color w:val="000000"/>
          <w:sz w:val="24"/>
          <w:szCs w:val="24"/>
          <w:u w:val="single"/>
        </w:rPr>
        <w:t>。欢迎合格潜在投标人前来参加投标。</w:t>
      </w:r>
    </w:p>
    <w:p w14:paraId="7084CAED">
      <w:pPr>
        <w:spacing w:line="360" w:lineRule="auto"/>
        <w:rPr>
          <w:color w:val="000000"/>
          <w:sz w:val="24"/>
          <w:szCs w:val="24"/>
        </w:rPr>
      </w:pPr>
      <w:r>
        <w:rPr>
          <w:color w:val="000000"/>
          <w:sz w:val="24"/>
          <w:szCs w:val="24"/>
        </w:rPr>
        <w:t>1</w:t>
      </w:r>
      <w:r>
        <w:rPr>
          <w:rFonts w:hint="eastAsia"/>
          <w:color w:val="000000"/>
          <w:sz w:val="24"/>
          <w:szCs w:val="24"/>
        </w:rPr>
        <w:t>、招标编号：ZBGL2026090137</w:t>
      </w:r>
    </w:p>
    <w:p w14:paraId="7AC8D12A">
      <w:pPr>
        <w:spacing w:line="360" w:lineRule="auto"/>
        <w:rPr>
          <w:color w:val="000000"/>
          <w:sz w:val="24"/>
          <w:szCs w:val="24"/>
        </w:rPr>
      </w:pPr>
      <w:r>
        <w:rPr>
          <w:color w:val="000000"/>
          <w:sz w:val="24"/>
          <w:szCs w:val="24"/>
        </w:rPr>
        <w:t>2</w:t>
      </w:r>
      <w:r>
        <w:rPr>
          <w:rFonts w:hint="eastAsia"/>
          <w:color w:val="000000"/>
          <w:sz w:val="24"/>
          <w:szCs w:val="24"/>
        </w:rPr>
        <w:t>、招标内容、数量：</w:t>
      </w:r>
    </w:p>
    <w:tbl>
      <w:tblPr>
        <w:tblStyle w:val="42"/>
        <w:tblW w:w="102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092"/>
        <w:gridCol w:w="976"/>
        <w:gridCol w:w="1918"/>
        <w:gridCol w:w="4240"/>
      </w:tblGrid>
      <w:tr w14:paraId="22BE5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9" w:hRule="atLeast"/>
          <w:jc w:val="center"/>
        </w:trPr>
        <w:tc>
          <w:tcPr>
            <w:tcW w:w="3092" w:type="dxa"/>
            <w:tcMar>
              <w:top w:w="20" w:type="dxa"/>
              <w:left w:w="20" w:type="dxa"/>
              <w:bottom w:w="0" w:type="dxa"/>
              <w:right w:w="20" w:type="dxa"/>
            </w:tcMar>
            <w:vAlign w:val="center"/>
          </w:tcPr>
          <w:p w14:paraId="7D8EE77D">
            <w:pPr>
              <w:spacing w:line="360" w:lineRule="auto"/>
              <w:jc w:val="center"/>
              <w:rPr>
                <w:rFonts w:ascii="宋体"/>
                <w:b/>
                <w:color w:val="000000"/>
                <w:sz w:val="24"/>
                <w:szCs w:val="24"/>
              </w:rPr>
            </w:pPr>
            <w:r>
              <w:rPr>
                <w:rFonts w:hint="eastAsia" w:ascii="宋体" w:hAnsi="宋体"/>
                <w:b/>
                <w:color w:val="000000"/>
                <w:sz w:val="24"/>
                <w:szCs w:val="24"/>
              </w:rPr>
              <w:t>招标内容</w:t>
            </w:r>
          </w:p>
        </w:tc>
        <w:tc>
          <w:tcPr>
            <w:tcW w:w="976" w:type="dxa"/>
            <w:vAlign w:val="center"/>
          </w:tcPr>
          <w:p w14:paraId="061F6F82">
            <w:pPr>
              <w:spacing w:line="360" w:lineRule="auto"/>
              <w:jc w:val="center"/>
              <w:rPr>
                <w:rFonts w:ascii="宋体"/>
                <w:b/>
                <w:color w:val="000000"/>
                <w:sz w:val="24"/>
                <w:szCs w:val="24"/>
              </w:rPr>
            </w:pPr>
            <w:r>
              <w:rPr>
                <w:rFonts w:hint="eastAsia" w:ascii="宋体" w:hAnsi="宋体"/>
                <w:b/>
                <w:color w:val="000000"/>
                <w:sz w:val="24"/>
                <w:szCs w:val="24"/>
              </w:rPr>
              <w:t>数量</w:t>
            </w:r>
          </w:p>
        </w:tc>
        <w:tc>
          <w:tcPr>
            <w:tcW w:w="1918" w:type="dxa"/>
            <w:vAlign w:val="center"/>
          </w:tcPr>
          <w:p w14:paraId="2794945C">
            <w:pPr>
              <w:spacing w:line="360" w:lineRule="auto"/>
              <w:jc w:val="center"/>
              <w:rPr>
                <w:rFonts w:ascii="宋体"/>
                <w:b/>
                <w:color w:val="000000"/>
                <w:sz w:val="24"/>
                <w:szCs w:val="24"/>
              </w:rPr>
            </w:pPr>
            <w:r>
              <w:rPr>
                <w:rFonts w:hint="eastAsia" w:ascii="宋体" w:hAnsi="宋体"/>
                <w:b/>
                <w:color w:val="000000"/>
                <w:sz w:val="24"/>
                <w:szCs w:val="24"/>
              </w:rPr>
              <w:t>供货方式</w:t>
            </w:r>
          </w:p>
        </w:tc>
        <w:tc>
          <w:tcPr>
            <w:tcW w:w="4240" w:type="dxa"/>
            <w:vAlign w:val="center"/>
          </w:tcPr>
          <w:p w14:paraId="61E7EF66">
            <w:pPr>
              <w:spacing w:line="360" w:lineRule="auto"/>
              <w:jc w:val="center"/>
              <w:rPr>
                <w:rFonts w:ascii="宋体"/>
                <w:b/>
                <w:color w:val="000000"/>
                <w:sz w:val="24"/>
                <w:szCs w:val="24"/>
              </w:rPr>
            </w:pPr>
            <w:r>
              <w:rPr>
                <w:rFonts w:hint="eastAsia" w:ascii="宋体" w:hAnsi="宋体"/>
                <w:b/>
                <w:color w:val="000000"/>
                <w:sz w:val="24"/>
                <w:szCs w:val="24"/>
              </w:rPr>
              <w:t>具体要求</w:t>
            </w:r>
          </w:p>
        </w:tc>
      </w:tr>
      <w:tr w14:paraId="2EBA6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99" w:hRule="atLeast"/>
          <w:jc w:val="center"/>
        </w:trPr>
        <w:tc>
          <w:tcPr>
            <w:tcW w:w="3092" w:type="dxa"/>
            <w:tcMar>
              <w:top w:w="20" w:type="dxa"/>
              <w:left w:w="20" w:type="dxa"/>
              <w:bottom w:w="0" w:type="dxa"/>
              <w:right w:w="20" w:type="dxa"/>
            </w:tcMar>
            <w:vAlign w:val="center"/>
          </w:tcPr>
          <w:p w14:paraId="4F020424">
            <w:pPr>
              <w:pStyle w:val="36"/>
              <w:spacing w:line="400" w:lineRule="exact"/>
              <w:ind w:right="74"/>
              <w:jc w:val="center"/>
              <w:rPr>
                <w:rFonts w:hint="default" w:eastAsia="宋体"/>
                <w:color w:val="000000"/>
                <w:lang w:val="en-US" w:eastAsia="zh-CN"/>
              </w:rPr>
            </w:pPr>
            <w:r>
              <w:rPr>
                <w:rFonts w:hint="eastAsia"/>
                <w:color w:val="000000"/>
                <w:sz w:val="24"/>
                <w:szCs w:val="24"/>
                <w:u w:val="single"/>
                <w:lang w:val="en-US" w:eastAsia="zh-CN"/>
              </w:rPr>
              <w:t>新建</w:t>
            </w:r>
            <w:r>
              <w:rPr>
                <w:rFonts w:hint="eastAsia"/>
                <w:color w:val="000000"/>
                <w:sz w:val="24"/>
                <w:szCs w:val="24"/>
                <w:u w:val="single"/>
              </w:rPr>
              <w:t>自卸车车箱抛丸清理设备</w:t>
            </w:r>
          </w:p>
        </w:tc>
        <w:tc>
          <w:tcPr>
            <w:tcW w:w="976" w:type="dxa"/>
            <w:vAlign w:val="center"/>
          </w:tcPr>
          <w:p w14:paraId="23A3ACAB">
            <w:pPr>
              <w:pStyle w:val="36"/>
              <w:spacing w:line="400" w:lineRule="exact"/>
              <w:ind w:right="74"/>
              <w:jc w:val="center"/>
              <w:rPr>
                <w:color w:val="000000"/>
              </w:rPr>
            </w:pPr>
            <w:r>
              <w:rPr>
                <w:color w:val="000000"/>
              </w:rPr>
              <w:t>1</w:t>
            </w:r>
            <w:r>
              <w:rPr>
                <w:rFonts w:hint="eastAsia"/>
                <w:color w:val="000000"/>
              </w:rPr>
              <w:t>套</w:t>
            </w:r>
          </w:p>
        </w:tc>
        <w:tc>
          <w:tcPr>
            <w:tcW w:w="1918" w:type="dxa"/>
            <w:vAlign w:val="center"/>
          </w:tcPr>
          <w:p w14:paraId="5993DE66">
            <w:pPr>
              <w:pStyle w:val="36"/>
              <w:spacing w:line="400" w:lineRule="exact"/>
              <w:ind w:right="74"/>
              <w:jc w:val="center"/>
              <w:rPr>
                <w:color w:val="000000"/>
              </w:rPr>
            </w:pPr>
            <w:r>
              <w:rPr>
                <w:rFonts w:hint="eastAsia"/>
                <w:color w:val="000000"/>
              </w:rPr>
              <w:t>交钥匙方式</w:t>
            </w:r>
          </w:p>
        </w:tc>
        <w:tc>
          <w:tcPr>
            <w:tcW w:w="4240" w:type="dxa"/>
            <w:vAlign w:val="center"/>
          </w:tcPr>
          <w:p w14:paraId="01DCBE73">
            <w:pPr>
              <w:pStyle w:val="36"/>
              <w:ind w:right="74"/>
              <w:jc w:val="center"/>
              <w:rPr>
                <w:color w:val="000000"/>
              </w:rPr>
            </w:pPr>
            <w:r>
              <w:rPr>
                <w:rFonts w:hint="eastAsia"/>
                <w:color w:val="000000"/>
                <w:lang w:val="en-US" w:eastAsia="zh-CN"/>
              </w:rPr>
              <w:t>详见招标文件</w:t>
            </w:r>
            <w:r>
              <w:rPr>
                <w:rFonts w:hint="eastAsia"/>
                <w:color w:val="000000"/>
              </w:rPr>
              <w:t>。</w:t>
            </w:r>
            <w:r>
              <w:rPr>
                <w:color w:val="000000"/>
              </w:rPr>
              <w:t xml:space="preserve"> </w:t>
            </w:r>
          </w:p>
        </w:tc>
      </w:tr>
    </w:tbl>
    <w:p w14:paraId="1FE6259B">
      <w:pPr>
        <w:spacing w:line="360" w:lineRule="auto"/>
        <w:rPr>
          <w:color w:val="000000"/>
          <w:sz w:val="24"/>
          <w:szCs w:val="24"/>
        </w:rPr>
      </w:pPr>
      <w:r>
        <w:rPr>
          <w:color w:val="000000"/>
          <w:sz w:val="24"/>
          <w:szCs w:val="24"/>
        </w:rPr>
        <w:t>3</w:t>
      </w:r>
      <w:r>
        <w:rPr>
          <w:rFonts w:hint="eastAsia"/>
          <w:color w:val="000000"/>
          <w:sz w:val="24"/>
          <w:szCs w:val="24"/>
        </w:rPr>
        <w:t>、投标人资格要求：</w:t>
      </w:r>
    </w:p>
    <w:p w14:paraId="3E89A814">
      <w:pPr>
        <w:pStyle w:val="133"/>
        <w:numPr>
          <w:ilvl w:val="0"/>
          <w:numId w:val="0"/>
        </w:numPr>
        <w:spacing w:line="360" w:lineRule="auto"/>
        <w:ind w:leftChars="0" w:firstLine="240" w:firstLineChars="100"/>
        <w:rPr>
          <w:color w:val="000000"/>
          <w:sz w:val="24"/>
          <w:szCs w:val="24"/>
        </w:rPr>
      </w:pPr>
      <w:r>
        <w:rPr>
          <w:color w:val="000000"/>
          <w:sz w:val="24"/>
          <w:szCs w:val="24"/>
        </w:rPr>
        <w:t>3.1.</w:t>
      </w:r>
      <w:r>
        <w:rPr>
          <w:rFonts w:hint="eastAsia"/>
          <w:color w:val="000000"/>
          <w:sz w:val="24"/>
          <w:szCs w:val="24"/>
        </w:rPr>
        <w:t>拟标投人必须是在中华人民共和国境内注册的独立法人机构，具有独立承担民事责任能力；注册资金不少于500万人民币（或等值其他货币）；</w:t>
      </w:r>
      <w:r>
        <w:rPr>
          <w:color w:val="000000"/>
          <w:sz w:val="24"/>
          <w:szCs w:val="24"/>
        </w:rPr>
        <w:t>且经营范围满足招标人需求；并在人员、设备、资金等方面具有承担本项目的能力；投标人为该标的物的制造商或其在中国境内有完善的技术以及售后服务体系；</w:t>
      </w:r>
    </w:p>
    <w:p w14:paraId="58742130">
      <w:pPr>
        <w:spacing w:line="360" w:lineRule="auto"/>
        <w:ind w:firstLine="240" w:firstLineChars="100"/>
        <w:rPr>
          <w:color w:val="FF0000"/>
          <w:sz w:val="24"/>
          <w:szCs w:val="24"/>
        </w:rPr>
      </w:pPr>
      <w:r>
        <w:rPr>
          <w:rFonts w:hint="eastAsia"/>
          <w:color w:val="FF0000"/>
          <w:sz w:val="24"/>
          <w:szCs w:val="24"/>
          <w:lang w:val="en-US" w:eastAsia="zh-CN"/>
        </w:rPr>
        <w:t>3.2.</w:t>
      </w:r>
      <w:r>
        <w:rPr>
          <w:rFonts w:hint="eastAsia"/>
          <w:color w:val="FF0000"/>
          <w:sz w:val="24"/>
          <w:szCs w:val="24"/>
        </w:rPr>
        <w:t>拟投标人需提供近5年内行业内（自卸车产品类）类似业务证明；</w:t>
      </w:r>
    </w:p>
    <w:p w14:paraId="58B64112">
      <w:pPr>
        <w:spacing w:line="360" w:lineRule="auto"/>
        <w:ind w:firstLine="240" w:firstLineChars="100"/>
        <w:rPr>
          <w:color w:val="000000"/>
          <w:sz w:val="24"/>
          <w:szCs w:val="24"/>
        </w:rPr>
      </w:pPr>
      <w:r>
        <w:rPr>
          <w:color w:val="000000"/>
          <w:sz w:val="24"/>
          <w:szCs w:val="24"/>
        </w:rPr>
        <w:t>3.</w:t>
      </w:r>
      <w:r>
        <w:rPr>
          <w:rFonts w:hint="eastAsia"/>
          <w:color w:val="000000"/>
          <w:sz w:val="24"/>
          <w:szCs w:val="24"/>
          <w:lang w:val="en-US" w:eastAsia="zh-CN"/>
        </w:rPr>
        <w:t>3</w:t>
      </w:r>
      <w:r>
        <w:rPr>
          <w:color w:val="000000"/>
          <w:sz w:val="24"/>
          <w:szCs w:val="24"/>
        </w:rPr>
        <w:t>.拟投标人应提供营业执照副本原件和扫描件（需盖章）；</w:t>
      </w:r>
    </w:p>
    <w:p w14:paraId="07F716CA">
      <w:pPr>
        <w:spacing w:line="360" w:lineRule="auto"/>
        <w:ind w:firstLine="240" w:firstLineChars="100"/>
        <w:rPr>
          <w:color w:val="000000"/>
          <w:sz w:val="24"/>
          <w:szCs w:val="24"/>
        </w:rPr>
      </w:pPr>
      <w:r>
        <w:rPr>
          <w:color w:val="000000"/>
          <w:sz w:val="24"/>
          <w:szCs w:val="24"/>
        </w:rPr>
        <w:t>3.</w:t>
      </w:r>
      <w:r>
        <w:rPr>
          <w:rFonts w:hint="eastAsia"/>
          <w:color w:val="000000"/>
          <w:sz w:val="24"/>
          <w:szCs w:val="24"/>
          <w:lang w:val="en-US" w:eastAsia="zh-CN"/>
        </w:rPr>
        <w:t>4</w:t>
      </w:r>
      <w:r>
        <w:rPr>
          <w:color w:val="000000"/>
          <w:sz w:val="24"/>
          <w:szCs w:val="24"/>
        </w:rPr>
        <w:t>.拟投标人应提供法定代表人资格证明文件；</w:t>
      </w:r>
    </w:p>
    <w:p w14:paraId="73B29E43">
      <w:pPr>
        <w:spacing w:line="360" w:lineRule="auto"/>
        <w:ind w:firstLine="240" w:firstLineChars="100"/>
        <w:rPr>
          <w:color w:val="000000"/>
          <w:sz w:val="24"/>
          <w:szCs w:val="24"/>
        </w:rPr>
      </w:pPr>
      <w:r>
        <w:rPr>
          <w:color w:val="000000"/>
          <w:sz w:val="24"/>
          <w:szCs w:val="24"/>
        </w:rPr>
        <w:t>3.</w:t>
      </w:r>
      <w:r>
        <w:rPr>
          <w:rFonts w:hint="eastAsia"/>
          <w:color w:val="000000"/>
          <w:sz w:val="24"/>
          <w:szCs w:val="24"/>
          <w:lang w:val="en-US" w:eastAsia="zh-CN"/>
        </w:rPr>
        <w:t>5</w:t>
      </w:r>
      <w:r>
        <w:rPr>
          <w:color w:val="000000"/>
          <w:sz w:val="24"/>
          <w:szCs w:val="24"/>
        </w:rPr>
        <w:t>.拟投标人在国家市场监督管理总局的《国家企业信用信息公示系统》等信息平台中，无行政处罚及失信记录等信息；</w:t>
      </w:r>
    </w:p>
    <w:p w14:paraId="6D8B7250">
      <w:pPr>
        <w:spacing w:line="360" w:lineRule="auto"/>
        <w:ind w:firstLine="240" w:firstLineChars="100"/>
        <w:rPr>
          <w:color w:val="000000"/>
          <w:sz w:val="24"/>
          <w:szCs w:val="24"/>
        </w:rPr>
      </w:pPr>
      <w:r>
        <w:rPr>
          <w:color w:val="000000"/>
          <w:sz w:val="24"/>
          <w:szCs w:val="24"/>
        </w:rPr>
        <w:t>3.</w:t>
      </w:r>
      <w:r>
        <w:rPr>
          <w:rFonts w:hint="eastAsia"/>
          <w:color w:val="000000"/>
          <w:sz w:val="24"/>
          <w:szCs w:val="24"/>
          <w:lang w:val="en-US" w:eastAsia="zh-CN"/>
        </w:rPr>
        <w:t>6</w:t>
      </w:r>
      <w:r>
        <w:rPr>
          <w:color w:val="000000"/>
          <w:sz w:val="24"/>
          <w:szCs w:val="24"/>
        </w:rPr>
        <w:t>.拟投标人不存在违规或被列入招标人“黑名单”的声明；</w:t>
      </w:r>
    </w:p>
    <w:p w14:paraId="0CA9EA13">
      <w:pPr>
        <w:spacing w:line="360" w:lineRule="auto"/>
        <w:ind w:firstLine="240" w:firstLineChars="100"/>
        <w:rPr>
          <w:color w:val="000000"/>
          <w:sz w:val="24"/>
          <w:szCs w:val="24"/>
        </w:rPr>
      </w:pPr>
      <w:r>
        <w:rPr>
          <w:color w:val="000000"/>
          <w:sz w:val="24"/>
          <w:szCs w:val="24"/>
        </w:rPr>
        <w:t>3.</w:t>
      </w:r>
      <w:r>
        <w:rPr>
          <w:rFonts w:hint="eastAsia"/>
          <w:color w:val="000000"/>
          <w:sz w:val="24"/>
          <w:szCs w:val="24"/>
          <w:lang w:val="en-US" w:eastAsia="zh-CN"/>
        </w:rPr>
        <w:t>7</w:t>
      </w:r>
      <w:r>
        <w:rPr>
          <w:color w:val="000000"/>
          <w:sz w:val="24"/>
          <w:szCs w:val="24"/>
        </w:rPr>
        <w:t>.</w:t>
      </w:r>
      <w:r>
        <w:rPr>
          <w:rFonts w:hint="eastAsia"/>
          <w:color w:val="000000"/>
          <w:sz w:val="24"/>
          <w:szCs w:val="24"/>
        </w:rPr>
        <w:t>拟投标人2021年1月1日至今经第三方会计师事务所审计且出具无保留意见的财务审计报告，并加盖公章，包括但不限于报告页、经审计的资产负债表、利润表、现金流量表及报表附注，且未显示异常；如无法提供，请提供相关说明</w:t>
      </w:r>
      <w:r>
        <w:rPr>
          <w:color w:val="000000"/>
          <w:sz w:val="24"/>
          <w:szCs w:val="24"/>
        </w:rPr>
        <w:t>；</w:t>
      </w:r>
    </w:p>
    <w:p w14:paraId="4AD264C6">
      <w:pPr>
        <w:spacing w:line="360" w:lineRule="auto"/>
        <w:ind w:firstLine="240" w:firstLineChars="100"/>
        <w:rPr>
          <w:color w:val="000000"/>
          <w:sz w:val="24"/>
          <w:szCs w:val="24"/>
        </w:rPr>
      </w:pPr>
      <w:r>
        <w:rPr>
          <w:color w:val="000000"/>
          <w:sz w:val="24"/>
          <w:szCs w:val="24"/>
        </w:rPr>
        <w:t>3.</w:t>
      </w:r>
      <w:r>
        <w:rPr>
          <w:rFonts w:hint="eastAsia"/>
          <w:color w:val="000000"/>
          <w:sz w:val="24"/>
          <w:szCs w:val="24"/>
          <w:lang w:val="en-US" w:eastAsia="zh-CN"/>
        </w:rPr>
        <w:t>8</w:t>
      </w:r>
      <w:r>
        <w:rPr>
          <w:color w:val="000000"/>
          <w:sz w:val="24"/>
          <w:szCs w:val="24"/>
        </w:rPr>
        <w:t>.</w:t>
      </w:r>
      <w:r>
        <w:rPr>
          <w:rFonts w:hint="eastAsia"/>
          <w:color w:val="000000"/>
          <w:sz w:val="24"/>
          <w:szCs w:val="24"/>
        </w:rPr>
        <w:t>拟投标人有与本次招标内容相同或类似项目业绩，且近3年内无因服务不当而造成重大事故</w:t>
      </w:r>
      <w:r>
        <w:rPr>
          <w:color w:val="000000"/>
          <w:sz w:val="24"/>
          <w:szCs w:val="24"/>
        </w:rPr>
        <w:t>；</w:t>
      </w:r>
    </w:p>
    <w:p w14:paraId="056CCFDC">
      <w:pPr>
        <w:spacing w:line="360" w:lineRule="auto"/>
        <w:ind w:firstLine="240" w:firstLineChars="100"/>
        <w:rPr>
          <w:color w:val="000000"/>
          <w:sz w:val="24"/>
          <w:szCs w:val="24"/>
        </w:rPr>
      </w:pPr>
      <w:r>
        <w:rPr>
          <w:color w:val="000000"/>
          <w:sz w:val="24"/>
          <w:szCs w:val="24"/>
        </w:rPr>
        <w:t>3.</w:t>
      </w:r>
      <w:r>
        <w:rPr>
          <w:rFonts w:hint="eastAsia"/>
          <w:color w:val="000000"/>
          <w:sz w:val="24"/>
          <w:szCs w:val="24"/>
          <w:lang w:val="en-US" w:eastAsia="zh-CN"/>
        </w:rPr>
        <w:t>9</w:t>
      </w:r>
      <w:r>
        <w:rPr>
          <w:color w:val="000000"/>
          <w:sz w:val="24"/>
          <w:szCs w:val="24"/>
        </w:rPr>
        <w:t>.拟投标人近三年内在经营活动中无与本项目有关的违法及重大违规情况；</w:t>
      </w:r>
    </w:p>
    <w:p w14:paraId="4DA0B898">
      <w:pPr>
        <w:spacing w:line="360" w:lineRule="auto"/>
        <w:ind w:firstLine="240" w:firstLineChars="100"/>
        <w:rPr>
          <w:rFonts w:hint="default" w:eastAsiaTheme="minorEastAsia"/>
          <w:color w:val="000000"/>
          <w:sz w:val="24"/>
          <w:szCs w:val="24"/>
          <w:lang w:val="en-US" w:eastAsia="zh-CN"/>
        </w:rPr>
      </w:pPr>
      <w:r>
        <w:rPr>
          <w:rFonts w:hint="eastAsia"/>
          <w:color w:val="000000"/>
          <w:sz w:val="24"/>
          <w:szCs w:val="24"/>
          <w:lang w:val="en-US" w:eastAsia="zh-CN"/>
        </w:rPr>
        <w:t>3.10.拟投标人须认可招标人的工作指令，包括节、假日能正常开展工作的要求；</w:t>
      </w:r>
    </w:p>
    <w:p w14:paraId="34AD1D35">
      <w:pPr>
        <w:spacing w:line="360" w:lineRule="auto"/>
        <w:ind w:firstLine="240" w:firstLineChars="100"/>
        <w:rPr>
          <w:color w:val="000000"/>
          <w:sz w:val="24"/>
          <w:szCs w:val="24"/>
        </w:rPr>
      </w:pPr>
      <w:r>
        <w:rPr>
          <w:color w:val="000000"/>
          <w:sz w:val="24"/>
          <w:szCs w:val="24"/>
        </w:rPr>
        <w:t>3.</w:t>
      </w:r>
      <w:r>
        <w:rPr>
          <w:rFonts w:hint="eastAsia"/>
          <w:color w:val="000000"/>
          <w:sz w:val="24"/>
          <w:szCs w:val="24"/>
          <w:lang w:val="en-US" w:eastAsia="zh-CN"/>
        </w:rPr>
        <w:t>11</w:t>
      </w:r>
      <w:r>
        <w:rPr>
          <w:color w:val="000000"/>
          <w:sz w:val="24"/>
          <w:szCs w:val="24"/>
        </w:rPr>
        <w:t>.</w:t>
      </w:r>
      <w:r>
        <w:rPr>
          <w:rFonts w:hint="eastAsia"/>
          <w:color w:val="000000"/>
          <w:sz w:val="24"/>
          <w:szCs w:val="24"/>
        </w:rPr>
        <w:t>拟投标人最近半年纳税正常</w:t>
      </w:r>
      <w:r>
        <w:rPr>
          <w:color w:val="000000"/>
          <w:sz w:val="24"/>
          <w:szCs w:val="24"/>
        </w:rPr>
        <w:t>；</w:t>
      </w:r>
    </w:p>
    <w:p w14:paraId="15A9D520">
      <w:pPr>
        <w:spacing w:line="360" w:lineRule="auto"/>
        <w:ind w:firstLine="240" w:firstLineChars="100"/>
        <w:rPr>
          <w:rFonts w:hint="eastAsia"/>
          <w:color w:val="000000"/>
          <w:sz w:val="24"/>
          <w:szCs w:val="24"/>
          <w:lang w:eastAsia="zh-CN"/>
        </w:rPr>
      </w:pPr>
      <w:r>
        <w:rPr>
          <w:color w:val="000000"/>
          <w:sz w:val="24"/>
          <w:szCs w:val="24"/>
        </w:rPr>
        <w:t>3.1</w:t>
      </w:r>
      <w:r>
        <w:rPr>
          <w:rFonts w:hint="eastAsia"/>
          <w:color w:val="000000"/>
          <w:sz w:val="24"/>
          <w:szCs w:val="24"/>
          <w:lang w:val="en-US" w:eastAsia="zh-CN"/>
        </w:rPr>
        <w:t>2</w:t>
      </w:r>
      <w:r>
        <w:rPr>
          <w:color w:val="000000"/>
          <w:sz w:val="24"/>
          <w:szCs w:val="24"/>
        </w:rPr>
        <w:t>.</w:t>
      </w:r>
      <w:r>
        <w:rPr>
          <w:rFonts w:hint="eastAsia"/>
          <w:color w:val="000000"/>
          <w:sz w:val="24"/>
          <w:szCs w:val="24"/>
        </w:rPr>
        <w:t>拟投标人信用证明材料（征信报告）未显示异常</w:t>
      </w:r>
      <w:r>
        <w:rPr>
          <w:rFonts w:hint="eastAsia"/>
          <w:color w:val="000000"/>
          <w:sz w:val="24"/>
          <w:szCs w:val="24"/>
          <w:lang w:eastAsia="zh-CN"/>
        </w:rPr>
        <w:t>；</w:t>
      </w:r>
    </w:p>
    <w:p w14:paraId="47997F18">
      <w:pPr>
        <w:spacing w:line="360" w:lineRule="auto"/>
        <w:ind w:firstLine="240" w:firstLineChars="100"/>
        <w:rPr>
          <w:rFonts w:hint="eastAsia"/>
          <w:color w:val="000000"/>
          <w:sz w:val="24"/>
          <w:szCs w:val="24"/>
          <w:lang w:val="en-US" w:eastAsia="zh-CN"/>
        </w:rPr>
      </w:pPr>
      <w:r>
        <w:rPr>
          <w:rFonts w:hint="eastAsia"/>
          <w:color w:val="000000"/>
          <w:sz w:val="24"/>
          <w:szCs w:val="24"/>
          <w:lang w:val="en-US" w:eastAsia="zh-CN"/>
        </w:rPr>
        <w:t>3.13.拟投标人的直接或间接股东、法定代表人、董事、监事、高管非重汽员工及其亲属；</w:t>
      </w:r>
    </w:p>
    <w:p w14:paraId="313011EA">
      <w:pPr>
        <w:spacing w:line="360" w:lineRule="auto"/>
        <w:ind w:firstLine="240" w:firstLineChars="100"/>
        <w:rPr>
          <w:rFonts w:hint="eastAsia"/>
          <w:color w:val="000000"/>
          <w:sz w:val="24"/>
          <w:szCs w:val="24"/>
          <w:lang w:val="en-US" w:eastAsia="zh-CN"/>
        </w:rPr>
      </w:pPr>
      <w:r>
        <w:rPr>
          <w:rFonts w:hint="eastAsia"/>
          <w:color w:val="000000"/>
          <w:sz w:val="24"/>
          <w:szCs w:val="24"/>
          <w:lang w:val="en-US" w:eastAsia="zh-CN"/>
        </w:rPr>
        <w:t>3.14.企业对外担保说明（写明投标单位对外有无对外担保和质押业务，需加盖公章）；</w:t>
      </w:r>
    </w:p>
    <w:p w14:paraId="0530716E">
      <w:pPr>
        <w:spacing w:line="360" w:lineRule="auto"/>
        <w:ind w:firstLine="240" w:firstLineChars="100"/>
        <w:rPr>
          <w:rFonts w:hint="default"/>
          <w:color w:val="000000"/>
          <w:sz w:val="24"/>
          <w:szCs w:val="24"/>
          <w:lang w:val="en-US" w:eastAsia="zh-CN"/>
        </w:rPr>
      </w:pPr>
      <w:r>
        <w:rPr>
          <w:rFonts w:hint="eastAsia"/>
          <w:color w:val="000000"/>
          <w:sz w:val="24"/>
          <w:szCs w:val="24"/>
          <w:lang w:val="en-US" w:eastAsia="zh-CN"/>
        </w:rPr>
        <w:t>3.15.本项目不接受联合体、代理商投标，拟投标人必须是最终投标单位和签订合同单位，不得以任何理由将已中标项目以任何形式分包或转包给其他单位。</w:t>
      </w:r>
    </w:p>
    <w:p w14:paraId="5763584B">
      <w:pPr>
        <w:spacing w:line="360" w:lineRule="auto"/>
        <w:rPr>
          <w:color w:val="000000"/>
          <w:sz w:val="24"/>
          <w:szCs w:val="24"/>
        </w:rPr>
      </w:pPr>
      <w:r>
        <w:rPr>
          <w:color w:val="000000"/>
          <w:sz w:val="24"/>
          <w:szCs w:val="24"/>
        </w:rPr>
        <w:t>4</w:t>
      </w:r>
      <w:r>
        <w:rPr>
          <w:rFonts w:hint="eastAsia"/>
          <w:color w:val="000000"/>
          <w:sz w:val="24"/>
          <w:szCs w:val="24"/>
        </w:rPr>
        <w:t>、资格审查方式：</w:t>
      </w:r>
      <w:r>
        <w:rPr>
          <w:rFonts w:hint="eastAsia"/>
          <w:b/>
          <w:color w:val="000000"/>
          <w:sz w:val="24"/>
          <w:szCs w:val="24"/>
        </w:rPr>
        <w:t>资格后审</w:t>
      </w:r>
      <w:r>
        <w:rPr>
          <w:rFonts w:hint="eastAsia"/>
          <w:color w:val="000000"/>
          <w:sz w:val="24"/>
          <w:szCs w:val="24"/>
        </w:rPr>
        <w:t>。</w:t>
      </w:r>
    </w:p>
    <w:p w14:paraId="523A0588">
      <w:pPr>
        <w:spacing w:line="360" w:lineRule="auto"/>
        <w:rPr>
          <w:color w:val="000000"/>
          <w:sz w:val="24"/>
          <w:szCs w:val="24"/>
        </w:rPr>
      </w:pPr>
      <w:r>
        <w:rPr>
          <w:color w:val="000000"/>
          <w:sz w:val="24"/>
          <w:szCs w:val="24"/>
        </w:rPr>
        <w:t>5</w:t>
      </w:r>
      <w:r>
        <w:rPr>
          <w:rFonts w:hint="eastAsia"/>
          <w:color w:val="000000"/>
          <w:sz w:val="24"/>
          <w:szCs w:val="24"/>
        </w:rPr>
        <w:t>、报名及招标文件的获取：</w:t>
      </w:r>
    </w:p>
    <w:p w14:paraId="254CE2BC">
      <w:pPr>
        <w:spacing w:line="360" w:lineRule="auto"/>
        <w:ind w:firstLine="240" w:firstLineChars="100"/>
        <w:rPr>
          <w:rFonts w:hint="eastAsia"/>
          <w:sz w:val="24"/>
          <w:szCs w:val="24"/>
        </w:rPr>
      </w:pPr>
      <w:r>
        <w:rPr>
          <w:color w:val="000000"/>
          <w:sz w:val="24"/>
          <w:szCs w:val="24"/>
        </w:rPr>
        <w:t>5.</w:t>
      </w:r>
      <w:r>
        <w:rPr>
          <w:rFonts w:hint="eastAsia"/>
          <w:color w:val="000000"/>
          <w:sz w:val="24"/>
          <w:szCs w:val="24"/>
        </w:rPr>
        <w:t>1报名截止时间：</w:t>
      </w:r>
      <w:r>
        <w:rPr>
          <w:sz w:val="24"/>
          <w:szCs w:val="24"/>
        </w:rPr>
        <w:t xml:space="preserve"> 2026</w:t>
      </w:r>
      <w:r>
        <w:rPr>
          <w:rFonts w:hint="eastAsia"/>
          <w:sz w:val="24"/>
          <w:szCs w:val="24"/>
        </w:rPr>
        <w:t>年</w:t>
      </w:r>
      <w:r>
        <w:rPr>
          <w:rFonts w:hint="eastAsia"/>
          <w:sz w:val="24"/>
          <w:szCs w:val="24"/>
          <w:lang w:val="en-US" w:eastAsia="zh-CN"/>
        </w:rPr>
        <w:t>10</w:t>
      </w:r>
      <w:r>
        <w:rPr>
          <w:rFonts w:hint="eastAsia"/>
          <w:sz w:val="24"/>
          <w:szCs w:val="24"/>
        </w:rPr>
        <w:t>月</w:t>
      </w:r>
      <w:r>
        <w:rPr>
          <w:rFonts w:hint="eastAsia"/>
          <w:sz w:val="24"/>
          <w:szCs w:val="24"/>
          <w:lang w:val="en-US" w:eastAsia="zh-CN"/>
        </w:rPr>
        <w:t>10</w:t>
      </w:r>
      <w:r>
        <w:rPr>
          <w:rFonts w:hint="eastAsia"/>
          <w:sz w:val="24"/>
          <w:szCs w:val="24"/>
        </w:rPr>
        <w:t>日1</w:t>
      </w:r>
      <w:r>
        <w:rPr>
          <w:sz w:val="24"/>
          <w:szCs w:val="24"/>
        </w:rPr>
        <w:t>7</w:t>
      </w:r>
      <w:r>
        <w:rPr>
          <w:rFonts w:hint="eastAsia"/>
          <w:sz w:val="24"/>
          <w:szCs w:val="24"/>
        </w:rPr>
        <w:t>:</w:t>
      </w:r>
      <w:r>
        <w:rPr>
          <w:sz w:val="24"/>
          <w:szCs w:val="24"/>
        </w:rPr>
        <w:t>00</w:t>
      </w:r>
      <w:r>
        <w:rPr>
          <w:rFonts w:hint="eastAsia"/>
          <w:sz w:val="24"/>
          <w:szCs w:val="24"/>
        </w:rPr>
        <w:t>:0</w:t>
      </w:r>
      <w:r>
        <w:rPr>
          <w:sz w:val="24"/>
          <w:szCs w:val="24"/>
        </w:rPr>
        <w:t>0</w:t>
      </w:r>
      <w:r>
        <w:rPr>
          <w:rFonts w:hint="eastAsia"/>
          <w:sz w:val="24"/>
          <w:szCs w:val="24"/>
        </w:rPr>
        <w:t>前</w:t>
      </w:r>
    </w:p>
    <w:p w14:paraId="532DAC61">
      <w:pPr>
        <w:spacing w:line="360" w:lineRule="auto"/>
        <w:ind w:firstLine="240" w:firstLineChars="100"/>
        <w:rPr>
          <w:rFonts w:hint="eastAsia"/>
          <w:sz w:val="24"/>
          <w:szCs w:val="24"/>
        </w:rPr>
      </w:pPr>
      <w:r>
        <w:rPr>
          <w:rFonts w:hint="eastAsia"/>
          <w:sz w:val="24"/>
          <w:szCs w:val="24"/>
        </w:rPr>
        <w:t>5</w:t>
      </w:r>
      <w:r>
        <w:rPr>
          <w:sz w:val="24"/>
          <w:szCs w:val="24"/>
        </w:rPr>
        <w:t>.2</w:t>
      </w:r>
      <w:r>
        <w:rPr>
          <w:rFonts w:hint="eastAsia"/>
          <w:sz w:val="24"/>
          <w:szCs w:val="24"/>
        </w:rPr>
        <w:t>报名方式：拟投标人根据招标人在中国重汽官网等公开媒体上发布的招标信息，在“中国重汽e采通”平台报名。按照中国重汽e采通“SRM非生产供应商注册手册”（附件1</w:t>
      </w:r>
      <w:r>
        <w:rPr>
          <w:sz w:val="24"/>
          <w:szCs w:val="24"/>
        </w:rPr>
        <w:t>6</w:t>
      </w:r>
      <w:r>
        <w:rPr>
          <w:rFonts w:hint="eastAsia"/>
          <w:sz w:val="24"/>
          <w:szCs w:val="24"/>
        </w:rPr>
        <w:t>）进行注册，注册完毕后按照“SRM系统供应商用户手册（附件16）”，登录重汽e采通平台后进入“供应商应标”，选择对应的项目，点击“应标”后按照招标文件第三部分投标文件组成资格证明文件中的1.1</w:t>
      </w:r>
      <w:r>
        <w:rPr>
          <w:sz w:val="24"/>
          <w:szCs w:val="24"/>
        </w:rPr>
        <w:t>-</w:t>
      </w:r>
      <w:r>
        <w:rPr>
          <w:rFonts w:hint="eastAsia"/>
          <w:sz w:val="24"/>
          <w:szCs w:val="24"/>
        </w:rPr>
        <w:t>1.1</w:t>
      </w:r>
      <w:r>
        <w:rPr>
          <w:rFonts w:hint="eastAsia"/>
          <w:sz w:val="24"/>
          <w:szCs w:val="24"/>
          <w:lang w:val="en-US" w:eastAsia="zh-CN"/>
        </w:rPr>
        <w:t>3</w:t>
      </w:r>
      <w:r>
        <w:rPr>
          <w:rFonts w:hint="eastAsia"/>
          <w:sz w:val="24"/>
          <w:szCs w:val="24"/>
        </w:rPr>
        <w:t>准备资料并上传，资质审查通过即为报名成功；公示期间请尽快报名。</w:t>
      </w:r>
    </w:p>
    <w:p w14:paraId="537E0DED">
      <w:pPr>
        <w:spacing w:line="360" w:lineRule="auto"/>
        <w:ind w:firstLine="240" w:firstLineChars="100"/>
        <w:rPr>
          <w:rFonts w:hint="default" w:eastAsiaTheme="minorEastAsia"/>
          <w:sz w:val="24"/>
          <w:szCs w:val="24"/>
          <w:lang w:val="en-US" w:eastAsia="zh-CN"/>
        </w:rPr>
      </w:pPr>
      <w:r>
        <w:rPr>
          <w:rFonts w:hint="eastAsia"/>
          <w:sz w:val="24"/>
          <w:szCs w:val="24"/>
        </w:rPr>
        <w:t xml:space="preserve">联系人： </w:t>
      </w:r>
      <w:r>
        <w:rPr>
          <w:rFonts w:hint="eastAsia"/>
          <w:sz w:val="24"/>
          <w:szCs w:val="24"/>
          <w:lang w:val="en-US" w:eastAsia="zh-CN"/>
        </w:rPr>
        <w:t>王瑄、刘艺</w:t>
      </w:r>
    </w:p>
    <w:p w14:paraId="2ECE2C6C">
      <w:pPr>
        <w:spacing w:line="360" w:lineRule="auto"/>
        <w:ind w:firstLine="240" w:firstLineChars="100"/>
        <w:rPr>
          <w:rFonts w:hint="eastAsia" w:eastAsiaTheme="minorEastAsia"/>
          <w:sz w:val="24"/>
          <w:szCs w:val="24"/>
          <w:lang w:eastAsia="zh-CN"/>
        </w:rPr>
      </w:pPr>
      <w:r>
        <w:rPr>
          <w:rFonts w:hint="eastAsia"/>
          <w:sz w:val="24"/>
          <w:szCs w:val="24"/>
        </w:rPr>
        <w:t>电  话：</w:t>
      </w:r>
      <w:r>
        <w:t xml:space="preserve"> </w:t>
      </w:r>
      <w:r>
        <w:rPr>
          <w:rFonts w:hint="eastAsia"/>
        </w:rPr>
        <w:t>17860605786</w:t>
      </w:r>
      <w:r>
        <w:rPr>
          <w:rFonts w:hint="eastAsia"/>
          <w:lang w:eastAsia="zh-CN"/>
        </w:rPr>
        <w:t>、15762396520</w:t>
      </w:r>
    </w:p>
    <w:p w14:paraId="3A550DC6">
      <w:pPr>
        <w:spacing w:line="360" w:lineRule="auto"/>
        <w:ind w:firstLine="240" w:firstLineChars="100"/>
        <w:rPr>
          <w:rFonts w:hint="eastAsia" w:eastAsiaTheme="minorEastAsia"/>
          <w:sz w:val="24"/>
          <w:szCs w:val="24"/>
          <w:lang w:eastAsia="zh-CN"/>
        </w:rPr>
      </w:pPr>
      <w:r>
        <w:rPr>
          <w:rFonts w:hint="eastAsia"/>
          <w:sz w:val="24"/>
          <w:szCs w:val="24"/>
        </w:rPr>
        <w:t>E-MAIL：</w:t>
      </w:r>
      <w:r>
        <w:t xml:space="preserve"> </w:t>
      </w:r>
      <w:r>
        <w:rPr>
          <w:rFonts w:hint="eastAsia"/>
        </w:rPr>
        <w:t>wangxuan1@sinotruk.com</w:t>
      </w:r>
      <w:r>
        <w:rPr>
          <w:rFonts w:hint="eastAsia"/>
          <w:lang w:eastAsia="zh-CN"/>
        </w:rPr>
        <w:t>、liuyi2@sinotruk.com</w:t>
      </w:r>
    </w:p>
    <w:p w14:paraId="4C26F48A">
      <w:pPr>
        <w:spacing w:line="360" w:lineRule="auto"/>
        <w:rPr>
          <w:sz w:val="24"/>
          <w:szCs w:val="24"/>
        </w:rPr>
      </w:pPr>
      <w:r>
        <w:rPr>
          <w:sz w:val="24"/>
          <w:szCs w:val="24"/>
        </w:rPr>
        <w:t>6</w:t>
      </w:r>
      <w:r>
        <w:rPr>
          <w:rFonts w:hint="eastAsia"/>
          <w:sz w:val="24"/>
          <w:szCs w:val="24"/>
        </w:rPr>
        <w:t>、投标截止时间及开标时间</w:t>
      </w:r>
      <w:r>
        <w:rPr>
          <w:rFonts w:hint="eastAsia" w:ascii="宋体" w:hAnsi="宋体"/>
          <w:sz w:val="24"/>
          <w:szCs w:val="24"/>
        </w:rPr>
        <w:t>：</w:t>
      </w:r>
      <w:r>
        <w:rPr>
          <w:b/>
          <w:u w:val="single"/>
        </w:rPr>
        <w:t>2026年</w:t>
      </w:r>
      <w:r>
        <w:rPr>
          <w:rFonts w:hint="eastAsia"/>
          <w:b/>
          <w:u w:val="single"/>
          <w:lang w:val="en-US" w:eastAsia="zh-CN"/>
        </w:rPr>
        <w:t>10</w:t>
      </w:r>
      <w:r>
        <w:rPr>
          <w:b/>
          <w:u w:val="single"/>
        </w:rPr>
        <w:t xml:space="preserve"> 月 </w:t>
      </w:r>
      <w:r>
        <w:rPr>
          <w:rFonts w:hint="eastAsia"/>
          <w:b/>
          <w:u w:val="single"/>
          <w:lang w:val="en-US" w:eastAsia="zh-CN"/>
        </w:rPr>
        <w:t>16</w:t>
      </w:r>
      <w:r>
        <w:rPr>
          <w:b/>
          <w:u w:val="single"/>
        </w:rPr>
        <w:t xml:space="preserve"> 日上午 9:30:00（北京时间）</w:t>
      </w:r>
      <w:r>
        <w:rPr>
          <w:rFonts w:hint="eastAsia"/>
          <w:sz w:val="24"/>
          <w:szCs w:val="24"/>
        </w:rPr>
        <w:t>。</w:t>
      </w:r>
    </w:p>
    <w:p w14:paraId="51296EEB">
      <w:pPr>
        <w:spacing w:line="360" w:lineRule="auto"/>
        <w:rPr>
          <w:sz w:val="24"/>
          <w:szCs w:val="24"/>
        </w:rPr>
      </w:pPr>
      <w:r>
        <w:rPr>
          <w:sz w:val="24"/>
          <w:szCs w:val="24"/>
        </w:rPr>
        <w:t>7</w:t>
      </w:r>
      <w:r>
        <w:rPr>
          <w:rFonts w:hint="eastAsia"/>
          <w:sz w:val="24"/>
          <w:szCs w:val="24"/>
        </w:rPr>
        <w:t>、开标地点：济南市高新区华奥路777号。</w:t>
      </w:r>
    </w:p>
    <w:p w14:paraId="67737F44">
      <w:pPr>
        <w:spacing w:line="360" w:lineRule="auto"/>
        <w:ind w:firstLine="240" w:firstLineChars="100"/>
        <w:rPr>
          <w:b/>
          <w:sz w:val="24"/>
          <w:szCs w:val="24"/>
        </w:rPr>
      </w:pPr>
    </w:p>
    <w:p w14:paraId="752293BA">
      <w:pPr>
        <w:wordWrap w:val="0"/>
        <w:spacing w:after="624" w:line="360" w:lineRule="auto"/>
        <w:ind w:firstLine="240" w:firstLineChars="100"/>
        <w:jc w:val="right"/>
        <w:rPr>
          <w:rFonts w:ascii="宋体" w:hAnsi="宋体"/>
          <w:b/>
          <w:sz w:val="24"/>
          <w:szCs w:val="24"/>
        </w:rPr>
      </w:pPr>
      <w:r>
        <w:rPr>
          <w:rFonts w:ascii="宋体" w:hAnsi="宋体"/>
          <w:b/>
          <w:sz w:val="24"/>
          <w:szCs w:val="24"/>
          <w:highlight w:val="yellow"/>
        </w:rPr>
        <w:t>2026</w:t>
      </w:r>
      <w:r>
        <w:rPr>
          <w:rFonts w:hint="eastAsia" w:ascii="宋体" w:hAnsi="宋体"/>
          <w:b/>
          <w:sz w:val="24"/>
          <w:szCs w:val="24"/>
          <w:highlight w:val="yellow"/>
        </w:rPr>
        <w:t>年</w:t>
      </w:r>
      <w:r>
        <w:rPr>
          <w:rFonts w:hint="eastAsia" w:ascii="宋体" w:hAnsi="宋体"/>
          <w:b/>
          <w:sz w:val="24"/>
          <w:szCs w:val="24"/>
          <w:highlight w:val="yellow"/>
          <w:lang w:val="en-US" w:eastAsia="zh-CN"/>
        </w:rPr>
        <w:t>9</w:t>
      </w:r>
      <w:r>
        <w:rPr>
          <w:rFonts w:hint="eastAsia" w:ascii="宋体" w:hAnsi="宋体"/>
          <w:b/>
          <w:sz w:val="24"/>
          <w:szCs w:val="24"/>
          <w:highlight w:val="yellow"/>
        </w:rPr>
        <w:t>月</w:t>
      </w:r>
      <w:r>
        <w:rPr>
          <w:rFonts w:hint="eastAsia" w:ascii="宋体" w:hAnsi="宋体"/>
          <w:b/>
          <w:sz w:val="24"/>
          <w:szCs w:val="24"/>
          <w:highlight w:val="yellow"/>
          <w:lang w:val="en-US" w:eastAsia="zh-CN"/>
        </w:rPr>
        <w:t>29</w:t>
      </w:r>
      <w:r>
        <w:rPr>
          <w:rFonts w:hint="eastAsia" w:ascii="宋体" w:hAnsi="宋体"/>
          <w:b/>
          <w:sz w:val="24"/>
          <w:szCs w:val="24"/>
          <w:highlight w:val="yellow"/>
        </w:rPr>
        <w:t>日</w:t>
      </w:r>
    </w:p>
    <w:p w14:paraId="4ABC271C">
      <w:pPr>
        <w:spacing w:after="624" w:line="360" w:lineRule="auto"/>
        <w:ind w:firstLine="240" w:firstLineChars="100"/>
        <w:jc w:val="right"/>
        <w:rPr>
          <w:rFonts w:ascii="宋体"/>
          <w:b/>
          <w:sz w:val="24"/>
          <w:szCs w:val="24"/>
        </w:rPr>
      </w:pPr>
    </w:p>
    <w:p w14:paraId="73BAFF96">
      <w:pPr>
        <w:spacing w:after="624" w:line="360" w:lineRule="auto"/>
        <w:ind w:firstLine="240" w:firstLineChars="100"/>
        <w:jc w:val="right"/>
        <w:rPr>
          <w:rFonts w:ascii="宋体"/>
          <w:b/>
          <w:sz w:val="24"/>
          <w:szCs w:val="24"/>
        </w:rPr>
      </w:pPr>
    </w:p>
    <w:p w14:paraId="7FE48EF9">
      <w:pPr>
        <w:spacing w:after="624" w:line="360" w:lineRule="auto"/>
        <w:ind w:firstLine="240" w:firstLineChars="100"/>
        <w:jc w:val="right"/>
        <w:rPr>
          <w:rFonts w:ascii="宋体"/>
          <w:b/>
          <w:sz w:val="24"/>
          <w:szCs w:val="24"/>
        </w:rPr>
      </w:pPr>
    </w:p>
    <w:p w14:paraId="2BECCD20">
      <w:pPr>
        <w:spacing w:after="624" w:line="360" w:lineRule="auto"/>
        <w:ind w:firstLine="240" w:firstLineChars="100"/>
        <w:jc w:val="right"/>
        <w:rPr>
          <w:rFonts w:ascii="宋体"/>
          <w:b/>
          <w:sz w:val="24"/>
          <w:szCs w:val="24"/>
        </w:rPr>
      </w:pPr>
    </w:p>
    <w:p w14:paraId="619EABEF">
      <w:pPr>
        <w:pStyle w:val="20"/>
        <w:jc w:val="center"/>
        <w:outlineLvl w:val="0"/>
        <w:rPr>
          <w:rFonts w:hint="eastAsia" w:eastAsia="黑体" w:asciiTheme="minorHAnsi" w:hAnsiTheme="minorHAnsi"/>
          <w:bCs/>
          <w:color w:val="000000"/>
          <w:kern w:val="44"/>
          <w:sz w:val="36"/>
          <w:szCs w:val="24"/>
        </w:rPr>
        <w:sectPr>
          <w:headerReference r:id="rId7" w:type="default"/>
          <w:footerReference r:id="rId8" w:type="default"/>
          <w:pgSz w:w="11907" w:h="16840"/>
          <w:pgMar w:top="1304" w:right="1418" w:bottom="1304" w:left="1418" w:header="724" w:footer="851" w:gutter="0"/>
          <w:cols w:space="720" w:num="1"/>
          <w:docGrid w:linePitch="290" w:charSpace="-3931"/>
        </w:sectPr>
      </w:pPr>
      <w:bookmarkStart w:id="3" w:name="_Toc234572371"/>
    </w:p>
    <w:p w14:paraId="5F454479">
      <w:pPr>
        <w:pStyle w:val="20"/>
        <w:jc w:val="center"/>
        <w:outlineLvl w:val="0"/>
        <w:rPr>
          <w:rFonts w:eastAsia="黑体" w:asciiTheme="minorHAnsi" w:hAnsiTheme="minorHAnsi"/>
          <w:bCs/>
          <w:color w:val="000000"/>
          <w:kern w:val="44"/>
          <w:sz w:val="36"/>
          <w:szCs w:val="24"/>
        </w:rPr>
      </w:pPr>
      <w:r>
        <w:rPr>
          <w:rFonts w:hint="eastAsia" w:eastAsia="黑体" w:asciiTheme="minorHAnsi" w:hAnsiTheme="minorHAnsi"/>
          <w:bCs/>
          <w:color w:val="000000"/>
          <w:kern w:val="44"/>
          <w:sz w:val="36"/>
          <w:szCs w:val="24"/>
        </w:rPr>
        <w:t>第二部分 投标须知前附表</w:t>
      </w:r>
      <w:bookmarkEnd w:id="3"/>
    </w:p>
    <w:p w14:paraId="185F1935">
      <w:pPr>
        <w:pStyle w:val="20"/>
        <w:jc w:val="center"/>
        <w:rPr>
          <w:rFonts w:ascii="Calibri" w:hAnsi="Calibri" w:eastAsia="宋体" w:cs="Times New Roman"/>
          <w:b/>
          <w:bCs/>
          <w:kern w:val="44"/>
          <w:sz w:val="36"/>
          <w:szCs w:val="44"/>
        </w:rPr>
      </w:pPr>
    </w:p>
    <w:p w14:paraId="187BBD94">
      <w:pPr>
        <w:spacing w:line="360" w:lineRule="auto"/>
        <w:ind w:firstLine="482" w:firstLineChars="200"/>
        <w:rPr>
          <w:rFonts w:ascii="宋体" w:hAnsi="宋体" w:eastAsia="宋体" w:cs="宋体"/>
          <w:b/>
          <w:bCs/>
          <w:sz w:val="24"/>
          <w:szCs w:val="24"/>
        </w:rPr>
      </w:pPr>
      <w:r>
        <w:rPr>
          <w:rFonts w:hint="eastAsia" w:ascii="宋体" w:hAnsi="宋体" w:eastAsia="宋体" w:cs="宋体"/>
          <w:b/>
          <w:bCs/>
          <w:sz w:val="24"/>
          <w:szCs w:val="24"/>
        </w:rPr>
        <w:t>本部分是对“投标须知”正文的具体补充和修改，如有不一致，以“前附表”为准。</w:t>
      </w:r>
    </w:p>
    <w:tbl>
      <w:tblPr>
        <w:tblStyle w:val="42"/>
        <w:tblpPr w:leftFromText="180" w:rightFromText="180" w:vertAnchor="text" w:tblpXSpec="center" w:tblpY="1"/>
        <w:tblOverlap w:val="never"/>
        <w:tblW w:w="0" w:type="auto"/>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28" w:type="dxa"/>
          <w:bottom w:w="0" w:type="dxa"/>
          <w:right w:w="28" w:type="dxa"/>
        </w:tblCellMar>
      </w:tblPr>
      <w:tblGrid>
        <w:gridCol w:w="595"/>
        <w:gridCol w:w="8363"/>
      </w:tblGrid>
      <w:tr w14:paraId="7A71D5C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7" w:hRule="atLeast"/>
          <w:tblHeader/>
        </w:trPr>
        <w:tc>
          <w:tcPr>
            <w:tcW w:w="595" w:type="dxa"/>
            <w:tcBorders>
              <w:top w:val="single" w:color="auto" w:sz="2" w:space="0"/>
              <w:left w:val="single" w:color="auto" w:sz="2" w:space="0"/>
              <w:bottom w:val="single" w:color="auto" w:sz="2" w:space="0"/>
              <w:right w:val="single" w:color="auto" w:sz="2" w:space="0"/>
            </w:tcBorders>
            <w:shd w:val="clear" w:color="auto" w:fill="E2EFD9"/>
            <w:vAlign w:val="center"/>
          </w:tcPr>
          <w:p w14:paraId="1B886C5D">
            <w:pPr>
              <w:jc w:val="center"/>
              <w:rPr>
                <w:rStyle w:val="136"/>
                <w:rFonts w:ascii="宋体" w:hAnsi="宋体" w:eastAsia="宋体" w:cs="宋体"/>
                <w:b/>
                <w:sz w:val="28"/>
                <w:szCs w:val="28"/>
              </w:rPr>
            </w:pPr>
            <w:bookmarkStart w:id="4" w:name="_Toc346372875"/>
            <w:r>
              <w:rPr>
                <w:rStyle w:val="136"/>
                <w:rFonts w:hint="eastAsia" w:ascii="宋体" w:hAnsi="宋体" w:eastAsia="宋体" w:cs="宋体"/>
                <w:b/>
                <w:sz w:val="28"/>
                <w:szCs w:val="28"/>
              </w:rPr>
              <w:t>序号</w:t>
            </w:r>
          </w:p>
        </w:tc>
        <w:tc>
          <w:tcPr>
            <w:tcW w:w="8363" w:type="dxa"/>
            <w:tcBorders>
              <w:top w:val="single" w:color="auto" w:sz="2" w:space="0"/>
              <w:left w:val="single" w:color="auto" w:sz="2" w:space="0"/>
              <w:bottom w:val="single" w:color="auto" w:sz="2" w:space="0"/>
              <w:right w:val="single" w:color="auto" w:sz="2" w:space="0"/>
            </w:tcBorders>
            <w:shd w:val="clear" w:color="auto" w:fill="E2EFD9"/>
            <w:vAlign w:val="center"/>
          </w:tcPr>
          <w:p w14:paraId="351DA83F">
            <w:pPr>
              <w:ind w:firstLine="562" w:firstLineChars="200"/>
              <w:jc w:val="center"/>
              <w:rPr>
                <w:rFonts w:ascii="宋体" w:hAnsi="宋体" w:eastAsia="宋体" w:cs="宋体"/>
                <w:b/>
                <w:bCs/>
                <w:sz w:val="28"/>
                <w:szCs w:val="28"/>
              </w:rPr>
            </w:pPr>
            <w:r>
              <w:rPr>
                <w:rStyle w:val="136"/>
                <w:rFonts w:hint="eastAsia" w:ascii="宋体" w:hAnsi="宋体" w:eastAsia="宋体" w:cs="宋体"/>
                <w:b/>
                <w:sz w:val="28"/>
                <w:szCs w:val="28"/>
              </w:rPr>
              <w:t>编  列  内  容</w:t>
            </w:r>
          </w:p>
        </w:tc>
      </w:tr>
      <w:tr w14:paraId="120D12E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0"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7B53D5CB">
            <w:pPr>
              <w:jc w:val="center"/>
              <w:rPr>
                <w:rFonts w:ascii="宋体" w:hAnsi="宋体" w:eastAsia="宋体" w:cs="宋体"/>
                <w:b/>
                <w:bCs/>
                <w:sz w:val="24"/>
                <w:szCs w:val="24"/>
              </w:rPr>
            </w:pPr>
            <w:r>
              <w:rPr>
                <w:rFonts w:hint="eastAsia" w:ascii="宋体" w:hAnsi="宋体" w:eastAsia="宋体" w:cs="宋体"/>
                <w:b/>
                <w:bCs/>
                <w:sz w:val="24"/>
                <w:szCs w:val="24"/>
              </w:rPr>
              <w:t>1.项目说明</w:t>
            </w:r>
          </w:p>
        </w:tc>
      </w:tr>
      <w:tr w14:paraId="74EDDD0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628" w:hRule="atLeast"/>
        </w:trPr>
        <w:tc>
          <w:tcPr>
            <w:tcW w:w="595" w:type="dxa"/>
            <w:tcBorders>
              <w:top w:val="single" w:color="auto" w:sz="2" w:space="0"/>
              <w:left w:val="single" w:color="auto" w:sz="2" w:space="0"/>
              <w:right w:val="single" w:color="auto" w:sz="2" w:space="0"/>
            </w:tcBorders>
            <w:vAlign w:val="center"/>
          </w:tcPr>
          <w:p w14:paraId="0F5275E9">
            <w:pPr>
              <w:jc w:val="center"/>
              <w:rPr>
                <w:rFonts w:ascii="宋体" w:hAnsi="宋体" w:eastAsia="宋体" w:cs="宋体"/>
                <w:sz w:val="24"/>
                <w:szCs w:val="24"/>
              </w:rPr>
            </w:pPr>
            <w:r>
              <w:rPr>
                <w:rFonts w:hint="eastAsia" w:ascii="宋体" w:hAnsi="宋体" w:eastAsia="宋体" w:cs="宋体"/>
                <w:sz w:val="24"/>
                <w:szCs w:val="24"/>
              </w:rPr>
              <w:t>1.1</w:t>
            </w:r>
          </w:p>
        </w:tc>
        <w:tc>
          <w:tcPr>
            <w:tcW w:w="8363" w:type="dxa"/>
            <w:tcBorders>
              <w:top w:val="single" w:color="auto" w:sz="2" w:space="0"/>
              <w:left w:val="single" w:color="auto" w:sz="2" w:space="0"/>
              <w:right w:val="single" w:color="auto" w:sz="2" w:space="0"/>
            </w:tcBorders>
            <w:vAlign w:val="center"/>
          </w:tcPr>
          <w:p w14:paraId="396A13AF">
            <w:pPr>
              <w:ind w:firstLine="482" w:firstLineChars="200"/>
              <w:rPr>
                <w:rFonts w:ascii="宋体" w:hAnsi="宋体" w:eastAsia="宋体" w:cs="宋体"/>
                <w:sz w:val="24"/>
                <w:szCs w:val="24"/>
              </w:rPr>
            </w:pPr>
            <w:r>
              <w:rPr>
                <w:rFonts w:hint="eastAsia" w:ascii="宋体" w:hAnsi="宋体" w:eastAsia="宋体" w:cs="宋体"/>
                <w:b/>
                <w:bCs/>
                <w:sz w:val="24"/>
                <w:szCs w:val="24"/>
              </w:rPr>
              <w:t>项目名称：</w:t>
            </w:r>
            <w:r>
              <w:rPr>
                <w:rFonts w:hint="eastAsia"/>
                <w:color w:val="000000"/>
                <w:sz w:val="24"/>
                <w:szCs w:val="24"/>
                <w:u w:val="single"/>
              </w:rPr>
              <w:t>中国重汽集团泰安五岳专用汽车有限公司新增自卸车整箱抛丸清理设备技改项目</w:t>
            </w:r>
          </w:p>
        </w:tc>
      </w:tr>
      <w:tr w14:paraId="78EB9BD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restart"/>
            <w:tcBorders>
              <w:top w:val="single" w:color="auto" w:sz="2" w:space="0"/>
              <w:left w:val="single" w:color="auto" w:sz="2" w:space="0"/>
              <w:right w:val="single" w:color="auto" w:sz="2" w:space="0"/>
            </w:tcBorders>
            <w:vAlign w:val="center"/>
          </w:tcPr>
          <w:p w14:paraId="441FDFCF">
            <w:pPr>
              <w:jc w:val="center"/>
              <w:rPr>
                <w:rFonts w:ascii="宋体" w:hAnsi="宋体" w:eastAsia="宋体" w:cs="宋体"/>
                <w:sz w:val="24"/>
                <w:szCs w:val="24"/>
              </w:rPr>
            </w:pPr>
            <w:r>
              <w:rPr>
                <w:rFonts w:hint="eastAsia" w:ascii="宋体" w:hAnsi="宋体" w:eastAsia="宋体" w:cs="宋体"/>
                <w:sz w:val="24"/>
                <w:szCs w:val="24"/>
              </w:rPr>
              <w:t>1.2</w:t>
            </w:r>
          </w:p>
        </w:tc>
        <w:tc>
          <w:tcPr>
            <w:tcW w:w="8363" w:type="dxa"/>
            <w:tcBorders>
              <w:top w:val="single" w:color="auto" w:sz="2" w:space="0"/>
              <w:left w:val="single" w:color="auto" w:sz="2" w:space="0"/>
              <w:bottom w:val="single" w:color="auto" w:sz="2" w:space="0"/>
              <w:right w:val="single" w:color="auto" w:sz="2" w:space="0"/>
            </w:tcBorders>
            <w:vAlign w:val="center"/>
          </w:tcPr>
          <w:p w14:paraId="75C3C274">
            <w:pPr>
              <w:ind w:firstLine="482" w:firstLineChars="200"/>
              <w:rPr>
                <w:rFonts w:ascii="宋体" w:hAnsi="宋体" w:eastAsia="宋体" w:cs="宋体"/>
                <w:sz w:val="24"/>
                <w:szCs w:val="24"/>
              </w:rPr>
            </w:pPr>
            <w:r>
              <w:rPr>
                <w:rFonts w:hint="eastAsia" w:ascii="宋体" w:hAnsi="宋体" w:eastAsia="宋体" w:cs="宋体"/>
                <w:b/>
                <w:bCs/>
                <w:sz w:val="24"/>
                <w:szCs w:val="24"/>
              </w:rPr>
              <w:t>招标内容：</w:t>
            </w:r>
            <w:r>
              <w:rPr>
                <w:rFonts w:hint="eastAsia" w:ascii="宋体" w:hAnsi="宋体" w:eastAsia="宋体" w:cs="宋体"/>
                <w:sz w:val="24"/>
                <w:szCs w:val="24"/>
                <w:u w:val="single"/>
              </w:rPr>
              <w:t>工件悬挂通过式专用于自卸车产品的整箱抛丸清理设备1套。</w:t>
            </w:r>
          </w:p>
        </w:tc>
      </w:tr>
      <w:tr w14:paraId="6F146CA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continue"/>
            <w:tcBorders>
              <w:left w:val="single" w:color="auto" w:sz="2" w:space="0"/>
              <w:bottom w:val="single" w:color="auto" w:sz="2" w:space="0"/>
              <w:right w:val="single" w:color="auto" w:sz="2" w:space="0"/>
            </w:tcBorders>
            <w:vAlign w:val="center"/>
          </w:tcPr>
          <w:p w14:paraId="66DD00D4">
            <w:pPr>
              <w:ind w:firstLine="420" w:firstLineChars="200"/>
            </w:pPr>
          </w:p>
        </w:tc>
        <w:tc>
          <w:tcPr>
            <w:tcW w:w="8363" w:type="dxa"/>
            <w:tcBorders>
              <w:top w:val="single" w:color="auto" w:sz="2" w:space="0"/>
              <w:left w:val="single" w:color="auto" w:sz="2" w:space="0"/>
              <w:bottom w:val="single" w:color="auto" w:sz="2" w:space="0"/>
              <w:right w:val="single" w:color="auto" w:sz="2" w:space="0"/>
            </w:tcBorders>
            <w:vAlign w:val="center"/>
          </w:tcPr>
          <w:p w14:paraId="69208038">
            <w:pPr>
              <w:ind w:firstLine="482" w:firstLineChars="200"/>
              <w:rPr>
                <w:rFonts w:ascii="宋体" w:hAnsi="宋体" w:eastAsia="宋体" w:cs="宋体"/>
                <w:b/>
                <w:bCs/>
                <w:sz w:val="24"/>
                <w:szCs w:val="24"/>
              </w:rPr>
            </w:pPr>
            <w:r>
              <w:rPr>
                <w:rFonts w:hint="eastAsia" w:ascii="宋体" w:hAnsi="宋体" w:eastAsia="宋体" w:cs="宋体"/>
                <w:b/>
                <w:bCs/>
                <w:sz w:val="24"/>
                <w:szCs w:val="24"/>
              </w:rPr>
              <w:t>招标形式：</w:t>
            </w:r>
            <w:r>
              <w:rPr>
                <w:rFonts w:hint="eastAsia" w:ascii="宋体" w:hAnsi="宋体" w:eastAsia="宋体" w:cs="宋体"/>
                <w:sz w:val="24"/>
                <w:szCs w:val="24"/>
                <w:u w:val="single"/>
                <w:lang w:val="en-US" w:eastAsia="zh-CN"/>
              </w:rPr>
              <w:t>公开</w:t>
            </w:r>
            <w:r>
              <w:rPr>
                <w:rFonts w:hint="eastAsia" w:ascii="宋体" w:hAnsi="宋体" w:eastAsia="宋体" w:cs="宋体"/>
                <w:sz w:val="24"/>
                <w:szCs w:val="24"/>
                <w:u w:val="single"/>
              </w:rPr>
              <w:t>招标</w:t>
            </w:r>
          </w:p>
        </w:tc>
      </w:tr>
      <w:tr w14:paraId="2A48D70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501" w:hRule="atLeast"/>
        </w:trPr>
        <w:tc>
          <w:tcPr>
            <w:tcW w:w="595" w:type="dxa"/>
            <w:tcBorders>
              <w:top w:val="single" w:color="auto" w:sz="2" w:space="0"/>
              <w:left w:val="single" w:color="auto" w:sz="2" w:space="0"/>
              <w:bottom w:val="single" w:color="auto" w:sz="2" w:space="0"/>
              <w:right w:val="single" w:color="auto" w:sz="2" w:space="0"/>
            </w:tcBorders>
            <w:vAlign w:val="center"/>
          </w:tcPr>
          <w:p w14:paraId="1F44DA68">
            <w:pPr>
              <w:jc w:val="center"/>
              <w:rPr>
                <w:rFonts w:ascii="宋体" w:hAnsi="宋体" w:eastAsia="宋体" w:cs="宋体"/>
                <w:sz w:val="24"/>
                <w:szCs w:val="24"/>
              </w:rPr>
            </w:pPr>
            <w:r>
              <w:rPr>
                <w:rFonts w:hint="eastAsia" w:ascii="宋体" w:hAnsi="宋体" w:eastAsia="宋体" w:cs="宋体"/>
                <w:sz w:val="24"/>
                <w:szCs w:val="24"/>
              </w:rPr>
              <w:t>1.3</w:t>
            </w:r>
          </w:p>
        </w:tc>
        <w:tc>
          <w:tcPr>
            <w:tcW w:w="8363" w:type="dxa"/>
            <w:tcBorders>
              <w:top w:val="single" w:color="auto" w:sz="2" w:space="0"/>
              <w:left w:val="single" w:color="auto" w:sz="2" w:space="0"/>
              <w:bottom w:val="single" w:color="auto" w:sz="2" w:space="0"/>
              <w:right w:val="single" w:color="auto" w:sz="2" w:space="0"/>
            </w:tcBorders>
            <w:vAlign w:val="center"/>
          </w:tcPr>
          <w:p w14:paraId="25623AEB">
            <w:pPr>
              <w:ind w:firstLine="482" w:firstLineChars="200"/>
              <w:rPr>
                <w:rFonts w:hint="default" w:ascii="宋体" w:hAnsi="宋体" w:eastAsia="宋体" w:cs="宋体"/>
                <w:bCs/>
                <w:snapToGrid w:val="0"/>
                <w:kern w:val="0"/>
                <w:sz w:val="24"/>
                <w:szCs w:val="24"/>
                <w:lang w:val="en-US" w:eastAsia="zh-CN"/>
              </w:rPr>
            </w:pPr>
            <w:r>
              <w:rPr>
                <w:rFonts w:hint="eastAsia" w:ascii="宋体" w:hAnsi="宋体" w:eastAsia="宋体" w:cs="宋体"/>
                <w:b/>
                <w:snapToGrid w:val="0"/>
                <w:kern w:val="0"/>
                <w:sz w:val="24"/>
                <w:szCs w:val="24"/>
              </w:rPr>
              <w:t>招标人名称：</w:t>
            </w:r>
            <w:r>
              <w:rPr>
                <w:rFonts w:hint="eastAsia" w:ascii="宋体" w:hAnsi="宋体" w:eastAsia="宋体" w:cs="宋体"/>
                <w:sz w:val="24"/>
                <w:szCs w:val="24"/>
                <w:u w:val="single"/>
              </w:rPr>
              <w:t>中国重汽集团国际有限公司</w:t>
            </w:r>
            <w:r>
              <w:rPr>
                <w:rFonts w:hint="eastAsia" w:ascii="宋体" w:hAnsi="宋体" w:eastAsia="宋体" w:cs="宋体"/>
                <w:sz w:val="24"/>
                <w:szCs w:val="24"/>
                <w:u w:val="single"/>
                <w:lang w:val="en-US" w:eastAsia="zh-CN"/>
              </w:rPr>
              <w:t>泰安五岳专用汽车有限公司</w:t>
            </w:r>
          </w:p>
          <w:p w14:paraId="111D9913">
            <w:pPr>
              <w:ind w:firstLine="482" w:firstLineChars="200"/>
              <w:rPr>
                <w:rFonts w:ascii="宋体" w:hAnsi="宋体" w:eastAsia="宋体" w:cs="宋体"/>
                <w:sz w:val="24"/>
                <w:szCs w:val="24"/>
                <w:u w:val="single"/>
              </w:rPr>
            </w:pPr>
            <w:r>
              <w:rPr>
                <w:rFonts w:hint="eastAsia" w:ascii="宋体" w:hAnsi="宋体" w:eastAsia="宋体" w:cs="宋体"/>
                <w:b/>
                <w:snapToGrid w:val="0"/>
                <w:kern w:val="0"/>
                <w:sz w:val="24"/>
                <w:szCs w:val="24"/>
              </w:rPr>
              <w:t>招标人地址：</w:t>
            </w:r>
            <w:r>
              <w:rPr>
                <w:rFonts w:ascii="宋体" w:hAnsi="宋体" w:eastAsia="宋体" w:cs="宋体"/>
                <w:sz w:val="24"/>
                <w:szCs w:val="24"/>
                <w:u w:val="single"/>
              </w:rPr>
              <w:t>山东省</w:t>
            </w:r>
            <w:r>
              <w:rPr>
                <w:rFonts w:hint="eastAsia" w:ascii="宋体" w:hAnsi="宋体" w:eastAsia="宋体" w:cs="宋体"/>
                <w:sz w:val="24"/>
                <w:szCs w:val="24"/>
                <w:u w:val="single"/>
              </w:rPr>
              <w:t>泰安市高新技术产业开发区中天门大街266号</w:t>
            </w:r>
          </w:p>
          <w:p w14:paraId="53EAB438">
            <w:pPr>
              <w:ind w:firstLine="480" w:firstLineChars="200"/>
              <w:rPr>
                <w:rFonts w:hint="eastAsia" w:ascii="宋体" w:hAnsi="宋体" w:eastAsia="宋体" w:cs="宋体"/>
                <w:sz w:val="24"/>
                <w:szCs w:val="24"/>
              </w:rPr>
            </w:pPr>
            <w:r>
              <w:rPr>
                <w:rFonts w:hint="eastAsia" w:ascii="宋体" w:hAnsi="宋体" w:eastAsia="宋体" w:cs="宋体"/>
                <w:sz w:val="24"/>
                <w:szCs w:val="24"/>
              </w:rPr>
              <w:t>商务联系人：</w:t>
            </w:r>
            <w:r>
              <w:rPr>
                <w:rFonts w:hint="eastAsia" w:ascii="宋体" w:hAnsi="宋体" w:eastAsia="宋体" w:cs="宋体"/>
                <w:sz w:val="24"/>
                <w:szCs w:val="24"/>
                <w:lang w:val="en-US" w:eastAsia="zh-CN"/>
              </w:rPr>
              <w:t>王瑄</w:t>
            </w:r>
            <w:r>
              <w:rPr>
                <w:rFonts w:hint="eastAsia" w:ascii="宋体" w:hAnsi="宋体" w:eastAsia="宋体" w:cs="宋体"/>
                <w:sz w:val="24"/>
                <w:szCs w:val="24"/>
              </w:rPr>
              <w:t xml:space="preserve">   </w:t>
            </w:r>
            <w:r>
              <w:rPr>
                <w:rFonts w:hint="eastAsia" w:ascii="宋体" w:hAnsi="宋体" w:eastAsia="宋体" w:cs="宋体"/>
                <w:sz w:val="24"/>
                <w:szCs w:val="24"/>
              </w:rPr>
              <w:t xml:space="preserve">          </w:t>
            </w:r>
            <w:r>
              <w:rPr>
                <w:rFonts w:hint="eastAsia" w:ascii="宋体" w:hAnsi="宋体" w:eastAsia="宋体" w:cs="宋体"/>
                <w:sz w:val="24"/>
                <w:szCs w:val="24"/>
              </w:rPr>
              <w:t>技术联系人：</w:t>
            </w:r>
            <w:r>
              <w:rPr>
                <w:rFonts w:hint="eastAsia" w:ascii="宋体" w:hAnsi="宋体" w:eastAsia="宋体" w:cs="宋体"/>
                <w:sz w:val="24"/>
                <w:szCs w:val="24"/>
                <w:lang w:val="en-US" w:eastAsia="zh-CN"/>
              </w:rPr>
              <w:t>侯波</w:t>
            </w:r>
            <w:r>
              <w:rPr>
                <w:rFonts w:hint="eastAsia" w:ascii="宋体" w:hAnsi="宋体" w:eastAsia="宋体" w:cs="宋体"/>
                <w:sz w:val="24"/>
                <w:szCs w:val="24"/>
              </w:rPr>
              <w:t xml:space="preserve"> </w:t>
            </w:r>
          </w:p>
          <w:p w14:paraId="0FBAB0FB">
            <w:pPr>
              <w:ind w:firstLine="480" w:firstLineChars="200"/>
              <w:rPr>
                <w:rFonts w:hint="eastAsia" w:ascii="宋体" w:hAnsi="宋体" w:eastAsia="宋体" w:cs="宋体"/>
                <w:sz w:val="24"/>
                <w:szCs w:val="24"/>
              </w:rPr>
            </w:pPr>
            <w:r>
              <w:rPr>
                <w:rFonts w:hint="eastAsia" w:ascii="宋体" w:hAnsi="宋体" w:eastAsia="宋体" w:cs="宋体"/>
                <w:sz w:val="24"/>
                <w:szCs w:val="24"/>
              </w:rPr>
              <w:t>电话：</w:t>
            </w:r>
            <w:r>
              <w:rPr>
                <w:rFonts w:hint="eastAsia" w:ascii="宋体" w:hAnsi="宋体" w:eastAsia="宋体" w:cs="宋体"/>
                <w:sz w:val="24"/>
                <w:szCs w:val="24"/>
                <w:lang w:val="en-US" w:eastAsia="zh-CN"/>
              </w:rPr>
              <w:t>17860605786</w:t>
            </w:r>
            <w:r>
              <w:rPr>
                <w:rFonts w:hint="eastAsia" w:ascii="宋体" w:hAnsi="宋体" w:eastAsia="宋体" w:cs="宋体"/>
                <w:sz w:val="24"/>
                <w:szCs w:val="24"/>
              </w:rPr>
              <w:t xml:space="preserve">            电话：</w:t>
            </w:r>
            <w:r>
              <w:rPr>
                <w:rFonts w:hint="eastAsia" w:ascii="宋体" w:hAnsi="宋体" w:eastAsia="宋体" w:cs="宋体"/>
                <w:sz w:val="24"/>
                <w:szCs w:val="24"/>
                <w:lang w:eastAsia="zh-CN"/>
              </w:rPr>
              <w:t>1</w:t>
            </w:r>
            <w:r>
              <w:rPr>
                <w:rFonts w:hint="eastAsia" w:ascii="宋体" w:hAnsi="宋体" w:eastAsia="宋体" w:cs="宋体"/>
                <w:sz w:val="24"/>
                <w:szCs w:val="24"/>
                <w:lang w:val="en-US" w:eastAsia="zh-CN"/>
              </w:rPr>
              <w:t>8562329788</w:t>
            </w:r>
            <w:r>
              <w:rPr>
                <w:rFonts w:hint="eastAsia" w:ascii="宋体" w:hAnsi="宋体" w:eastAsia="宋体" w:cs="宋体"/>
                <w:sz w:val="24"/>
                <w:szCs w:val="24"/>
              </w:rPr>
              <w:t xml:space="preserve"> </w:t>
            </w:r>
          </w:p>
          <w:p w14:paraId="2065F8F9">
            <w:pPr>
              <w:ind w:firstLine="480" w:firstLineChars="200"/>
              <w:rPr>
                <w:rFonts w:hint="eastAsia" w:eastAsia="宋体"/>
                <w:highlight w:val="yellow"/>
                <w:lang w:val="en-US" w:eastAsia="zh-CN"/>
              </w:rPr>
            </w:pPr>
            <w:r>
              <w:rPr>
                <w:rFonts w:hint="eastAsia" w:ascii="宋体" w:hAnsi="宋体" w:eastAsia="宋体" w:cs="宋体"/>
                <w:sz w:val="24"/>
                <w:szCs w:val="24"/>
              </w:rPr>
              <w:t>邮箱：wangxuan1@sinotruk.com 邮箱：</w:t>
            </w:r>
            <w:r>
              <w:rPr>
                <w:rFonts w:hint="eastAsia" w:ascii="宋体" w:hAnsi="宋体" w:eastAsia="宋体" w:cs="宋体"/>
                <w:sz w:val="24"/>
                <w:szCs w:val="24"/>
                <w:lang w:val="en-US" w:eastAsia="zh-CN"/>
              </w:rPr>
              <w:t>/</w:t>
            </w:r>
          </w:p>
        </w:tc>
      </w:tr>
      <w:tr w14:paraId="72C6D5C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14" w:hRule="atLeast"/>
        </w:trPr>
        <w:tc>
          <w:tcPr>
            <w:tcW w:w="595" w:type="dxa"/>
            <w:tcBorders>
              <w:top w:val="single" w:color="auto" w:sz="2" w:space="0"/>
              <w:left w:val="single" w:color="auto" w:sz="2" w:space="0"/>
              <w:bottom w:val="single" w:color="auto" w:sz="2" w:space="0"/>
              <w:right w:val="single" w:color="auto" w:sz="2" w:space="0"/>
            </w:tcBorders>
            <w:vAlign w:val="center"/>
          </w:tcPr>
          <w:p w14:paraId="340D52D6">
            <w:pPr>
              <w:jc w:val="center"/>
              <w:rPr>
                <w:rFonts w:ascii="宋体" w:hAnsi="宋体" w:eastAsia="宋体" w:cs="宋体"/>
                <w:sz w:val="24"/>
                <w:szCs w:val="24"/>
              </w:rPr>
            </w:pPr>
            <w:r>
              <w:rPr>
                <w:rFonts w:hint="eastAsia" w:ascii="宋体" w:hAnsi="宋体" w:eastAsia="宋体" w:cs="宋体"/>
                <w:sz w:val="24"/>
                <w:szCs w:val="24"/>
              </w:rPr>
              <w:t>1.4</w:t>
            </w:r>
          </w:p>
        </w:tc>
        <w:tc>
          <w:tcPr>
            <w:tcW w:w="8363" w:type="dxa"/>
            <w:tcBorders>
              <w:top w:val="single" w:color="auto" w:sz="2" w:space="0"/>
              <w:left w:val="single" w:color="auto" w:sz="2" w:space="0"/>
              <w:bottom w:val="single" w:color="auto" w:sz="2" w:space="0"/>
              <w:right w:val="single" w:color="auto" w:sz="2" w:space="0"/>
            </w:tcBorders>
            <w:vAlign w:val="center"/>
          </w:tcPr>
          <w:p w14:paraId="53AB584D">
            <w:pPr>
              <w:ind w:firstLine="482" w:firstLineChars="200"/>
              <w:rPr>
                <w:rFonts w:ascii="宋体" w:hAnsi="宋体" w:eastAsia="宋体" w:cs="宋体"/>
                <w:sz w:val="24"/>
                <w:szCs w:val="24"/>
              </w:rPr>
            </w:pPr>
            <w:r>
              <w:rPr>
                <w:rFonts w:hint="eastAsia" w:ascii="宋体" w:hAnsi="宋体" w:eastAsia="宋体" w:cs="宋体"/>
                <w:b/>
                <w:bCs/>
                <w:sz w:val="24"/>
                <w:szCs w:val="24"/>
              </w:rPr>
              <w:t>资金来源：</w:t>
            </w:r>
            <w:r>
              <w:rPr>
                <w:rFonts w:hint="eastAsia" w:ascii="宋体" w:hAnsi="宋体" w:eastAsia="宋体" w:cs="宋体"/>
                <w:bCs/>
                <w:sz w:val="24"/>
                <w:szCs w:val="24"/>
              </w:rPr>
              <w:t>企业自筹，已落实</w:t>
            </w:r>
            <w:r>
              <w:rPr>
                <w:rFonts w:hint="eastAsia" w:ascii="宋体" w:hAnsi="宋体" w:eastAsia="宋体" w:cs="宋体"/>
                <w:kern w:val="0"/>
                <w:sz w:val="24"/>
                <w:szCs w:val="24"/>
              </w:rPr>
              <w:t>。</w:t>
            </w:r>
          </w:p>
        </w:tc>
      </w:tr>
      <w:tr w14:paraId="30E50C1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74" w:hRule="atLeast"/>
        </w:trPr>
        <w:tc>
          <w:tcPr>
            <w:tcW w:w="595" w:type="dxa"/>
            <w:tcBorders>
              <w:top w:val="single" w:color="auto" w:sz="2" w:space="0"/>
              <w:left w:val="single" w:color="auto" w:sz="2" w:space="0"/>
              <w:bottom w:val="single" w:color="auto" w:sz="2" w:space="0"/>
              <w:right w:val="single" w:color="auto" w:sz="2" w:space="0"/>
            </w:tcBorders>
            <w:vAlign w:val="center"/>
          </w:tcPr>
          <w:p w14:paraId="57896230">
            <w:pPr>
              <w:jc w:val="center"/>
              <w:rPr>
                <w:rFonts w:ascii="宋体" w:hAnsi="宋体" w:eastAsia="宋体" w:cs="宋体"/>
                <w:sz w:val="24"/>
                <w:szCs w:val="24"/>
              </w:rPr>
            </w:pPr>
            <w:r>
              <w:rPr>
                <w:rFonts w:hint="eastAsia" w:ascii="宋体" w:hAnsi="宋体" w:eastAsia="宋体" w:cs="宋体"/>
                <w:sz w:val="24"/>
                <w:szCs w:val="24"/>
              </w:rPr>
              <w:t>1.5</w:t>
            </w:r>
          </w:p>
        </w:tc>
        <w:tc>
          <w:tcPr>
            <w:tcW w:w="8363" w:type="dxa"/>
            <w:tcBorders>
              <w:top w:val="single" w:color="auto" w:sz="2" w:space="0"/>
              <w:left w:val="single" w:color="auto" w:sz="2" w:space="0"/>
              <w:bottom w:val="single" w:color="auto" w:sz="2" w:space="0"/>
              <w:right w:val="single" w:color="auto" w:sz="2" w:space="0"/>
            </w:tcBorders>
            <w:vAlign w:val="center"/>
          </w:tcPr>
          <w:p w14:paraId="3F464428">
            <w:pPr>
              <w:ind w:firstLine="482" w:firstLineChars="200"/>
              <w:rPr>
                <w:rFonts w:ascii="宋体" w:hAnsi="宋体" w:eastAsia="宋体" w:cs="Times New Roman"/>
                <w:color w:val="000000"/>
                <w:sz w:val="24"/>
                <w:szCs w:val="24"/>
              </w:rPr>
            </w:pPr>
            <w:r>
              <w:rPr>
                <w:rFonts w:hint="eastAsia" w:ascii="宋体" w:hAnsi="宋体" w:eastAsia="宋体" w:cs="宋体"/>
                <w:b/>
                <w:bCs/>
                <w:sz w:val="24"/>
                <w:szCs w:val="24"/>
              </w:rPr>
              <w:t>报价：</w:t>
            </w:r>
            <w:r>
              <w:rPr>
                <w:rFonts w:hint="eastAsia" w:ascii="宋体" w:hAnsi="宋体" w:eastAsia="宋体" w:cs="宋体"/>
                <w:sz w:val="24"/>
                <w:szCs w:val="24"/>
              </w:rPr>
              <w:t>如需要，由投标人自行勘察现场，进行合理报价。投标总报价应包括设备费、原厂服务费及相关配件、随机资料、人身保险、税费、包装、装箱、安装调试</w:t>
            </w:r>
            <w:r>
              <w:rPr>
                <w:rFonts w:ascii="宋体" w:hAnsi="宋体" w:eastAsia="宋体" w:cs="宋体"/>
                <w:sz w:val="24"/>
                <w:szCs w:val="24"/>
              </w:rPr>
              <w:t>、与其他专业配合、配合办理竣工验收（交钥匙）手续及可预见的风险以及其它不可预见等全部费用。</w:t>
            </w:r>
          </w:p>
          <w:p w14:paraId="67E657D4">
            <w:pPr>
              <w:ind w:firstLine="482" w:firstLineChars="200"/>
              <w:rPr>
                <w:rFonts w:ascii="宋体" w:hAnsi="宋体" w:eastAsia="宋体" w:cs="Times New Roman"/>
                <w:color w:val="000000"/>
                <w:sz w:val="24"/>
                <w:szCs w:val="24"/>
              </w:rPr>
            </w:pPr>
            <w:r>
              <w:rPr>
                <w:rFonts w:hint="eastAsia" w:ascii="宋体" w:hAnsi="宋体" w:eastAsia="宋体" w:cs="Times New Roman"/>
                <w:b/>
                <w:bCs/>
                <w:color w:val="000000"/>
                <w:sz w:val="24"/>
                <w:szCs w:val="24"/>
              </w:rPr>
              <w:t>报价货币：</w:t>
            </w:r>
            <w:r>
              <w:rPr>
                <w:rFonts w:hint="eastAsia" w:ascii="宋体" w:hAnsi="宋体" w:eastAsia="宋体" w:cs="Times New Roman"/>
                <w:color w:val="000000"/>
                <w:sz w:val="24"/>
                <w:szCs w:val="24"/>
              </w:rPr>
              <w:t>人民币（</w:t>
            </w:r>
            <w:r>
              <w:rPr>
                <w:rFonts w:hint="eastAsia" w:ascii="宋体" w:hAnsi="宋体" w:eastAsia="宋体" w:cs="Times New Roman"/>
                <w:b/>
                <w:bCs/>
                <w:color w:val="000000"/>
                <w:sz w:val="24"/>
                <w:szCs w:val="24"/>
              </w:rPr>
              <w:t>应同时报含税价和不含税价，写明税率</w:t>
            </w:r>
            <w:r>
              <w:rPr>
                <w:rFonts w:hint="eastAsia" w:ascii="宋体" w:hAnsi="宋体" w:eastAsia="宋体" w:cs="Times New Roman"/>
                <w:color w:val="000000"/>
                <w:sz w:val="24"/>
                <w:szCs w:val="24"/>
              </w:rPr>
              <w:t>）。</w:t>
            </w:r>
          </w:p>
        </w:tc>
      </w:tr>
      <w:tr w14:paraId="0984136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77" w:hRule="atLeast"/>
        </w:trPr>
        <w:tc>
          <w:tcPr>
            <w:tcW w:w="595" w:type="dxa"/>
            <w:tcBorders>
              <w:top w:val="single" w:color="auto" w:sz="2" w:space="0"/>
              <w:left w:val="single" w:color="auto" w:sz="2" w:space="0"/>
              <w:bottom w:val="single" w:color="auto" w:sz="2" w:space="0"/>
              <w:right w:val="single" w:color="auto" w:sz="2" w:space="0"/>
            </w:tcBorders>
            <w:vAlign w:val="center"/>
          </w:tcPr>
          <w:p w14:paraId="4071AA41">
            <w:pPr>
              <w:jc w:val="center"/>
              <w:rPr>
                <w:rFonts w:ascii="宋体" w:hAnsi="宋体" w:eastAsia="宋体" w:cs="宋体"/>
                <w:sz w:val="24"/>
                <w:szCs w:val="24"/>
              </w:rPr>
            </w:pPr>
            <w:r>
              <w:rPr>
                <w:rFonts w:hint="eastAsia" w:ascii="宋体" w:hAnsi="宋体" w:eastAsia="宋体" w:cs="宋体"/>
                <w:sz w:val="24"/>
                <w:szCs w:val="24"/>
              </w:rPr>
              <w:t>1.6</w:t>
            </w:r>
          </w:p>
        </w:tc>
        <w:tc>
          <w:tcPr>
            <w:tcW w:w="8363" w:type="dxa"/>
            <w:tcBorders>
              <w:top w:val="single" w:color="auto" w:sz="2" w:space="0"/>
              <w:left w:val="single" w:color="auto" w:sz="2" w:space="0"/>
              <w:bottom w:val="single" w:color="auto" w:sz="2" w:space="0"/>
              <w:right w:val="single" w:color="auto" w:sz="2" w:space="0"/>
            </w:tcBorders>
            <w:vAlign w:val="center"/>
          </w:tcPr>
          <w:p w14:paraId="307F5DF3">
            <w:pPr>
              <w:pStyle w:val="20"/>
              <w:ind w:firstLine="482" w:firstLineChars="200"/>
              <w:rPr>
                <w:rFonts w:hAnsi="宋体" w:eastAsia="宋体" w:cs="宋体"/>
                <w:b/>
                <w:bCs/>
                <w:color w:val="FF0000"/>
                <w:sz w:val="24"/>
                <w:szCs w:val="24"/>
              </w:rPr>
            </w:pPr>
            <w:r>
              <w:rPr>
                <w:rFonts w:hint="eastAsia" w:hAnsi="宋体" w:eastAsia="宋体" w:cs="宋体"/>
                <w:b/>
                <w:bCs/>
                <w:color w:val="000000"/>
                <w:sz w:val="24"/>
                <w:szCs w:val="24"/>
              </w:rPr>
              <w:t>投标人条件：</w:t>
            </w:r>
          </w:p>
          <w:p w14:paraId="68681F8D">
            <w:pPr>
              <w:pStyle w:val="20"/>
              <w:ind w:firstLine="480" w:firstLineChars="200"/>
              <w:rPr>
                <w:rFonts w:hAnsi="宋体" w:eastAsia="宋体" w:cs="宋体"/>
                <w:color w:val="000000"/>
                <w:sz w:val="24"/>
                <w:szCs w:val="24"/>
              </w:rPr>
            </w:pPr>
            <w:r>
              <w:rPr>
                <w:rFonts w:hint="eastAsia" w:hAnsi="宋体" w:eastAsia="宋体" w:cs="宋体"/>
                <w:color w:val="000000"/>
                <w:sz w:val="24"/>
                <w:szCs w:val="24"/>
              </w:rPr>
              <w:t>1.对于中国境内投标人，投标条件如下：</w:t>
            </w:r>
          </w:p>
          <w:p w14:paraId="05CAC9EB">
            <w:pPr>
              <w:pStyle w:val="20"/>
              <w:ind w:firstLine="480" w:firstLineChars="200"/>
              <w:rPr>
                <w:rFonts w:hint="eastAsia" w:ascii="宋体" w:hAnsi="宋体" w:eastAsia="宋体" w:cs="宋体"/>
                <w:color w:val="auto"/>
                <w:sz w:val="24"/>
                <w:szCs w:val="24"/>
                <w:highlight w:val="none"/>
              </w:rPr>
            </w:pPr>
            <w:r>
              <w:rPr>
                <w:rFonts w:hint="eastAsia" w:hAnsi="宋体" w:eastAsia="宋体" w:cs="宋体"/>
                <w:color w:val="auto"/>
                <w:sz w:val="24"/>
                <w:szCs w:val="24"/>
                <w:highlight w:val="none"/>
                <w:lang w:val="en-US" w:eastAsia="zh-CN"/>
              </w:rPr>
              <w:t>1.1.</w:t>
            </w:r>
            <w:r>
              <w:rPr>
                <w:rFonts w:hint="eastAsia" w:ascii="宋体" w:hAnsi="宋体" w:eastAsia="宋体" w:cs="宋体"/>
                <w:color w:val="auto"/>
                <w:sz w:val="24"/>
                <w:szCs w:val="24"/>
                <w:highlight w:val="none"/>
              </w:rPr>
              <w:t>拟标投人必须是在中华人民共和国境内注册的独立法人机构，具有独立承担民事责任能力；注册资金不少于</w:t>
            </w:r>
            <w:r>
              <w:rPr>
                <w:rFonts w:hint="eastAsia"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lang w:val="en-US" w:eastAsia="zh-CN"/>
              </w:rPr>
              <w:t>00</w:t>
            </w:r>
            <w:r>
              <w:rPr>
                <w:rFonts w:hint="eastAsia" w:ascii="宋体" w:hAnsi="宋体" w:eastAsia="宋体" w:cs="宋体"/>
                <w:color w:val="auto"/>
                <w:sz w:val="24"/>
                <w:szCs w:val="24"/>
                <w:highlight w:val="none"/>
              </w:rPr>
              <w:t>万人民币（或等值其他货币）；公司成立三年以上（以营业执照成立日期到开标当日满三年为准），且经营范围满足招标人需求；并在人员、设备、资金等方面具有承担本项目的能力；</w:t>
            </w:r>
          </w:p>
          <w:p w14:paraId="31A526E9">
            <w:pPr>
              <w:pStyle w:val="20"/>
              <w:ind w:firstLine="480" w:firstLineChars="200"/>
              <w:rPr>
                <w:rFonts w:hint="eastAsia" w:ascii="宋体" w:hAnsi="宋体" w:eastAsia="宋体" w:cs="宋体"/>
                <w:color w:val="auto"/>
                <w:sz w:val="24"/>
                <w:szCs w:val="24"/>
                <w:highlight w:val="none"/>
              </w:rPr>
            </w:pPr>
            <w:r>
              <w:rPr>
                <w:rFonts w:hint="eastAsia"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2.拟投标人需提供近</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年内</w:t>
            </w:r>
            <w:r>
              <w:rPr>
                <w:rFonts w:hint="eastAsia" w:ascii="宋体" w:hAnsi="宋体" w:eastAsia="宋体" w:cs="宋体"/>
                <w:color w:val="auto"/>
                <w:sz w:val="24"/>
                <w:szCs w:val="24"/>
                <w:highlight w:val="none"/>
                <w:lang w:val="en-US" w:eastAsia="zh-CN"/>
              </w:rPr>
              <w:t>行业</w:t>
            </w:r>
            <w:r>
              <w:rPr>
                <w:rFonts w:hint="eastAsia" w:ascii="宋体" w:hAnsi="宋体" w:eastAsia="宋体" w:cs="宋体"/>
                <w:color w:val="auto"/>
                <w:sz w:val="24"/>
                <w:szCs w:val="24"/>
                <w:highlight w:val="none"/>
              </w:rPr>
              <w:t>内</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自卸车类产品</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类似业务证明；</w:t>
            </w:r>
          </w:p>
          <w:p w14:paraId="6B8C3335">
            <w:pPr>
              <w:pStyle w:val="20"/>
              <w:ind w:firstLine="480" w:firstLineChars="200"/>
              <w:rPr>
                <w:rFonts w:hint="eastAsia" w:ascii="宋体" w:hAnsi="宋体" w:eastAsia="宋体" w:cs="宋体"/>
                <w:color w:val="auto"/>
                <w:sz w:val="24"/>
                <w:szCs w:val="24"/>
                <w:highlight w:val="none"/>
              </w:rPr>
            </w:pPr>
            <w:r>
              <w:rPr>
                <w:rFonts w:hint="eastAsia"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拟投标人应提供营业执照副本原件和扫描件（需盖章）；</w:t>
            </w:r>
            <w:bookmarkStart w:id="102" w:name="_GoBack"/>
            <w:bookmarkEnd w:id="102"/>
          </w:p>
          <w:p w14:paraId="04E63D23">
            <w:pPr>
              <w:pStyle w:val="20"/>
              <w:ind w:firstLine="480" w:firstLineChars="200"/>
              <w:rPr>
                <w:rFonts w:hint="eastAsia" w:ascii="宋体" w:hAnsi="宋体" w:eastAsia="宋体" w:cs="宋体"/>
                <w:color w:val="auto"/>
                <w:sz w:val="24"/>
                <w:szCs w:val="24"/>
                <w:highlight w:val="none"/>
              </w:rPr>
            </w:pPr>
            <w:r>
              <w:rPr>
                <w:rFonts w:hint="eastAsia"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.拟投标人应提供法定代表人资格证明文件；</w:t>
            </w:r>
          </w:p>
          <w:p w14:paraId="4BC408ED">
            <w:pPr>
              <w:pStyle w:val="20"/>
              <w:ind w:firstLine="480" w:firstLineChars="200"/>
              <w:rPr>
                <w:rFonts w:hint="eastAsia" w:ascii="宋体" w:hAnsi="宋体" w:eastAsia="宋体" w:cs="宋体"/>
                <w:color w:val="auto"/>
                <w:sz w:val="24"/>
                <w:szCs w:val="24"/>
                <w:highlight w:val="none"/>
              </w:rPr>
            </w:pPr>
            <w:r>
              <w:rPr>
                <w:rFonts w:hint="eastAsia"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.拟投标人在国家市场监督管理总局的《国家企业信用信息公示系统》中查询不存在不良记录；</w:t>
            </w:r>
          </w:p>
          <w:p w14:paraId="058897AE">
            <w:pPr>
              <w:pStyle w:val="20"/>
              <w:ind w:firstLine="480" w:firstLineChars="200"/>
              <w:rPr>
                <w:rFonts w:hint="eastAsia" w:ascii="宋体" w:hAnsi="宋体" w:eastAsia="宋体" w:cs="宋体"/>
                <w:color w:val="auto"/>
                <w:sz w:val="24"/>
                <w:szCs w:val="24"/>
                <w:highlight w:val="none"/>
              </w:rPr>
            </w:pPr>
            <w:r>
              <w:rPr>
                <w:rFonts w:hint="eastAsia"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.拟投标人不存在严重违规或被列入招标人“黑名单”的声明；</w:t>
            </w:r>
          </w:p>
          <w:p w14:paraId="7981768E">
            <w:pPr>
              <w:pStyle w:val="20"/>
              <w:ind w:firstLine="480" w:firstLineChars="200"/>
              <w:rPr>
                <w:rFonts w:hint="default" w:ascii="宋体" w:hAnsi="宋体" w:eastAsia="宋体" w:cs="宋体"/>
                <w:color w:val="auto"/>
                <w:sz w:val="24"/>
                <w:szCs w:val="24"/>
                <w:highlight w:val="none"/>
                <w:lang w:val="en-US"/>
              </w:rPr>
            </w:pPr>
            <w:r>
              <w:rPr>
                <w:rFonts w:hint="eastAsia"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.拟投标人20</w:t>
            </w:r>
            <w:r>
              <w:rPr>
                <w:rFonts w:hint="eastAsia" w:ascii="宋体" w:hAnsi="宋体" w:eastAsia="宋体" w:cs="宋体"/>
                <w:color w:val="auto"/>
                <w:sz w:val="24"/>
                <w:szCs w:val="24"/>
                <w:highlight w:val="none"/>
                <w:lang w:val="en-US" w:eastAsia="zh-CN"/>
              </w:rPr>
              <w:t>21</w:t>
            </w:r>
            <w:r>
              <w:rPr>
                <w:rFonts w:hint="eastAsia" w:ascii="宋体" w:hAnsi="宋体" w:eastAsia="宋体" w:cs="宋体"/>
                <w:color w:val="auto"/>
                <w:sz w:val="24"/>
                <w:szCs w:val="24"/>
                <w:highlight w:val="none"/>
              </w:rPr>
              <w:t>年1月1日至今经第三方会计师事务所审计且出具无保留意见的财务审计报告，并加盖公章，包括但不限于报告页、经审计的资产负债表、利润表、现金流量表及报表附注</w:t>
            </w:r>
            <w:r>
              <w:rPr>
                <w:rFonts w:hint="eastAsia" w:ascii="宋体" w:hAnsi="宋体" w:eastAsia="宋体" w:cs="宋体"/>
                <w:color w:val="auto"/>
                <w:sz w:val="24"/>
                <w:szCs w:val="24"/>
                <w:highlight w:val="none"/>
                <w:lang w:eastAsia="zh-CN"/>
              </w:rPr>
              <w:t>，且未显示异常</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如无法提供，请提供相关说明</w:t>
            </w:r>
            <w:r>
              <w:rPr>
                <w:rFonts w:hint="eastAsia" w:hAnsi="宋体" w:eastAsia="宋体" w:cs="宋体"/>
                <w:color w:val="auto"/>
                <w:sz w:val="24"/>
                <w:szCs w:val="24"/>
                <w:highlight w:val="none"/>
                <w:lang w:val="en-US" w:eastAsia="zh-CN"/>
              </w:rPr>
              <w:t>;</w:t>
            </w:r>
          </w:p>
          <w:p w14:paraId="5B170516">
            <w:pPr>
              <w:pStyle w:val="20"/>
              <w:ind w:firstLine="480" w:firstLineChars="200"/>
              <w:rPr>
                <w:rFonts w:hint="eastAsia" w:ascii="宋体" w:hAnsi="宋体" w:eastAsia="宋体" w:cs="宋体"/>
                <w:color w:val="auto"/>
                <w:sz w:val="24"/>
                <w:szCs w:val="24"/>
                <w:highlight w:val="none"/>
              </w:rPr>
            </w:pPr>
            <w:r>
              <w:rPr>
                <w:rFonts w:hint="eastAsia"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.拟投标人有与本次招标内容相同或类似项目业绩，且近3年内无因服务不当而造成重大事故；</w:t>
            </w:r>
          </w:p>
          <w:p w14:paraId="09C0C947">
            <w:pPr>
              <w:pStyle w:val="20"/>
              <w:ind w:firstLine="480" w:firstLineChars="200"/>
              <w:rPr>
                <w:rFonts w:hint="eastAsia" w:ascii="宋体" w:hAnsi="宋体" w:eastAsia="宋体" w:cs="宋体"/>
                <w:color w:val="auto"/>
                <w:sz w:val="24"/>
                <w:szCs w:val="24"/>
                <w:highlight w:val="none"/>
              </w:rPr>
            </w:pPr>
            <w:r>
              <w:rPr>
                <w:rFonts w:hint="eastAsia"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.拟投标人近三年内在经营活动中无与本项目有关的违法及重大违规情况；</w:t>
            </w:r>
          </w:p>
          <w:p w14:paraId="204396D9">
            <w:pPr>
              <w:pStyle w:val="20"/>
              <w:ind w:firstLine="480" w:firstLineChars="200"/>
              <w:rPr>
                <w:rFonts w:hint="eastAsia" w:ascii="宋体" w:hAnsi="宋体" w:eastAsia="宋体" w:cs="宋体"/>
                <w:color w:val="auto"/>
                <w:sz w:val="24"/>
                <w:szCs w:val="24"/>
                <w:highlight w:val="none"/>
              </w:rPr>
            </w:pPr>
            <w:r>
              <w:rPr>
                <w:rFonts w:hint="eastAsia"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rPr>
              <w:t>.拟投标人须认可招标人的工作指令，包括节、假日能正常开展工作的要求；</w:t>
            </w:r>
          </w:p>
          <w:p w14:paraId="1B092779">
            <w:pPr>
              <w:pStyle w:val="20"/>
              <w:ind w:firstLine="480" w:firstLineChars="200"/>
              <w:rPr>
                <w:rFonts w:hint="eastAsia" w:ascii="宋体" w:hAnsi="宋体" w:eastAsia="宋体" w:cs="宋体"/>
                <w:color w:val="auto"/>
                <w:sz w:val="24"/>
                <w:szCs w:val="24"/>
                <w:highlight w:val="none"/>
                <w:lang w:val="en-US" w:eastAsia="zh-CN"/>
              </w:rPr>
            </w:pPr>
            <w:r>
              <w:rPr>
                <w:rFonts w:hint="eastAsia"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11.</w:t>
            </w:r>
            <w:r>
              <w:rPr>
                <w:rFonts w:hint="eastAsia" w:ascii="宋体" w:hAnsi="宋体" w:eastAsia="宋体" w:cs="宋体"/>
                <w:color w:val="auto"/>
                <w:sz w:val="24"/>
                <w:szCs w:val="24"/>
                <w:highlight w:val="none"/>
              </w:rPr>
              <w:t>拟</w:t>
            </w:r>
            <w:r>
              <w:rPr>
                <w:rFonts w:hint="eastAsia" w:ascii="宋体" w:hAnsi="宋体" w:eastAsia="宋体" w:cs="宋体"/>
                <w:color w:val="auto"/>
                <w:sz w:val="24"/>
                <w:szCs w:val="24"/>
                <w:highlight w:val="none"/>
                <w:lang w:val="en-US" w:eastAsia="zh-CN"/>
              </w:rPr>
              <w:t>投标人最近半年纳税正常；</w:t>
            </w:r>
          </w:p>
          <w:p w14:paraId="1DE9E624">
            <w:pPr>
              <w:pStyle w:val="20"/>
              <w:ind w:firstLine="480" w:firstLineChars="200"/>
              <w:rPr>
                <w:rFonts w:hint="eastAsia" w:ascii="宋体" w:hAnsi="宋体" w:eastAsia="宋体" w:cs="宋体"/>
                <w:color w:val="auto"/>
                <w:sz w:val="24"/>
                <w:szCs w:val="24"/>
                <w:highlight w:val="none"/>
                <w:lang w:val="en-US" w:eastAsia="zh-CN"/>
              </w:rPr>
            </w:pPr>
            <w:r>
              <w:rPr>
                <w:rFonts w:hint="eastAsia"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12.</w:t>
            </w:r>
            <w:r>
              <w:rPr>
                <w:rFonts w:hint="eastAsia" w:ascii="宋体" w:hAnsi="宋体" w:eastAsia="宋体" w:cs="宋体"/>
                <w:color w:val="auto"/>
                <w:sz w:val="24"/>
                <w:szCs w:val="24"/>
                <w:highlight w:val="none"/>
              </w:rPr>
              <w:t>拟</w:t>
            </w:r>
            <w:r>
              <w:rPr>
                <w:rFonts w:hint="eastAsia" w:ascii="宋体" w:hAnsi="宋体" w:eastAsia="宋体" w:cs="宋体"/>
                <w:color w:val="auto"/>
                <w:sz w:val="24"/>
                <w:szCs w:val="24"/>
                <w:highlight w:val="none"/>
                <w:lang w:val="en-US" w:eastAsia="zh-CN"/>
              </w:rPr>
              <w:t>投标人信用证明材料（征信报告）未显示异常；</w:t>
            </w:r>
          </w:p>
          <w:p w14:paraId="769CE115">
            <w:pPr>
              <w:pStyle w:val="20"/>
              <w:ind w:firstLine="480" w:firstLineChars="200"/>
              <w:rPr>
                <w:rFonts w:hint="eastAsia" w:ascii="宋体" w:hAnsi="宋体" w:eastAsia="宋体" w:cs="宋体"/>
                <w:color w:val="auto"/>
                <w:sz w:val="24"/>
                <w:szCs w:val="24"/>
                <w:highlight w:val="none"/>
                <w:lang w:val="en-US" w:eastAsia="zh-CN"/>
              </w:rPr>
            </w:pPr>
            <w:r>
              <w:rPr>
                <w:rFonts w:hint="eastAsia"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13.</w:t>
            </w:r>
            <w:r>
              <w:rPr>
                <w:rFonts w:hint="eastAsia" w:ascii="宋体" w:hAnsi="宋体" w:eastAsia="宋体" w:cs="宋体"/>
                <w:color w:val="auto"/>
                <w:sz w:val="24"/>
                <w:szCs w:val="24"/>
                <w:highlight w:val="none"/>
              </w:rPr>
              <w:t>拟</w:t>
            </w:r>
            <w:r>
              <w:rPr>
                <w:rFonts w:hint="eastAsia" w:ascii="宋体" w:hAnsi="宋体" w:eastAsia="宋体" w:cs="宋体"/>
                <w:color w:val="auto"/>
                <w:sz w:val="24"/>
                <w:szCs w:val="24"/>
                <w:highlight w:val="none"/>
                <w:lang w:val="en-US" w:eastAsia="zh-CN"/>
              </w:rPr>
              <w:t>投标人的直接或间接股东、法定代表人、董事、监事、高管非重汽员工及其亲属；</w:t>
            </w:r>
          </w:p>
          <w:p w14:paraId="0B7C2300">
            <w:pPr>
              <w:pStyle w:val="20"/>
              <w:ind w:firstLine="480" w:firstLineChars="200"/>
              <w:rPr>
                <w:rFonts w:hint="eastAsia" w:ascii="宋体" w:hAnsi="宋体" w:eastAsia="宋体" w:cs="宋体"/>
                <w:color w:val="auto"/>
                <w:sz w:val="24"/>
                <w:szCs w:val="24"/>
                <w:highlight w:val="none"/>
                <w:lang w:val="en-US" w:eastAsia="zh-CN"/>
              </w:rPr>
            </w:pPr>
            <w:r>
              <w:rPr>
                <w:rFonts w:hint="eastAsia"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14.</w:t>
            </w:r>
            <w:r>
              <w:rPr>
                <w:rFonts w:hint="eastAsia" w:ascii="宋体" w:hAnsi="宋体" w:eastAsia="宋体" w:cs="宋体"/>
                <w:color w:val="auto"/>
                <w:sz w:val="24"/>
                <w:szCs w:val="24"/>
                <w:highlight w:val="none"/>
              </w:rPr>
              <w:t>企业对外担保说明（写明</w:t>
            </w:r>
            <w:r>
              <w:rPr>
                <w:rFonts w:hint="eastAsia" w:ascii="宋体" w:hAnsi="宋体" w:eastAsia="宋体" w:cs="宋体"/>
                <w:color w:val="auto"/>
                <w:sz w:val="24"/>
                <w:szCs w:val="24"/>
                <w:highlight w:val="none"/>
                <w:lang w:eastAsia="zh-CN"/>
              </w:rPr>
              <w:t>投标</w:t>
            </w:r>
            <w:r>
              <w:rPr>
                <w:rFonts w:hint="eastAsia" w:ascii="宋体" w:hAnsi="宋体" w:eastAsia="宋体" w:cs="宋体"/>
                <w:color w:val="auto"/>
                <w:sz w:val="24"/>
                <w:szCs w:val="24"/>
                <w:highlight w:val="none"/>
              </w:rPr>
              <w:t>单位对外有无对外担保和质押业务，需加盖公章）</w:t>
            </w:r>
            <w:r>
              <w:rPr>
                <w:rFonts w:hint="eastAsia" w:ascii="宋体" w:hAnsi="宋体" w:eastAsia="宋体" w:cs="宋体"/>
                <w:color w:val="auto"/>
                <w:sz w:val="24"/>
                <w:szCs w:val="24"/>
                <w:highlight w:val="none"/>
                <w:lang w:eastAsia="zh-CN"/>
              </w:rPr>
              <w:t>；</w:t>
            </w:r>
          </w:p>
          <w:p w14:paraId="63986D9E">
            <w:pPr>
              <w:pStyle w:val="20"/>
              <w:ind w:firstLine="480" w:firstLineChars="200"/>
              <w:rPr>
                <w:rFonts w:hAnsi="宋体" w:eastAsia="宋体" w:cs="宋体"/>
                <w:b/>
                <w:color w:val="000000"/>
                <w:sz w:val="24"/>
                <w:szCs w:val="24"/>
              </w:rPr>
            </w:pPr>
            <w:r>
              <w:rPr>
                <w:rFonts w:hint="eastAsia"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15.本项目不接受联合体、代理商投标，拟投标人必须是最终投标单位和签订合同单位，不得以任何理由将已中标项目以任</w:t>
            </w:r>
            <w:r>
              <w:rPr>
                <w:rFonts w:hint="eastAsia" w:hAnsi="宋体" w:eastAsia="宋体" w:cs="宋体"/>
                <w:color w:val="auto"/>
                <w:sz w:val="24"/>
                <w:szCs w:val="24"/>
                <w:highlight w:val="none"/>
                <w:lang w:val="en-US" w:eastAsia="zh-CN"/>
              </w:rPr>
              <w:t>何形式分包或转包给其他单位。</w:t>
            </w:r>
            <w:r>
              <w:rPr>
                <w:rFonts w:hAnsi="宋体" w:eastAsia="宋体" w:cs="宋体"/>
                <w:b/>
                <w:color w:val="000000"/>
                <w:sz w:val="24"/>
                <w:szCs w:val="24"/>
              </w:rPr>
              <w:t>1-1</w:t>
            </w:r>
            <w:r>
              <w:rPr>
                <w:rFonts w:hint="eastAsia" w:hAnsi="宋体" w:eastAsia="宋体" w:cs="宋体"/>
                <w:b/>
                <w:color w:val="000000"/>
                <w:sz w:val="24"/>
                <w:szCs w:val="24"/>
                <w:lang w:val="en-US" w:eastAsia="zh-CN"/>
              </w:rPr>
              <w:t>5</w:t>
            </w:r>
            <w:r>
              <w:rPr>
                <w:rFonts w:hAnsi="宋体" w:eastAsia="宋体" w:cs="宋体"/>
                <w:b/>
                <w:color w:val="000000"/>
                <w:sz w:val="24"/>
                <w:szCs w:val="24"/>
              </w:rPr>
              <w:t>项文件必须提供，未提供者直接视为资质、资格审查未通过，无法继续参与投标！</w:t>
            </w:r>
          </w:p>
          <w:p w14:paraId="2FB91E3C">
            <w:pPr>
              <w:pStyle w:val="20"/>
              <w:ind w:firstLine="480" w:firstLineChars="200"/>
              <w:rPr>
                <w:rFonts w:hAnsi="宋体" w:eastAsia="宋体" w:cs="宋体"/>
                <w:color w:val="000000"/>
                <w:sz w:val="24"/>
                <w:szCs w:val="24"/>
              </w:rPr>
            </w:pPr>
          </w:p>
        </w:tc>
      </w:tr>
      <w:tr w14:paraId="141FEE7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89"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596409A0">
            <w:pPr>
              <w:jc w:val="center"/>
              <w:rPr>
                <w:rFonts w:ascii="宋体" w:hAnsi="宋体" w:eastAsia="宋体" w:cs="宋体"/>
                <w:b/>
                <w:bCs/>
                <w:sz w:val="24"/>
                <w:szCs w:val="24"/>
              </w:rPr>
            </w:pPr>
            <w:r>
              <w:rPr>
                <w:rFonts w:hint="eastAsia" w:ascii="宋体" w:hAnsi="宋体" w:eastAsia="宋体" w:cs="宋体"/>
                <w:b/>
                <w:bCs/>
                <w:sz w:val="24"/>
                <w:szCs w:val="24"/>
              </w:rPr>
              <w:t>2.招标文件的答疑、澄清、修改、应标及投标报名</w:t>
            </w:r>
          </w:p>
        </w:tc>
      </w:tr>
      <w:tr w14:paraId="40BE386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82" w:hRule="atLeast"/>
        </w:trPr>
        <w:tc>
          <w:tcPr>
            <w:tcW w:w="595" w:type="dxa"/>
            <w:vMerge w:val="restart"/>
            <w:tcBorders>
              <w:top w:val="single" w:color="auto" w:sz="2" w:space="0"/>
              <w:left w:val="single" w:color="auto" w:sz="2" w:space="0"/>
              <w:right w:val="single" w:color="auto" w:sz="2" w:space="0"/>
            </w:tcBorders>
            <w:vAlign w:val="center"/>
          </w:tcPr>
          <w:p w14:paraId="5297F1E1">
            <w:pPr>
              <w:jc w:val="center"/>
              <w:rPr>
                <w:rFonts w:ascii="宋体" w:hAnsi="宋体" w:eastAsia="宋体" w:cs="宋体"/>
                <w:sz w:val="24"/>
                <w:szCs w:val="24"/>
              </w:rPr>
            </w:pPr>
            <w:r>
              <w:rPr>
                <w:rFonts w:hint="eastAsia" w:ascii="宋体" w:hAnsi="宋体" w:eastAsia="宋体" w:cs="宋体"/>
                <w:sz w:val="24"/>
                <w:szCs w:val="24"/>
              </w:rPr>
              <w:t>2.1</w:t>
            </w:r>
          </w:p>
        </w:tc>
        <w:tc>
          <w:tcPr>
            <w:tcW w:w="8363" w:type="dxa"/>
            <w:tcBorders>
              <w:top w:val="single" w:color="auto" w:sz="2" w:space="0"/>
              <w:left w:val="single" w:color="auto" w:sz="2" w:space="0"/>
              <w:bottom w:val="single" w:color="auto" w:sz="2" w:space="0"/>
              <w:right w:val="single" w:color="auto" w:sz="2" w:space="0"/>
            </w:tcBorders>
            <w:vAlign w:val="center"/>
          </w:tcPr>
          <w:p w14:paraId="0C771E7B">
            <w:pPr>
              <w:ind w:firstLine="482" w:firstLineChars="200"/>
              <w:rPr>
                <w:rFonts w:ascii="宋体" w:hAnsi="宋体" w:eastAsia="宋体" w:cs="宋体"/>
                <w:sz w:val="24"/>
                <w:szCs w:val="24"/>
              </w:rPr>
            </w:pPr>
            <w:r>
              <w:rPr>
                <w:rFonts w:hint="eastAsia" w:ascii="宋体" w:hAnsi="宋体" w:eastAsia="宋体" w:cs="宋体"/>
                <w:b/>
                <w:bCs/>
                <w:sz w:val="24"/>
                <w:szCs w:val="24"/>
              </w:rPr>
              <w:t>发标时间：</w:t>
            </w:r>
            <w:r>
              <w:rPr>
                <w:rFonts w:hint="eastAsia" w:ascii="宋体" w:hAnsi="宋体" w:eastAsia="宋体" w:cs="宋体"/>
                <w:bCs/>
                <w:sz w:val="24"/>
                <w:szCs w:val="24"/>
                <w:highlight w:val="yellow"/>
              </w:rPr>
              <w:t>202</w:t>
            </w:r>
            <w:r>
              <w:rPr>
                <w:rFonts w:ascii="宋体" w:hAnsi="宋体" w:eastAsia="宋体" w:cs="宋体"/>
                <w:bCs/>
                <w:sz w:val="24"/>
                <w:szCs w:val="24"/>
                <w:highlight w:val="yellow"/>
              </w:rPr>
              <w:t>6</w:t>
            </w:r>
            <w:r>
              <w:rPr>
                <w:rFonts w:hint="eastAsia" w:ascii="宋体" w:hAnsi="宋体" w:eastAsia="宋体" w:cs="宋体"/>
                <w:bCs/>
                <w:sz w:val="24"/>
                <w:szCs w:val="24"/>
                <w:highlight w:val="yellow"/>
              </w:rPr>
              <w:t>年</w:t>
            </w:r>
            <w:r>
              <w:rPr>
                <w:rFonts w:hint="eastAsia" w:ascii="宋体" w:hAnsi="宋体" w:eastAsia="宋体" w:cs="宋体"/>
                <w:bCs/>
                <w:sz w:val="24"/>
                <w:szCs w:val="24"/>
                <w:highlight w:val="yellow"/>
                <w:u w:val="single"/>
                <w:lang w:val="en-US" w:eastAsia="zh-CN"/>
              </w:rPr>
              <w:t>9</w:t>
            </w:r>
            <w:r>
              <w:rPr>
                <w:rFonts w:hint="eastAsia" w:ascii="宋体" w:hAnsi="宋体" w:eastAsia="宋体" w:cs="宋体"/>
                <w:bCs/>
                <w:sz w:val="24"/>
                <w:szCs w:val="24"/>
                <w:highlight w:val="yellow"/>
              </w:rPr>
              <w:t>月</w:t>
            </w:r>
            <w:r>
              <w:rPr>
                <w:rFonts w:ascii="宋体" w:hAnsi="宋体" w:eastAsia="宋体" w:cs="宋体"/>
                <w:bCs/>
                <w:sz w:val="24"/>
                <w:szCs w:val="24"/>
                <w:highlight w:val="yellow"/>
                <w:u w:val="single"/>
              </w:rPr>
              <w:t xml:space="preserve"> </w:t>
            </w:r>
            <w:r>
              <w:rPr>
                <w:rFonts w:hint="eastAsia" w:ascii="宋体" w:hAnsi="宋体" w:eastAsia="宋体" w:cs="宋体"/>
                <w:bCs/>
                <w:sz w:val="24"/>
                <w:szCs w:val="24"/>
                <w:highlight w:val="yellow"/>
                <w:u w:val="single"/>
                <w:lang w:val="en-US" w:eastAsia="zh-CN"/>
              </w:rPr>
              <w:t>29</w:t>
            </w:r>
            <w:r>
              <w:rPr>
                <w:rFonts w:hint="eastAsia" w:ascii="宋体" w:hAnsi="宋体" w:eastAsia="宋体" w:cs="宋体"/>
                <w:bCs/>
                <w:sz w:val="24"/>
                <w:szCs w:val="24"/>
                <w:highlight w:val="yellow"/>
              </w:rPr>
              <w:t>日</w:t>
            </w:r>
            <w:r>
              <w:rPr>
                <w:rFonts w:hint="eastAsia" w:ascii="宋体" w:hAnsi="宋体" w:eastAsia="宋体" w:cs="宋体"/>
                <w:bCs/>
                <w:sz w:val="24"/>
                <w:szCs w:val="24"/>
              </w:rPr>
              <w:t>;</w:t>
            </w:r>
          </w:p>
        </w:tc>
      </w:tr>
      <w:tr w14:paraId="4ADFD2F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93" w:hRule="atLeast"/>
        </w:trPr>
        <w:tc>
          <w:tcPr>
            <w:tcW w:w="595" w:type="dxa"/>
            <w:vMerge w:val="continue"/>
            <w:tcBorders>
              <w:left w:val="single" w:color="auto" w:sz="2" w:space="0"/>
              <w:right w:val="single" w:color="auto" w:sz="2" w:space="0"/>
            </w:tcBorders>
            <w:vAlign w:val="center"/>
          </w:tcPr>
          <w:p w14:paraId="1813B5B5">
            <w:pPr>
              <w:snapToGrid w:val="0"/>
              <w:ind w:firstLine="420" w:firstLineChars="200"/>
            </w:pPr>
          </w:p>
        </w:tc>
        <w:tc>
          <w:tcPr>
            <w:tcW w:w="8363" w:type="dxa"/>
            <w:tcBorders>
              <w:top w:val="single" w:color="auto" w:sz="2" w:space="0"/>
              <w:left w:val="single" w:color="auto" w:sz="2" w:space="0"/>
              <w:bottom w:val="single" w:color="auto" w:sz="2" w:space="0"/>
              <w:right w:val="single" w:color="auto" w:sz="2" w:space="0"/>
            </w:tcBorders>
            <w:vAlign w:val="center"/>
          </w:tcPr>
          <w:p w14:paraId="2241111F">
            <w:pPr>
              <w:ind w:firstLine="482" w:firstLineChars="200"/>
              <w:rPr>
                <w:rFonts w:ascii="宋体" w:hAnsi="宋体" w:eastAsia="宋体" w:cs="宋体"/>
                <w:sz w:val="24"/>
                <w:szCs w:val="24"/>
              </w:rPr>
            </w:pPr>
            <w:r>
              <w:rPr>
                <w:rFonts w:hint="eastAsia" w:ascii="宋体" w:hAnsi="宋体" w:eastAsia="宋体" w:cs="宋体"/>
                <w:b/>
                <w:sz w:val="24"/>
                <w:szCs w:val="24"/>
              </w:rPr>
              <w:t>发标方式：</w:t>
            </w:r>
            <w:r>
              <w:rPr>
                <w:rFonts w:ascii="宋体" w:hAnsi="宋体" w:eastAsia="宋体" w:cs="宋体"/>
                <w:sz w:val="24"/>
                <w:szCs w:val="24"/>
              </w:rPr>
              <w:t>在中国重汽e采通平台应标成功后，进入“供应商投标”环节，投递盖章扫描版电子标书（包含资质标书、技术标书、商务标书），用“公司名称+文件名称”命名。若逾期未在中国重汽e采通平台上传电子标书，即便递交了纸版投标文件，一律视为无效投标。</w:t>
            </w:r>
            <w:r>
              <w:rPr>
                <w:rFonts w:hint="eastAsia" w:ascii="宋体" w:hAnsi="宋体" w:eastAsia="宋体" w:cs="宋体"/>
                <w:sz w:val="24"/>
                <w:szCs w:val="24"/>
              </w:rPr>
              <w:t>。</w:t>
            </w:r>
          </w:p>
        </w:tc>
      </w:tr>
      <w:tr w14:paraId="0B7BDC5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2366" w:hRule="atLeast"/>
        </w:trPr>
        <w:tc>
          <w:tcPr>
            <w:tcW w:w="595" w:type="dxa"/>
            <w:vMerge w:val="continue"/>
            <w:tcBorders>
              <w:left w:val="single" w:color="auto" w:sz="2" w:space="0"/>
              <w:bottom w:val="single" w:color="auto" w:sz="2" w:space="0"/>
              <w:right w:val="single" w:color="auto" w:sz="2" w:space="0"/>
            </w:tcBorders>
            <w:vAlign w:val="center"/>
          </w:tcPr>
          <w:p w14:paraId="586D83D4">
            <w:pPr>
              <w:snapToGrid w:val="0"/>
              <w:ind w:firstLine="480" w:firstLineChars="200"/>
              <w:rPr>
                <w:rFonts w:ascii="宋体" w:hAnsi="宋体" w:eastAsia="宋体" w:cs="宋体"/>
                <w:sz w:val="24"/>
                <w:szCs w:val="24"/>
              </w:rPr>
            </w:pPr>
          </w:p>
        </w:tc>
        <w:tc>
          <w:tcPr>
            <w:tcW w:w="8363" w:type="dxa"/>
            <w:tcBorders>
              <w:top w:val="single" w:color="auto" w:sz="2" w:space="0"/>
              <w:left w:val="single" w:color="auto" w:sz="2" w:space="0"/>
              <w:bottom w:val="single" w:color="auto" w:sz="2" w:space="0"/>
              <w:right w:val="single" w:color="auto" w:sz="2" w:space="0"/>
            </w:tcBorders>
            <w:vAlign w:val="center"/>
          </w:tcPr>
          <w:p w14:paraId="4F20B828">
            <w:pPr>
              <w:ind w:firstLine="480" w:firstLineChars="200"/>
              <w:jc w:val="left"/>
              <w:rPr>
                <w:rFonts w:ascii="宋体" w:hAnsi="宋体" w:eastAsia="宋体" w:cs="宋体"/>
                <w:b/>
                <w:bCs/>
                <w:sz w:val="24"/>
                <w:szCs w:val="24"/>
              </w:rPr>
            </w:pPr>
            <w:r>
              <w:rPr>
                <w:rFonts w:hint="eastAsia" w:ascii="宋体" w:hAnsi="宋体" w:eastAsia="宋体" w:cs="宋体"/>
                <w:sz w:val="24"/>
                <w:szCs w:val="24"/>
              </w:rPr>
              <w:t>如果投标人对招标文件商务部分、技术部分有疑问，请各投标人在本答疑环节提出。</w:t>
            </w:r>
          </w:p>
          <w:p w14:paraId="1245F2FA">
            <w:pPr>
              <w:ind w:firstLine="482" w:firstLineChars="200"/>
              <w:jc w:val="left"/>
              <w:rPr>
                <w:rFonts w:ascii="宋体" w:hAnsi="宋体" w:eastAsia="宋体" w:cs="宋体"/>
                <w:sz w:val="24"/>
                <w:szCs w:val="24"/>
              </w:rPr>
            </w:pPr>
            <w:r>
              <w:rPr>
                <w:rFonts w:hint="eastAsia" w:ascii="宋体" w:hAnsi="宋体" w:eastAsia="宋体" w:cs="宋体"/>
                <w:b/>
                <w:bCs/>
                <w:sz w:val="24"/>
                <w:szCs w:val="24"/>
              </w:rPr>
              <w:t>提交疑问时间：</w:t>
            </w:r>
            <w:r>
              <w:rPr>
                <w:rFonts w:hint="eastAsia" w:ascii="宋体" w:hAnsi="宋体" w:eastAsia="宋体" w:cs="宋体"/>
                <w:bCs/>
                <w:sz w:val="24"/>
                <w:szCs w:val="24"/>
                <w:highlight w:val="yellow"/>
              </w:rPr>
              <w:t>202</w:t>
            </w:r>
            <w:r>
              <w:rPr>
                <w:rFonts w:ascii="宋体" w:hAnsi="宋体" w:eastAsia="宋体" w:cs="宋体"/>
                <w:bCs/>
                <w:sz w:val="24"/>
                <w:szCs w:val="24"/>
                <w:highlight w:val="yellow"/>
              </w:rPr>
              <w:t>6</w:t>
            </w:r>
            <w:r>
              <w:rPr>
                <w:rFonts w:hint="eastAsia" w:ascii="宋体" w:hAnsi="宋体" w:eastAsia="宋体" w:cs="宋体"/>
                <w:bCs/>
                <w:sz w:val="24"/>
                <w:szCs w:val="24"/>
                <w:highlight w:val="yellow"/>
              </w:rPr>
              <w:t>年</w:t>
            </w:r>
            <w:r>
              <w:rPr>
                <w:rFonts w:hint="eastAsia" w:ascii="宋体" w:hAnsi="宋体" w:eastAsia="宋体" w:cs="宋体"/>
                <w:bCs/>
                <w:sz w:val="24"/>
                <w:szCs w:val="24"/>
                <w:highlight w:val="yellow"/>
                <w:lang w:val="en-US" w:eastAsia="zh-CN"/>
              </w:rPr>
              <w:t>10</w:t>
            </w:r>
            <w:r>
              <w:rPr>
                <w:rFonts w:hint="eastAsia" w:ascii="宋体" w:hAnsi="宋体" w:eastAsia="宋体" w:cs="宋体"/>
                <w:bCs/>
                <w:sz w:val="24"/>
                <w:szCs w:val="24"/>
                <w:highlight w:val="yellow"/>
              </w:rPr>
              <w:t>月</w:t>
            </w:r>
            <w:r>
              <w:rPr>
                <w:rFonts w:ascii="宋体" w:hAnsi="宋体" w:eastAsia="宋体" w:cs="宋体"/>
                <w:bCs/>
                <w:sz w:val="24"/>
                <w:szCs w:val="24"/>
                <w:highlight w:val="yellow"/>
                <w:u w:val="single"/>
              </w:rPr>
              <w:t xml:space="preserve"> </w:t>
            </w:r>
            <w:r>
              <w:rPr>
                <w:rFonts w:hint="eastAsia" w:ascii="宋体" w:hAnsi="宋体" w:eastAsia="宋体" w:cs="宋体"/>
                <w:bCs/>
                <w:sz w:val="24"/>
                <w:szCs w:val="24"/>
                <w:highlight w:val="yellow"/>
                <w:u w:val="single"/>
                <w:lang w:val="en-US" w:eastAsia="zh-CN"/>
              </w:rPr>
              <w:t>11</w:t>
            </w:r>
            <w:r>
              <w:rPr>
                <w:rFonts w:hint="eastAsia" w:ascii="宋体" w:hAnsi="宋体" w:eastAsia="宋体" w:cs="宋体"/>
                <w:bCs/>
                <w:sz w:val="24"/>
                <w:szCs w:val="24"/>
                <w:highlight w:val="yellow"/>
              </w:rPr>
              <w:t>日17:00:00前；</w:t>
            </w:r>
          </w:p>
          <w:p w14:paraId="3D0E036C">
            <w:pPr>
              <w:ind w:firstLine="482" w:firstLineChars="200"/>
              <w:jc w:val="left"/>
              <w:rPr>
                <w:rFonts w:ascii="宋体" w:hAnsi="宋体" w:eastAsia="宋体" w:cs="宋体"/>
                <w:b/>
                <w:bCs/>
                <w:sz w:val="24"/>
                <w:szCs w:val="24"/>
              </w:rPr>
            </w:pPr>
            <w:r>
              <w:rPr>
                <w:rFonts w:hint="eastAsia" w:ascii="宋体" w:hAnsi="宋体" w:eastAsia="宋体" w:cs="宋体"/>
                <w:b/>
                <w:bCs/>
                <w:sz w:val="24"/>
                <w:szCs w:val="24"/>
              </w:rPr>
              <w:t>提交疑问方式</w:t>
            </w:r>
            <w:r>
              <w:rPr>
                <w:rFonts w:hint="eastAsia" w:ascii="宋体" w:hAnsi="宋体" w:eastAsia="宋体" w:cs="宋体"/>
                <w:sz w:val="24"/>
                <w:szCs w:val="24"/>
              </w:rPr>
              <w:t>：</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"mailto:将答疑问题发邮件至15762268551@139.com " </w:instrText>
            </w:r>
            <w:r>
              <w:rPr>
                <w:rFonts w:hint="eastAsia" w:ascii="宋体" w:hAnsi="宋体" w:eastAsia="宋体" w:cs="宋体"/>
                <w:sz w:val="24"/>
                <w:szCs w:val="24"/>
              </w:rPr>
              <w:fldChar w:fldCharType="separate"/>
            </w:r>
            <w:r>
              <w:rPr>
                <w:rFonts w:hint="eastAsia" w:ascii="宋体" w:hAnsi="宋体" w:eastAsia="宋体" w:cs="宋体"/>
                <w:sz w:val="24"/>
                <w:szCs w:val="24"/>
              </w:rPr>
              <w:t>将答疑问题发邮件至</w:t>
            </w:r>
            <w:r>
              <w:rPr>
                <w:rFonts w:hint="eastAsia" w:ascii="宋体" w:hAnsi="宋体" w:eastAsia="宋体" w:cs="宋体"/>
                <w:sz w:val="24"/>
                <w:szCs w:val="24"/>
                <w:lang w:eastAsia="zh-CN"/>
              </w:rPr>
              <w:t>wangzekai@sinotruk.com</w:t>
            </w:r>
            <w:r>
              <w:rPr>
                <w:rFonts w:hint="eastAsia" w:ascii="宋体" w:hAnsi="宋体" w:eastAsia="宋体" w:cs="宋体"/>
                <w:sz w:val="24"/>
                <w:szCs w:val="24"/>
              </w:rPr>
              <w:fldChar w:fldCharType="end"/>
            </w:r>
            <w:r>
              <w:rPr>
                <w:rFonts w:hint="eastAsia" w:ascii="宋体" w:hAnsi="宋体" w:eastAsia="宋体" w:cs="宋体"/>
                <w:sz w:val="24"/>
                <w:szCs w:val="24"/>
              </w:rPr>
              <w:t>，并电话通知招标人。</w:t>
            </w:r>
          </w:p>
          <w:p w14:paraId="4CBC1C21">
            <w:pPr>
              <w:ind w:firstLine="482" w:firstLineChars="200"/>
              <w:jc w:val="left"/>
              <w:rPr>
                <w:rFonts w:hint="eastAsia" w:ascii="宋体" w:hAnsi="宋体" w:eastAsia="宋体" w:cs="宋体"/>
                <w:b/>
                <w:bCs/>
                <w:sz w:val="24"/>
                <w:szCs w:val="24"/>
              </w:rPr>
            </w:pPr>
            <w:r>
              <w:rPr>
                <w:rFonts w:hint="eastAsia" w:ascii="宋体" w:hAnsi="宋体" w:eastAsia="宋体" w:cs="宋体"/>
                <w:b/>
                <w:bCs/>
                <w:sz w:val="24"/>
                <w:szCs w:val="24"/>
              </w:rPr>
              <w:t>现场勘查截止时间：2026年</w:t>
            </w:r>
            <w:r>
              <w:rPr>
                <w:rFonts w:hint="eastAsia" w:ascii="宋体" w:hAnsi="宋体" w:eastAsia="宋体" w:cs="宋体"/>
                <w:b/>
                <w:bCs/>
                <w:sz w:val="24"/>
                <w:szCs w:val="24"/>
                <w:lang w:val="en-US" w:eastAsia="zh-CN"/>
              </w:rPr>
              <w:t>10</w:t>
            </w:r>
            <w:r>
              <w:rPr>
                <w:rFonts w:hint="eastAsia" w:ascii="宋体" w:hAnsi="宋体" w:eastAsia="宋体" w:cs="宋体"/>
                <w:b/>
                <w:bCs/>
                <w:sz w:val="24"/>
                <w:szCs w:val="24"/>
              </w:rPr>
              <w:t>月</w:t>
            </w:r>
            <w:r>
              <w:rPr>
                <w:rFonts w:hint="eastAsia" w:ascii="宋体" w:hAnsi="宋体" w:eastAsia="宋体" w:cs="宋体"/>
                <w:b/>
                <w:bCs/>
                <w:sz w:val="24"/>
                <w:szCs w:val="24"/>
                <w:lang w:val="en-US" w:eastAsia="zh-CN"/>
              </w:rPr>
              <w:t>11</w:t>
            </w:r>
            <w:r>
              <w:rPr>
                <w:rFonts w:hint="eastAsia" w:ascii="宋体" w:hAnsi="宋体" w:eastAsia="宋体" w:cs="宋体"/>
                <w:b/>
                <w:bCs/>
                <w:sz w:val="24"/>
                <w:szCs w:val="24"/>
              </w:rPr>
              <w:t>日</w:t>
            </w:r>
          </w:p>
          <w:p w14:paraId="06F55433">
            <w:pPr>
              <w:ind w:firstLine="482" w:firstLineChars="200"/>
              <w:jc w:val="left"/>
              <w:rPr>
                <w:rFonts w:ascii="宋体" w:hAnsi="宋体" w:eastAsia="宋体" w:cs="宋体"/>
                <w:sz w:val="24"/>
                <w:szCs w:val="24"/>
              </w:rPr>
            </w:pPr>
            <w:r>
              <w:rPr>
                <w:rFonts w:hint="eastAsia" w:ascii="宋体" w:hAnsi="宋体" w:eastAsia="宋体" w:cs="宋体"/>
                <w:b/>
                <w:bCs/>
                <w:sz w:val="24"/>
                <w:szCs w:val="24"/>
              </w:rPr>
              <w:t xml:space="preserve">联系人及联系电话：侯波 15864774483 </w:t>
            </w:r>
          </w:p>
        </w:tc>
      </w:tr>
      <w:tr w14:paraId="0C5F0C8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007" w:hRule="atLeast"/>
        </w:trPr>
        <w:tc>
          <w:tcPr>
            <w:tcW w:w="595"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795B603E">
            <w:pPr>
              <w:jc w:val="center"/>
              <w:rPr>
                <w:rFonts w:ascii="宋体" w:hAnsi="宋体" w:eastAsia="宋体" w:cs="宋体"/>
                <w:sz w:val="24"/>
                <w:szCs w:val="24"/>
              </w:rPr>
            </w:pPr>
            <w:r>
              <w:rPr>
                <w:rFonts w:hint="eastAsia" w:ascii="宋体" w:hAnsi="宋体" w:eastAsia="宋体" w:cs="宋体"/>
                <w:sz w:val="24"/>
                <w:szCs w:val="24"/>
              </w:rPr>
              <w:t>2.2</w:t>
            </w:r>
          </w:p>
        </w:tc>
        <w:tc>
          <w:tcPr>
            <w:tcW w:w="8363"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21568CF0">
            <w:pPr>
              <w:shd w:val="clear" w:color="auto" w:fill="FFFFFF" w:themeFill="background1"/>
              <w:ind w:firstLine="480" w:firstLineChars="200"/>
              <w:rPr>
                <w:rFonts w:ascii="宋体" w:hAnsi="宋体" w:eastAsia="宋体" w:cs="宋体"/>
                <w:sz w:val="24"/>
                <w:szCs w:val="24"/>
              </w:rPr>
            </w:pPr>
            <w:r>
              <w:rPr>
                <w:rFonts w:hint="eastAsia" w:ascii="宋体" w:hAnsi="宋体" w:eastAsia="宋体" w:cs="宋体"/>
                <w:sz w:val="24"/>
                <w:szCs w:val="24"/>
              </w:rPr>
              <w:t>领取答疑、澄清和修改文件时间</w:t>
            </w:r>
            <w:r>
              <w:rPr>
                <w:rFonts w:hint="eastAsia" w:ascii="宋体" w:hAnsi="宋体" w:eastAsia="宋体" w:cs="宋体"/>
                <w:sz w:val="24"/>
                <w:szCs w:val="24"/>
                <w:lang w:val="en-US" w:eastAsia="zh-CN"/>
              </w:rPr>
              <w:t>:</w:t>
            </w:r>
            <w:r>
              <w:rPr>
                <w:rFonts w:hint="eastAsia" w:ascii="宋体" w:hAnsi="宋体" w:eastAsia="宋体" w:cs="宋体"/>
                <w:sz w:val="24"/>
                <w:szCs w:val="24"/>
              </w:rPr>
              <w:t>开标前</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3</w:t>
            </w:r>
            <w:r>
              <w:rPr>
                <w:rFonts w:hint="eastAsia" w:ascii="宋体" w:hAnsi="宋体" w:eastAsia="宋体" w:cs="宋体"/>
                <w:sz w:val="24"/>
                <w:szCs w:val="24"/>
                <w:u w:val="single"/>
              </w:rPr>
              <w:t xml:space="preserve"> </w:t>
            </w:r>
            <w:r>
              <w:rPr>
                <w:rFonts w:hint="eastAsia" w:ascii="宋体" w:hAnsi="宋体" w:eastAsia="宋体" w:cs="宋体"/>
                <w:sz w:val="24"/>
                <w:szCs w:val="24"/>
              </w:rPr>
              <w:t>天；</w:t>
            </w:r>
          </w:p>
          <w:p w14:paraId="016953F2">
            <w:pPr>
              <w:shd w:val="clear" w:color="auto" w:fill="FFFFFF" w:themeFill="background1"/>
              <w:ind w:firstLine="480" w:firstLineChars="200"/>
              <w:rPr>
                <w:rFonts w:ascii="宋体" w:hAnsi="宋体" w:eastAsia="宋体" w:cs="宋体"/>
                <w:sz w:val="24"/>
                <w:szCs w:val="24"/>
              </w:rPr>
            </w:pPr>
            <w:r>
              <w:rPr>
                <w:rFonts w:hint="eastAsia" w:ascii="宋体" w:hAnsi="宋体" w:eastAsia="宋体" w:cs="宋体"/>
                <w:sz w:val="24"/>
                <w:szCs w:val="24"/>
              </w:rPr>
              <w:t>答疑、澄清和修改文件方式：招标人将以电子邮件的方式将招标文件的答疑澄清文件发送至投标报名时登记的电子邮箱（word文档及加盖公章的扫描件各一份）。</w:t>
            </w:r>
          </w:p>
        </w:tc>
      </w:tr>
      <w:tr w14:paraId="02059D6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045" w:hRule="atLeast"/>
        </w:trPr>
        <w:tc>
          <w:tcPr>
            <w:tcW w:w="595" w:type="dxa"/>
            <w:tcBorders>
              <w:top w:val="single" w:color="auto" w:sz="2" w:space="0"/>
              <w:left w:val="single" w:color="auto" w:sz="2" w:space="0"/>
              <w:right w:val="single" w:color="auto" w:sz="2" w:space="0"/>
            </w:tcBorders>
            <w:vAlign w:val="center"/>
          </w:tcPr>
          <w:p w14:paraId="3B326E96">
            <w:pPr>
              <w:jc w:val="center"/>
              <w:rPr>
                <w:rFonts w:ascii="宋体" w:hAnsi="宋体" w:eastAsia="宋体" w:cs="宋体"/>
                <w:b/>
                <w:bCs/>
                <w:sz w:val="24"/>
                <w:szCs w:val="24"/>
                <w:highlight w:val="green"/>
              </w:rPr>
            </w:pPr>
            <w:r>
              <w:rPr>
                <w:rFonts w:hint="eastAsia" w:ascii="宋体" w:hAnsi="宋体" w:eastAsia="宋体" w:cs="宋体"/>
                <w:sz w:val="24"/>
                <w:szCs w:val="24"/>
              </w:rPr>
              <w:t>2.3</w:t>
            </w:r>
          </w:p>
        </w:tc>
        <w:tc>
          <w:tcPr>
            <w:tcW w:w="8363" w:type="dxa"/>
            <w:tcBorders>
              <w:top w:val="single" w:color="auto" w:sz="2" w:space="0"/>
              <w:left w:val="single" w:color="auto" w:sz="2" w:space="0"/>
              <w:bottom w:val="single" w:color="auto" w:sz="2" w:space="0"/>
              <w:right w:val="single" w:color="auto" w:sz="2" w:space="0"/>
            </w:tcBorders>
            <w:vAlign w:val="center"/>
          </w:tcPr>
          <w:p w14:paraId="28E623FC">
            <w:pPr>
              <w:ind w:firstLine="482" w:firstLineChars="200"/>
              <w:rPr>
                <w:rFonts w:eastAsia="宋体" w:cs="宋体"/>
                <w:b/>
                <w:sz w:val="24"/>
                <w:szCs w:val="24"/>
              </w:rPr>
            </w:pPr>
            <w:r>
              <w:rPr>
                <w:rFonts w:hint="eastAsia" w:eastAsia="宋体" w:cs="宋体"/>
                <w:b/>
                <w:sz w:val="24"/>
                <w:szCs w:val="24"/>
              </w:rPr>
              <w:t>报名方式：拟投标人根据招标人在中国重汽官网等公开媒体上发布的招标信息，在“中国重汽</w:t>
            </w:r>
            <w:r>
              <w:rPr>
                <w:rFonts w:eastAsia="宋体" w:cs="宋体"/>
                <w:b/>
                <w:sz w:val="24"/>
                <w:szCs w:val="24"/>
              </w:rPr>
              <w:t>e采通”平台报名。按照中国重汽e采通“SRM非生产供应商注册手册”（附件1</w:t>
            </w:r>
            <w:r>
              <w:rPr>
                <w:rFonts w:hint="eastAsia" w:eastAsia="宋体" w:cs="宋体"/>
                <w:b/>
                <w:sz w:val="24"/>
                <w:szCs w:val="24"/>
                <w:lang w:val="en-US" w:eastAsia="zh-CN"/>
              </w:rPr>
              <w:t>5</w:t>
            </w:r>
            <w:r>
              <w:rPr>
                <w:rFonts w:eastAsia="宋体" w:cs="宋体"/>
                <w:b/>
                <w:sz w:val="24"/>
                <w:szCs w:val="24"/>
              </w:rPr>
              <w:t>）进行注册，注册完毕后按照“SRM系统供应商用户手册（附件16）”，登录重汽e采通平台后进入“供应商应标”，选择对应的项目，点击“应标”后按照招标文件第三部分投标文件组成资格证明文件中的1.1-1.1</w:t>
            </w:r>
            <w:r>
              <w:rPr>
                <w:rFonts w:hint="eastAsia" w:eastAsia="宋体" w:cs="宋体"/>
                <w:b/>
                <w:sz w:val="24"/>
                <w:szCs w:val="24"/>
                <w:lang w:val="en-US" w:eastAsia="zh-CN"/>
              </w:rPr>
              <w:t>3</w:t>
            </w:r>
            <w:r>
              <w:rPr>
                <w:rFonts w:eastAsia="宋体" w:cs="宋体"/>
                <w:b/>
                <w:sz w:val="24"/>
                <w:szCs w:val="24"/>
              </w:rPr>
              <w:t>准备资料并上传，资质审查通过即为报名成功；公示期间请尽快报名。</w:t>
            </w:r>
          </w:p>
          <w:p w14:paraId="72A4FE37">
            <w:pPr>
              <w:ind w:firstLine="482" w:firstLineChars="200"/>
              <w:rPr>
                <w:rFonts w:eastAsia="宋体" w:cs="宋体"/>
                <w:b/>
                <w:sz w:val="24"/>
                <w:szCs w:val="24"/>
              </w:rPr>
            </w:pPr>
            <w:r>
              <w:rPr>
                <w:rFonts w:hint="eastAsia" w:eastAsia="宋体" w:cs="宋体"/>
                <w:b/>
                <w:sz w:val="24"/>
                <w:szCs w:val="24"/>
              </w:rPr>
              <w:t>应标截止时间：</w:t>
            </w:r>
            <w:r>
              <w:rPr>
                <w:rFonts w:eastAsia="宋体" w:cs="宋体"/>
                <w:b/>
                <w:sz w:val="24"/>
                <w:szCs w:val="24"/>
              </w:rPr>
              <w:t>2026年</w:t>
            </w:r>
            <w:r>
              <w:rPr>
                <w:rFonts w:hint="eastAsia" w:eastAsia="宋体" w:cs="宋体"/>
                <w:b/>
                <w:sz w:val="24"/>
                <w:szCs w:val="24"/>
                <w:lang w:val="en-US" w:eastAsia="zh-CN"/>
              </w:rPr>
              <w:t>10</w:t>
            </w:r>
            <w:r>
              <w:rPr>
                <w:rFonts w:eastAsia="宋体" w:cs="宋体"/>
                <w:b/>
                <w:sz w:val="24"/>
                <w:szCs w:val="24"/>
              </w:rPr>
              <w:t>月</w:t>
            </w:r>
            <w:r>
              <w:rPr>
                <w:rFonts w:hint="eastAsia" w:eastAsia="宋体" w:cs="宋体"/>
                <w:b/>
                <w:sz w:val="24"/>
                <w:szCs w:val="24"/>
                <w:lang w:val="en-US" w:eastAsia="zh-CN"/>
              </w:rPr>
              <w:t>10</w:t>
            </w:r>
            <w:r>
              <w:rPr>
                <w:rFonts w:eastAsia="宋体" w:cs="宋体"/>
                <w:b/>
                <w:sz w:val="24"/>
                <w:szCs w:val="24"/>
              </w:rPr>
              <w:t>日17:00:00前</w:t>
            </w:r>
          </w:p>
          <w:p w14:paraId="160A0F82">
            <w:pPr>
              <w:pStyle w:val="119"/>
              <w:spacing w:line="240" w:lineRule="auto"/>
              <w:ind w:firstLine="482"/>
              <w:rPr>
                <w:rFonts w:eastAsia="宋体" w:cs="宋体"/>
                <w:b/>
                <w:bCs/>
              </w:rPr>
            </w:pPr>
            <w:r>
              <w:rPr>
                <w:rFonts w:hint="eastAsia" w:eastAsia="宋体" w:cs="宋体"/>
                <w:b/>
                <w:bCs/>
              </w:rPr>
              <w:t>注：请务必在应标截止时间前完成注册及应标操作，注册审核需</w:t>
            </w:r>
            <w:r>
              <w:rPr>
                <w:rFonts w:eastAsia="宋体" w:cs="宋体"/>
                <w:b/>
                <w:bCs/>
              </w:rPr>
              <w:t>2-4日，应标截止时间精确到秒，逾期将无法应标。请自行掌握时间，避免无法应标。</w:t>
            </w:r>
          </w:p>
        </w:tc>
      </w:tr>
      <w:tr w14:paraId="5463FEB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82"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74D3D4D1">
            <w:pPr>
              <w:jc w:val="center"/>
              <w:rPr>
                <w:rFonts w:ascii="宋体" w:hAnsi="宋体" w:eastAsia="宋体" w:cs="宋体"/>
                <w:b/>
                <w:bCs/>
                <w:sz w:val="24"/>
                <w:szCs w:val="24"/>
              </w:rPr>
            </w:pPr>
            <w:r>
              <w:rPr>
                <w:rFonts w:hint="eastAsia" w:ascii="宋体" w:hAnsi="宋体" w:eastAsia="宋体" w:cs="宋体"/>
                <w:b/>
                <w:bCs/>
                <w:sz w:val="24"/>
                <w:szCs w:val="24"/>
              </w:rPr>
              <w:t>3.投标文件的组成、编制及投递</w:t>
            </w:r>
          </w:p>
        </w:tc>
      </w:tr>
      <w:tr w14:paraId="3114414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51" w:hRule="atLeast"/>
        </w:trPr>
        <w:tc>
          <w:tcPr>
            <w:tcW w:w="595" w:type="dxa"/>
            <w:tcBorders>
              <w:top w:val="single" w:color="auto" w:sz="2" w:space="0"/>
              <w:left w:val="single" w:color="auto" w:sz="2" w:space="0"/>
              <w:bottom w:val="single" w:color="auto" w:sz="2" w:space="0"/>
              <w:right w:val="single" w:color="auto" w:sz="2" w:space="0"/>
            </w:tcBorders>
            <w:vAlign w:val="center"/>
          </w:tcPr>
          <w:p w14:paraId="220FA182">
            <w:pPr>
              <w:jc w:val="center"/>
              <w:rPr>
                <w:rFonts w:ascii="宋体" w:hAnsi="宋体" w:eastAsia="宋体" w:cs="宋体"/>
                <w:sz w:val="24"/>
                <w:szCs w:val="24"/>
              </w:rPr>
            </w:pPr>
            <w:r>
              <w:rPr>
                <w:rFonts w:hint="eastAsia" w:ascii="宋体" w:hAnsi="宋体" w:eastAsia="宋体" w:cs="宋体"/>
                <w:sz w:val="24"/>
                <w:szCs w:val="24"/>
              </w:rPr>
              <w:t>3.1</w:t>
            </w:r>
          </w:p>
        </w:tc>
        <w:tc>
          <w:tcPr>
            <w:tcW w:w="8363" w:type="dxa"/>
            <w:tcBorders>
              <w:top w:val="single" w:color="auto" w:sz="2" w:space="0"/>
              <w:left w:val="single" w:color="auto" w:sz="2" w:space="0"/>
              <w:bottom w:val="single" w:color="auto" w:sz="2" w:space="0"/>
              <w:right w:val="single" w:color="auto" w:sz="2" w:space="0"/>
            </w:tcBorders>
            <w:vAlign w:val="center"/>
          </w:tcPr>
          <w:p w14:paraId="14BE39FC">
            <w:pPr>
              <w:ind w:firstLine="482" w:firstLineChars="200"/>
              <w:rPr>
                <w:rFonts w:ascii="宋体" w:hAnsi="宋体" w:eastAsia="宋体" w:cs="宋体"/>
                <w:b/>
                <w:sz w:val="24"/>
                <w:szCs w:val="24"/>
              </w:rPr>
            </w:pPr>
            <w:r>
              <w:rPr>
                <w:rFonts w:hint="eastAsia" w:ascii="宋体" w:hAnsi="宋体" w:eastAsia="宋体" w:cs="宋体"/>
                <w:b/>
                <w:color w:val="000000"/>
                <w:sz w:val="24"/>
                <w:szCs w:val="24"/>
                <w:lang w:val="en-US" w:eastAsia="zh-CN"/>
              </w:rPr>
              <w:t>投标文件包含《投标文件（资质标）》、《投标文件（技术标）》、《投标文件（商务标）》（开标一览表），共计三个文件，三个文件格式见附件，未标明具体格式请自行编制，但需包含投标人须知3.2、3.3项内容。</w:t>
            </w:r>
          </w:p>
        </w:tc>
      </w:tr>
      <w:tr w14:paraId="20A69EC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9" w:hRule="atLeast"/>
        </w:trPr>
        <w:tc>
          <w:tcPr>
            <w:tcW w:w="595" w:type="dxa"/>
            <w:tcBorders>
              <w:top w:val="single" w:color="auto" w:sz="2" w:space="0"/>
              <w:left w:val="single" w:color="auto" w:sz="2" w:space="0"/>
              <w:bottom w:val="single" w:color="auto" w:sz="2" w:space="0"/>
              <w:right w:val="single" w:color="auto" w:sz="2" w:space="0"/>
            </w:tcBorders>
            <w:vAlign w:val="center"/>
          </w:tcPr>
          <w:p w14:paraId="7C976EDA">
            <w:pPr>
              <w:jc w:val="center"/>
              <w:rPr>
                <w:rFonts w:ascii="宋体" w:hAnsi="宋体" w:eastAsia="宋体" w:cs="宋体"/>
                <w:sz w:val="24"/>
                <w:szCs w:val="24"/>
              </w:rPr>
            </w:pPr>
            <w:r>
              <w:rPr>
                <w:rFonts w:hint="eastAsia" w:ascii="宋体" w:hAnsi="宋体" w:eastAsia="宋体" w:cs="宋体"/>
                <w:sz w:val="24"/>
                <w:szCs w:val="24"/>
              </w:rPr>
              <w:t>3.2</w:t>
            </w:r>
          </w:p>
        </w:tc>
        <w:tc>
          <w:tcPr>
            <w:tcW w:w="8363" w:type="dxa"/>
            <w:tcBorders>
              <w:top w:val="single" w:color="auto" w:sz="2" w:space="0"/>
              <w:left w:val="single" w:color="auto" w:sz="2" w:space="0"/>
              <w:bottom w:val="single" w:color="auto" w:sz="2" w:space="0"/>
              <w:right w:val="single" w:color="auto" w:sz="2" w:space="0"/>
            </w:tcBorders>
            <w:vAlign w:val="center"/>
          </w:tcPr>
          <w:p w14:paraId="4BE2C947">
            <w:pPr>
              <w:ind w:firstLine="482" w:firstLineChars="200"/>
              <w:rPr>
                <w:rFonts w:eastAsia="宋体" w:cs="宋体"/>
                <w:sz w:val="24"/>
                <w:szCs w:val="24"/>
              </w:rPr>
            </w:pPr>
            <w:r>
              <w:rPr>
                <w:rFonts w:hint="eastAsia" w:eastAsia="宋体" w:cs="宋体"/>
                <w:b/>
                <w:sz w:val="24"/>
                <w:szCs w:val="24"/>
              </w:rPr>
              <w:t>投标方式：在中国重汽</w:t>
            </w:r>
            <w:r>
              <w:rPr>
                <w:rFonts w:eastAsia="宋体" w:cs="宋体"/>
                <w:b/>
                <w:sz w:val="24"/>
                <w:szCs w:val="24"/>
              </w:rPr>
              <w:t>e采通平台应标成功后，进入“供应商投标”环节，投递盖章扫描版电子标书（包含资质标书、技术标书、商务标书），</w:t>
            </w:r>
            <w:r>
              <w:rPr>
                <w:rFonts w:eastAsia="宋体" w:cs="宋体"/>
                <w:sz w:val="24"/>
                <w:szCs w:val="24"/>
              </w:rPr>
              <w:t>若逾期未在中国重汽e采通平台上传电子标书，即便递交了纸版投标文件，一律视为无效投标。</w:t>
            </w:r>
          </w:p>
          <w:p w14:paraId="1A203928">
            <w:pPr>
              <w:ind w:firstLine="480" w:firstLineChars="200"/>
              <w:rPr>
                <w:rFonts w:hint="eastAsia" w:eastAsia="宋体" w:cs="宋体"/>
                <w:b/>
                <w:sz w:val="24"/>
                <w:szCs w:val="24"/>
              </w:rPr>
            </w:pPr>
            <w:r>
              <w:rPr>
                <w:rFonts w:eastAsia="宋体" w:cs="宋体"/>
                <w:sz w:val="24"/>
                <w:szCs w:val="24"/>
              </w:rPr>
              <w:t xml:space="preserve"> 纸质版投标文件的份数要求为</w:t>
            </w:r>
            <w:r>
              <w:rPr>
                <w:rFonts w:eastAsia="宋体" w:cs="宋体"/>
                <w:b/>
                <w:sz w:val="24"/>
                <w:szCs w:val="24"/>
              </w:rPr>
              <w:t>正本一份副本四份</w:t>
            </w:r>
            <w:r>
              <w:rPr>
                <w:rFonts w:eastAsia="宋体" w:cs="宋体"/>
                <w:sz w:val="24"/>
                <w:szCs w:val="24"/>
              </w:rPr>
              <w:t>，资质投标书、技术投标书、商务投标书及开标一览表</w:t>
            </w:r>
            <w:r>
              <w:rPr>
                <w:rFonts w:eastAsia="宋体" w:cs="宋体"/>
                <w:b/>
                <w:sz w:val="24"/>
                <w:szCs w:val="24"/>
              </w:rPr>
              <w:t>分别包封，包封表面按照附件13标注文件信息；共计四个包封。</w:t>
            </w:r>
          </w:p>
          <w:p w14:paraId="2D3ADE04">
            <w:pPr>
              <w:ind w:firstLine="482" w:firstLineChars="200"/>
              <w:rPr>
                <w:rFonts w:hint="eastAsia" w:eastAsia="宋体" w:cs="宋体"/>
                <w:b/>
                <w:sz w:val="24"/>
                <w:szCs w:val="24"/>
              </w:rPr>
            </w:pPr>
            <w:r>
              <w:rPr>
                <w:rFonts w:hint="eastAsia" w:eastAsia="宋体" w:cs="宋体"/>
                <w:b/>
                <w:sz w:val="24"/>
                <w:szCs w:val="24"/>
              </w:rPr>
              <w:t>投标文件（资质）包含：</w:t>
            </w:r>
          </w:p>
          <w:p w14:paraId="52697A09">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1.1营业执照副本复印件（需加盖公章）；</w:t>
            </w:r>
          </w:p>
          <w:p w14:paraId="26373F79">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1.2投标函（附件1）；</w:t>
            </w:r>
          </w:p>
          <w:p w14:paraId="567E114F">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1.3法定代表人授权书（附件2）；法定代表人参加投标的，提供法人身份证明文件即可；被授权人参加投标的，需提供法定代表人授权委托书</w:t>
            </w:r>
            <w:r>
              <w:rPr>
                <w:rFonts w:hint="eastAsia" w:ascii="宋体" w:hAnsi="宋体" w:eastAsia="宋体" w:cs="宋体"/>
                <w:b/>
                <w:color w:val="000000"/>
                <w:sz w:val="24"/>
                <w:szCs w:val="24"/>
              </w:rPr>
              <w:t>（含法人身份证和被授权人身份证正反面复印件）；</w:t>
            </w:r>
          </w:p>
          <w:p w14:paraId="12D4C021">
            <w:pPr>
              <w:spacing w:line="360" w:lineRule="auto"/>
              <w:ind w:firstLine="480" w:firstLineChars="200"/>
              <w:rPr>
                <w:rFonts w:ascii="宋体" w:hAnsi="宋体" w:eastAsia="宋体" w:cs="宋体"/>
                <w:b/>
                <w:color w:val="000000"/>
                <w:sz w:val="24"/>
                <w:szCs w:val="24"/>
                <w:highlight w:val="yellow"/>
              </w:rPr>
            </w:pPr>
            <w:r>
              <w:rPr>
                <w:rFonts w:hint="eastAsia" w:ascii="宋体" w:hAnsi="宋体" w:eastAsia="宋体" w:cs="宋体"/>
                <w:color w:val="000000"/>
                <w:sz w:val="24"/>
                <w:szCs w:val="24"/>
              </w:rPr>
              <w:t>1.4近三年经第三方机构审计的财务报表（报告页、资产负债表、损益表、现金流量表）复印件（需加盖公章），必须连续，同时填写投标人基本情况表（附件3）</w:t>
            </w:r>
            <w:r>
              <w:rPr>
                <w:rFonts w:hint="eastAsia" w:ascii="宋体" w:hAnsi="宋体" w:eastAsia="宋体" w:cs="宋体"/>
                <w:b/>
                <w:color w:val="000000"/>
                <w:sz w:val="24"/>
                <w:szCs w:val="24"/>
              </w:rPr>
              <w:t>；</w:t>
            </w:r>
          </w:p>
          <w:p w14:paraId="65B37E1A">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1.5近三年内在经营活动中</w:t>
            </w:r>
            <w:r>
              <w:rPr>
                <w:rFonts w:hint="eastAsia" w:hAnsi="宋体" w:eastAsia="宋体" w:cs="宋体"/>
                <w:color w:val="000000"/>
                <w:sz w:val="24"/>
                <w:szCs w:val="24"/>
              </w:rPr>
              <w:t>无与本项目有关的违法及重大违规</w:t>
            </w:r>
            <w:r>
              <w:rPr>
                <w:rFonts w:hint="eastAsia" w:ascii="宋体" w:hAnsi="宋体" w:eastAsia="宋体" w:cs="宋体"/>
                <w:color w:val="000000"/>
                <w:sz w:val="24"/>
                <w:szCs w:val="24"/>
              </w:rPr>
              <w:t>行为的声明；</w:t>
            </w:r>
          </w:p>
          <w:p w14:paraId="014F945E">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1.6投标人在国家企业信用信息公示系统中无与本项目有关的行政处罚、经营异常和失信信息的声明；</w:t>
            </w:r>
            <w:r>
              <w:rPr>
                <w:rFonts w:ascii="宋体" w:hAnsi="宋体" w:eastAsia="宋体" w:cs="宋体"/>
                <w:color w:val="000000"/>
                <w:sz w:val="24"/>
                <w:szCs w:val="24"/>
              </w:rPr>
              <w:t xml:space="preserve"> </w:t>
            </w:r>
          </w:p>
          <w:p w14:paraId="3B1A970A">
            <w:pPr>
              <w:spacing w:line="360" w:lineRule="auto"/>
              <w:ind w:firstLine="480" w:firstLineChars="200"/>
            </w:pPr>
            <w:r>
              <w:rPr>
                <w:rFonts w:hint="eastAsia" w:ascii="宋体" w:hAnsi="宋体" w:eastAsia="宋体" w:cs="宋体"/>
                <w:color w:val="000000"/>
                <w:sz w:val="24"/>
                <w:szCs w:val="24"/>
              </w:rPr>
              <w:t>1.7</w:t>
            </w:r>
            <w:r>
              <w:rPr>
                <w:rFonts w:ascii="宋体" w:hAnsi="宋体" w:eastAsia="宋体" w:cs="宋体"/>
                <w:sz w:val="24"/>
                <w:szCs w:val="24"/>
              </w:rPr>
              <w:t>企业对外担保说明（写明贵单位对外有无对外担保和质押业务，需加盖公章）</w:t>
            </w:r>
            <w:r>
              <w:rPr>
                <w:rFonts w:hint="eastAsia" w:ascii="宋体" w:hAnsi="宋体" w:eastAsia="宋体" w:cs="宋体"/>
                <w:color w:val="000000"/>
                <w:sz w:val="24"/>
                <w:szCs w:val="24"/>
              </w:rPr>
              <w:t>；</w:t>
            </w:r>
          </w:p>
          <w:p w14:paraId="09819E14">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1.8企业信用证明材料（征信中心出具的信用报告）；</w:t>
            </w:r>
          </w:p>
          <w:p w14:paraId="35C7FC85">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1.9企业最近半年的完税证明，并附</w:t>
            </w:r>
            <w:r>
              <w:rPr>
                <w:rFonts w:ascii="宋体" w:hAnsi="宋体" w:eastAsia="宋体" w:cs="宋体"/>
                <w:sz w:val="24"/>
                <w:szCs w:val="24"/>
              </w:rPr>
              <w:t>年度纳税信用评价信息（可从电子税务局查询截图，需加盖公章）</w:t>
            </w:r>
            <w:r>
              <w:rPr>
                <w:rFonts w:hint="eastAsia" w:ascii="宋体" w:hAnsi="宋体" w:eastAsia="宋体" w:cs="宋体"/>
                <w:color w:val="000000"/>
                <w:sz w:val="24"/>
                <w:szCs w:val="24"/>
              </w:rPr>
              <w:t>；</w:t>
            </w:r>
          </w:p>
          <w:p w14:paraId="25F7917B">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1.1</w:t>
            </w:r>
            <w:r>
              <w:rPr>
                <w:rFonts w:hint="eastAsia" w:ascii="宋体" w:hAnsi="宋体" w:eastAsia="宋体" w:cs="宋体"/>
                <w:color w:val="000000"/>
                <w:sz w:val="24"/>
                <w:szCs w:val="24"/>
                <w:lang w:val="en-US" w:eastAsia="zh-CN"/>
              </w:rPr>
              <w:t>0</w:t>
            </w:r>
            <w:r>
              <w:rPr>
                <w:rFonts w:hint="eastAsia" w:ascii="宋体" w:hAnsi="宋体" w:eastAsia="宋体" w:cs="宋体"/>
                <w:color w:val="000000"/>
                <w:sz w:val="24"/>
                <w:szCs w:val="24"/>
              </w:rPr>
              <w:t>保密承诺函（附件4）；</w:t>
            </w:r>
          </w:p>
          <w:p w14:paraId="6ACE709D">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1.1</w:t>
            </w:r>
            <w:r>
              <w:rPr>
                <w:rFonts w:hint="eastAsia" w:ascii="宋体" w:hAnsi="宋体" w:eastAsia="宋体" w:cs="宋体"/>
                <w:color w:val="000000"/>
                <w:sz w:val="24"/>
                <w:szCs w:val="24"/>
                <w:lang w:val="en-US" w:eastAsia="zh-CN"/>
              </w:rPr>
              <w:t>1</w:t>
            </w:r>
            <w:r>
              <w:rPr>
                <w:rFonts w:hint="eastAsia" w:ascii="宋体" w:hAnsi="宋体" w:eastAsia="宋体" w:cs="宋体"/>
                <w:color w:val="000000"/>
                <w:sz w:val="24"/>
                <w:szCs w:val="24"/>
              </w:rPr>
              <w:t>202</w:t>
            </w:r>
            <w:r>
              <w:rPr>
                <w:rFonts w:ascii="宋体" w:hAnsi="宋体" w:eastAsia="宋体" w:cs="宋体"/>
                <w:color w:val="000000"/>
                <w:sz w:val="24"/>
                <w:szCs w:val="24"/>
              </w:rPr>
              <w:t>1</w:t>
            </w:r>
            <w:r>
              <w:rPr>
                <w:rFonts w:hint="eastAsia" w:ascii="宋体" w:hAnsi="宋体" w:eastAsia="宋体" w:cs="宋体"/>
                <w:color w:val="000000"/>
                <w:sz w:val="24"/>
                <w:szCs w:val="24"/>
              </w:rPr>
              <w:t>年1月1日至今，企业近五年同类项目业绩证明，</w:t>
            </w:r>
            <w:r>
              <w:rPr>
                <w:rFonts w:ascii="宋体" w:hAnsi="宋体" w:eastAsia="宋体" w:cs="宋体"/>
                <w:sz w:val="24"/>
                <w:szCs w:val="24"/>
              </w:rPr>
              <w:t>须提供</w:t>
            </w:r>
            <w:r>
              <w:rPr>
                <w:rFonts w:hint="eastAsia" w:hAnsi="宋体" w:eastAsia="宋体" w:cs="宋体"/>
                <w:b/>
                <w:bCs/>
                <w:color w:val="000000"/>
                <w:kern w:val="0"/>
                <w:sz w:val="24"/>
                <w:szCs w:val="24"/>
              </w:rPr>
              <w:t>用户清单</w:t>
            </w:r>
            <w:r>
              <w:rPr>
                <w:rFonts w:ascii="宋体" w:hAnsi="宋体" w:eastAsia="宋体" w:cs="宋体"/>
                <w:sz w:val="24"/>
                <w:szCs w:val="24"/>
              </w:rPr>
              <w:t>、采购合同</w:t>
            </w:r>
            <w:r>
              <w:rPr>
                <w:rFonts w:hint="eastAsia" w:ascii="宋体" w:hAnsi="宋体" w:eastAsia="宋体" w:cs="宋体"/>
                <w:sz w:val="24"/>
                <w:szCs w:val="24"/>
              </w:rPr>
              <w:t>复印件</w:t>
            </w:r>
            <w:r>
              <w:rPr>
                <w:rFonts w:hint="eastAsia" w:ascii="宋体" w:hAnsi="宋体" w:eastAsia="宋体" w:cs="宋体"/>
                <w:color w:val="000000"/>
                <w:sz w:val="24"/>
                <w:szCs w:val="24"/>
              </w:rPr>
              <w:t>；</w:t>
            </w:r>
          </w:p>
          <w:p w14:paraId="258F9192">
            <w:pPr>
              <w:pStyle w:val="20"/>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1.13投标保证金缴纳凭证。</w:t>
            </w:r>
          </w:p>
          <w:p w14:paraId="37C7EAB4">
            <w:pPr>
              <w:pStyle w:val="20"/>
              <w:ind w:firstLine="482" w:firstLineChars="200"/>
              <w:rPr>
                <w:rFonts w:hint="eastAsia"/>
                <w:highlight w:val="none"/>
              </w:rPr>
            </w:pPr>
            <w:r>
              <w:rPr>
                <w:rFonts w:hAnsi="宋体" w:eastAsia="宋体" w:cs="宋体"/>
                <w:b/>
                <w:color w:val="000000"/>
                <w:sz w:val="24"/>
                <w:szCs w:val="24"/>
                <w:highlight w:val="none"/>
              </w:rPr>
              <w:t>1-1</w:t>
            </w:r>
            <w:r>
              <w:rPr>
                <w:rFonts w:hint="eastAsia" w:hAnsi="宋体" w:eastAsia="宋体" w:cs="宋体"/>
                <w:b/>
                <w:color w:val="000000"/>
                <w:sz w:val="24"/>
                <w:szCs w:val="24"/>
                <w:highlight w:val="none"/>
                <w:lang w:val="en-US" w:eastAsia="zh-CN"/>
              </w:rPr>
              <w:t>3</w:t>
            </w:r>
            <w:r>
              <w:rPr>
                <w:rFonts w:hAnsi="宋体" w:eastAsia="宋体" w:cs="宋体"/>
                <w:b/>
                <w:color w:val="000000"/>
                <w:sz w:val="24"/>
                <w:szCs w:val="24"/>
                <w:highlight w:val="none"/>
              </w:rPr>
              <w:t>项文件必须提供，未提供者直接视为资质、资格审查未通过，无法继续参与投标！</w:t>
            </w:r>
          </w:p>
          <w:p w14:paraId="031D8E8E">
            <w:pPr>
              <w:ind w:firstLine="480" w:firstLineChars="200"/>
              <w:rPr>
                <w:rFonts w:ascii="宋体" w:hAnsi="宋体" w:eastAsia="宋体" w:cs="Times New Roman"/>
                <w:color w:val="000000"/>
                <w:sz w:val="24"/>
                <w:szCs w:val="24"/>
              </w:rPr>
            </w:pPr>
            <w:r>
              <w:rPr>
                <w:rFonts w:hint="eastAsia" w:eastAsia="宋体" w:cs="宋体"/>
                <w:b w:val="0"/>
                <w:bCs/>
                <w:sz w:val="24"/>
                <w:szCs w:val="24"/>
              </w:rPr>
              <w:t>所有资质文件均需保证有效期内、信息清晰、加盖投标人公章，过期、模糊、无盖章均视为无效资质。</w:t>
            </w:r>
          </w:p>
        </w:tc>
      </w:tr>
      <w:tr w14:paraId="77A9754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69" w:hRule="atLeast"/>
        </w:trPr>
        <w:tc>
          <w:tcPr>
            <w:tcW w:w="595" w:type="dxa"/>
            <w:tcBorders>
              <w:top w:val="single" w:color="auto" w:sz="2" w:space="0"/>
              <w:left w:val="single" w:color="auto" w:sz="2" w:space="0"/>
              <w:bottom w:val="single" w:color="auto" w:sz="2" w:space="0"/>
              <w:right w:val="single" w:color="auto" w:sz="2" w:space="0"/>
            </w:tcBorders>
            <w:vAlign w:val="center"/>
          </w:tcPr>
          <w:p w14:paraId="13F61680">
            <w:pPr>
              <w:jc w:val="center"/>
              <w:rPr>
                <w:rFonts w:ascii="宋体" w:hAnsi="宋体" w:eastAsia="宋体" w:cs="宋体"/>
                <w:sz w:val="24"/>
                <w:szCs w:val="24"/>
              </w:rPr>
            </w:pPr>
            <w:r>
              <w:rPr>
                <w:rFonts w:hint="eastAsia" w:ascii="宋体" w:hAnsi="宋体" w:eastAsia="宋体" w:cs="宋体"/>
                <w:sz w:val="24"/>
                <w:szCs w:val="24"/>
              </w:rPr>
              <w:t>3.3</w:t>
            </w:r>
          </w:p>
        </w:tc>
        <w:tc>
          <w:tcPr>
            <w:tcW w:w="8363" w:type="dxa"/>
            <w:tcBorders>
              <w:top w:val="single" w:color="auto" w:sz="2" w:space="0"/>
              <w:left w:val="single" w:color="auto" w:sz="2" w:space="0"/>
              <w:bottom w:val="single" w:color="auto" w:sz="2" w:space="0"/>
              <w:right w:val="single" w:color="auto" w:sz="2" w:space="0"/>
            </w:tcBorders>
            <w:vAlign w:val="center"/>
          </w:tcPr>
          <w:p w14:paraId="61BD6B9F">
            <w:pPr>
              <w:pStyle w:val="20"/>
              <w:ind w:firstLine="482" w:firstLineChars="200"/>
              <w:rPr>
                <w:rFonts w:hint="eastAsia" w:hAnsi="宋体" w:eastAsia="宋体" w:cs="宋体"/>
                <w:b/>
                <w:bCs/>
                <w:sz w:val="24"/>
              </w:rPr>
            </w:pPr>
            <w:r>
              <w:rPr>
                <w:rFonts w:hint="eastAsia" w:hAnsi="宋体" w:eastAsia="宋体" w:cs="宋体"/>
                <w:b/>
                <w:bCs/>
                <w:sz w:val="24"/>
              </w:rPr>
              <w:t>纸质版投标文件和电子版投标文件必须保证内容一致；如确实存在不一致的，以电子标书为准，同时要求投标人对纸版标书做出修正。</w:t>
            </w:r>
          </w:p>
          <w:p w14:paraId="736FB3FB">
            <w:pPr>
              <w:pStyle w:val="20"/>
              <w:ind w:firstLine="482" w:firstLineChars="200"/>
              <w:rPr>
                <w:rFonts w:hint="eastAsia" w:hAnsi="宋体" w:eastAsia="宋体" w:cs="宋体"/>
                <w:b/>
                <w:bCs/>
                <w:sz w:val="24"/>
              </w:rPr>
            </w:pPr>
            <w:r>
              <w:rPr>
                <w:rFonts w:hint="eastAsia" w:hAnsi="宋体" w:eastAsia="宋体" w:cs="宋体"/>
                <w:b/>
                <w:bCs/>
                <w:sz w:val="24"/>
              </w:rPr>
              <w:t>投标文件（技术标）包含：</w:t>
            </w:r>
          </w:p>
          <w:p w14:paraId="06796EFF">
            <w:pPr>
              <w:pStyle w:val="20"/>
              <w:ind w:firstLine="480" w:firstLineChars="200"/>
              <w:rPr>
                <w:rFonts w:hint="eastAsia" w:hAnsi="宋体" w:eastAsia="宋体" w:cs="宋体"/>
                <w:b w:val="0"/>
                <w:bCs w:val="0"/>
                <w:sz w:val="24"/>
                <w:highlight w:val="none"/>
              </w:rPr>
            </w:pPr>
            <w:r>
              <w:rPr>
                <w:rFonts w:hint="eastAsia" w:hAnsi="宋体" w:eastAsia="宋体" w:cs="宋体"/>
                <w:b w:val="0"/>
                <w:bCs w:val="0"/>
                <w:sz w:val="24"/>
                <w:highlight w:val="none"/>
              </w:rPr>
              <w:t>1.技术参数偏离表（无偏离、正偏离、负偏离逐条列明）</w:t>
            </w:r>
          </w:p>
          <w:p w14:paraId="7C923426">
            <w:pPr>
              <w:pStyle w:val="20"/>
              <w:ind w:firstLine="480" w:firstLineChars="200"/>
              <w:rPr>
                <w:rFonts w:hint="eastAsia" w:hAnsi="宋体" w:eastAsia="宋体" w:cs="宋体"/>
                <w:b w:val="0"/>
                <w:bCs w:val="0"/>
                <w:sz w:val="24"/>
                <w:highlight w:val="none"/>
              </w:rPr>
            </w:pPr>
            <w:r>
              <w:rPr>
                <w:rFonts w:hint="eastAsia" w:hAnsi="宋体" w:eastAsia="宋体" w:cs="宋体"/>
                <w:b w:val="0"/>
                <w:bCs w:val="0"/>
                <w:sz w:val="24"/>
                <w:highlight w:val="none"/>
              </w:rPr>
              <w:t>2.设备整机技术说明书（含设备结构原理、操作规范、维护保养、故障排查、安全操作规程、安装基础图纸）</w:t>
            </w:r>
          </w:p>
          <w:p w14:paraId="3B995A98">
            <w:pPr>
              <w:pStyle w:val="20"/>
              <w:ind w:firstLine="480" w:firstLineChars="200"/>
              <w:rPr>
                <w:rFonts w:hint="eastAsia" w:hAnsi="宋体" w:eastAsia="宋体" w:cs="宋体"/>
                <w:b w:val="0"/>
                <w:bCs w:val="0"/>
                <w:sz w:val="24"/>
                <w:highlight w:val="none"/>
              </w:rPr>
            </w:pPr>
            <w:r>
              <w:rPr>
                <w:rFonts w:hint="eastAsia" w:hAnsi="宋体" w:eastAsia="宋体" w:cs="宋体"/>
                <w:b w:val="0"/>
                <w:bCs w:val="0"/>
                <w:sz w:val="24"/>
                <w:highlight w:val="none"/>
              </w:rPr>
              <w:t>3.整机外形尺寸图、安装尺寸示意图等</w:t>
            </w:r>
          </w:p>
          <w:p w14:paraId="647E19A2">
            <w:pPr>
              <w:pStyle w:val="20"/>
              <w:ind w:firstLine="480" w:firstLineChars="200"/>
              <w:rPr>
                <w:rFonts w:hint="eastAsia" w:hAnsi="宋体" w:eastAsia="宋体" w:cs="宋体"/>
                <w:b w:val="0"/>
                <w:bCs w:val="0"/>
                <w:sz w:val="24"/>
                <w:highlight w:val="none"/>
              </w:rPr>
            </w:pPr>
            <w:r>
              <w:rPr>
                <w:rFonts w:hint="eastAsia" w:hAnsi="宋体" w:eastAsia="宋体" w:cs="宋体"/>
                <w:b w:val="0"/>
                <w:bCs w:val="0"/>
                <w:sz w:val="24"/>
                <w:highlight w:val="none"/>
              </w:rPr>
              <w:t>4.设备配置清单（整机及所有附属零部件明细、品牌、规格、型号）</w:t>
            </w:r>
          </w:p>
          <w:p w14:paraId="1DEC6EE8">
            <w:pPr>
              <w:pStyle w:val="20"/>
              <w:ind w:firstLine="480" w:firstLineChars="200"/>
              <w:rPr>
                <w:rFonts w:hint="eastAsia" w:hAnsi="宋体" w:eastAsia="宋体" w:cs="宋体"/>
                <w:b w:val="0"/>
                <w:bCs w:val="0"/>
                <w:sz w:val="24"/>
                <w:highlight w:val="none"/>
              </w:rPr>
            </w:pPr>
            <w:r>
              <w:rPr>
                <w:rFonts w:hint="eastAsia" w:hAnsi="宋体" w:eastAsia="宋体" w:cs="宋体"/>
                <w:b w:val="0"/>
                <w:bCs w:val="0"/>
                <w:sz w:val="24"/>
                <w:highlight w:val="none"/>
              </w:rPr>
              <w:t>5..设备主要用材材质说明、钢材材质证明、型材规格参数</w:t>
            </w:r>
          </w:p>
          <w:p w14:paraId="6E434B3B">
            <w:pPr>
              <w:pStyle w:val="20"/>
              <w:ind w:firstLine="480" w:firstLineChars="200"/>
              <w:rPr>
                <w:rFonts w:hint="eastAsia" w:hAnsi="宋体" w:eastAsia="宋体" w:cs="宋体"/>
                <w:b w:val="0"/>
                <w:bCs w:val="0"/>
                <w:sz w:val="24"/>
                <w:highlight w:val="none"/>
              </w:rPr>
            </w:pPr>
            <w:r>
              <w:rPr>
                <w:rFonts w:hint="eastAsia" w:hAnsi="宋体" w:eastAsia="宋体" w:cs="宋体"/>
                <w:b w:val="0"/>
                <w:bCs w:val="0"/>
                <w:sz w:val="24"/>
                <w:highlight w:val="none"/>
              </w:rPr>
              <w:t>6.结构焊接工艺、打磨工艺、整体加工工艺方案</w:t>
            </w:r>
          </w:p>
          <w:p w14:paraId="56E13279">
            <w:pPr>
              <w:pStyle w:val="20"/>
              <w:ind w:firstLine="480" w:firstLineChars="200"/>
              <w:rPr>
                <w:rFonts w:hint="eastAsia" w:hAnsi="宋体" w:eastAsia="宋体" w:cs="宋体"/>
                <w:b w:val="0"/>
                <w:bCs w:val="0"/>
                <w:sz w:val="24"/>
                <w:highlight w:val="none"/>
              </w:rPr>
            </w:pPr>
            <w:r>
              <w:rPr>
                <w:rFonts w:hint="eastAsia" w:hAnsi="宋体" w:eastAsia="宋体" w:cs="宋体"/>
                <w:b w:val="0"/>
                <w:bCs w:val="0"/>
                <w:sz w:val="24"/>
                <w:highlight w:val="none"/>
              </w:rPr>
              <w:t>7.安全防护系统介绍</w:t>
            </w:r>
          </w:p>
          <w:p w14:paraId="41647897">
            <w:pPr>
              <w:pStyle w:val="20"/>
              <w:ind w:firstLine="480" w:firstLineChars="200"/>
              <w:rPr>
                <w:rFonts w:hint="eastAsia" w:hAnsi="宋体" w:eastAsia="宋体" w:cs="宋体"/>
                <w:b w:val="0"/>
                <w:bCs w:val="0"/>
                <w:sz w:val="24"/>
                <w:highlight w:val="none"/>
              </w:rPr>
            </w:pPr>
            <w:r>
              <w:rPr>
                <w:rFonts w:hint="eastAsia" w:hAnsi="宋体" w:eastAsia="宋体" w:cs="宋体"/>
                <w:b w:val="0"/>
                <w:bCs w:val="0"/>
                <w:sz w:val="24"/>
                <w:highlight w:val="none"/>
              </w:rPr>
              <w:t>8.安装、调试与培训方案</w:t>
            </w:r>
          </w:p>
          <w:p w14:paraId="11D3DA7D">
            <w:pPr>
              <w:pStyle w:val="20"/>
              <w:ind w:firstLine="480" w:firstLineChars="200"/>
              <w:rPr>
                <w:rFonts w:hint="eastAsia" w:hAnsi="宋体" w:eastAsia="宋体" w:cs="宋体"/>
                <w:b w:val="0"/>
                <w:bCs w:val="0"/>
                <w:sz w:val="24"/>
                <w:highlight w:val="none"/>
              </w:rPr>
            </w:pPr>
            <w:r>
              <w:rPr>
                <w:rFonts w:hint="eastAsia" w:hAnsi="宋体" w:eastAsia="宋体" w:cs="宋体"/>
                <w:b w:val="0"/>
                <w:bCs w:val="0"/>
                <w:sz w:val="24"/>
                <w:highlight w:val="none"/>
              </w:rPr>
              <w:t>9.项目竣工验收、试运行、移交验收方案</w:t>
            </w:r>
          </w:p>
          <w:p w14:paraId="562C6352">
            <w:pPr>
              <w:pStyle w:val="20"/>
              <w:ind w:firstLine="480" w:firstLineChars="200"/>
              <w:rPr>
                <w:rFonts w:hint="eastAsia" w:hAnsi="宋体" w:eastAsia="宋体" w:cs="宋体"/>
                <w:b w:val="0"/>
                <w:bCs w:val="0"/>
                <w:sz w:val="24"/>
                <w:highlight w:val="none"/>
              </w:rPr>
            </w:pPr>
            <w:r>
              <w:rPr>
                <w:rFonts w:hint="eastAsia" w:hAnsi="宋体" w:eastAsia="宋体" w:cs="宋体"/>
                <w:b w:val="0"/>
                <w:bCs w:val="0"/>
                <w:sz w:val="24"/>
                <w:highlight w:val="none"/>
              </w:rPr>
              <w:t>10.质保期服务方案（质保年限、免费维修、免费更换配件承诺）</w:t>
            </w:r>
          </w:p>
          <w:p w14:paraId="1CD252F4">
            <w:pPr>
              <w:pStyle w:val="20"/>
              <w:ind w:firstLine="480" w:firstLineChars="200"/>
              <w:rPr>
                <w:rFonts w:hint="eastAsia" w:hAnsi="宋体" w:eastAsia="宋体" w:cs="宋体"/>
                <w:b w:val="0"/>
                <w:bCs w:val="0"/>
                <w:sz w:val="24"/>
                <w:highlight w:val="none"/>
              </w:rPr>
            </w:pPr>
            <w:r>
              <w:rPr>
                <w:rFonts w:hint="eastAsia" w:hAnsi="宋体" w:eastAsia="宋体" w:cs="宋体"/>
                <w:b w:val="0"/>
                <w:bCs w:val="0"/>
                <w:sz w:val="24"/>
                <w:highlight w:val="none"/>
              </w:rPr>
              <w:t>11.售后响应机制、故障排查、上门维修时效承诺</w:t>
            </w:r>
          </w:p>
          <w:p w14:paraId="3F244DF3">
            <w:pPr>
              <w:pStyle w:val="20"/>
              <w:ind w:firstLine="480" w:firstLineChars="200"/>
              <w:rPr>
                <w:rFonts w:hint="eastAsia" w:hAnsi="宋体" w:eastAsia="宋体" w:cs="宋体"/>
                <w:b w:val="0"/>
                <w:bCs w:val="0"/>
                <w:sz w:val="24"/>
                <w:highlight w:val="none"/>
              </w:rPr>
            </w:pPr>
            <w:r>
              <w:rPr>
                <w:rFonts w:hint="eastAsia" w:hAnsi="宋体" w:eastAsia="宋体" w:cs="宋体"/>
                <w:b w:val="0"/>
                <w:bCs w:val="0"/>
                <w:sz w:val="24"/>
                <w:highlight w:val="none"/>
              </w:rPr>
              <w:t>12.终身运维服务、定期巡检、设备保养方案</w:t>
            </w:r>
          </w:p>
          <w:p w14:paraId="009DFCF8">
            <w:pPr>
              <w:pStyle w:val="20"/>
              <w:ind w:firstLine="480" w:firstLineChars="200"/>
              <w:rPr>
                <w:rFonts w:hint="eastAsia" w:hAnsi="宋体" w:eastAsia="宋体" w:cs="宋体"/>
                <w:b w:val="0"/>
                <w:bCs w:val="0"/>
                <w:sz w:val="24"/>
                <w:highlight w:val="none"/>
              </w:rPr>
            </w:pPr>
            <w:r>
              <w:rPr>
                <w:rFonts w:hint="eastAsia" w:hAnsi="宋体" w:eastAsia="宋体" w:cs="宋体"/>
                <w:b w:val="0"/>
                <w:bCs w:val="0"/>
                <w:sz w:val="24"/>
                <w:highlight w:val="none"/>
              </w:rPr>
              <w:t>13.操作人员、维保人员现场技术培训方案</w:t>
            </w:r>
          </w:p>
          <w:p w14:paraId="148404CE">
            <w:pPr>
              <w:spacing w:line="360" w:lineRule="auto"/>
              <w:ind w:firstLine="480" w:firstLineChars="200"/>
              <w:rPr>
                <w:rFonts w:hAnsi="宋体" w:eastAsia="宋体" w:cs="宋体"/>
                <w:b/>
                <w:bCs/>
                <w:sz w:val="24"/>
                <w:szCs w:val="24"/>
              </w:rPr>
            </w:pPr>
            <w:r>
              <w:rPr>
                <w:rFonts w:hint="eastAsia" w:hAnsi="宋体" w:eastAsia="宋体" w:cs="宋体"/>
                <w:b w:val="0"/>
                <w:bCs w:val="0"/>
                <w:sz w:val="24"/>
                <w:highlight w:val="none"/>
              </w:rPr>
              <w:t>14.备品备件供应保障方案</w:t>
            </w:r>
          </w:p>
        </w:tc>
      </w:tr>
      <w:tr w14:paraId="12E9E18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70" w:hRule="atLeast"/>
        </w:trPr>
        <w:tc>
          <w:tcPr>
            <w:tcW w:w="595" w:type="dxa"/>
            <w:tcBorders>
              <w:top w:val="single" w:color="auto" w:sz="2" w:space="0"/>
              <w:left w:val="single" w:color="auto" w:sz="2" w:space="0"/>
              <w:bottom w:val="single" w:color="auto" w:sz="2" w:space="0"/>
              <w:right w:val="single" w:color="auto" w:sz="2" w:space="0"/>
            </w:tcBorders>
            <w:vAlign w:val="center"/>
          </w:tcPr>
          <w:p w14:paraId="335828FD">
            <w:pPr>
              <w:jc w:val="center"/>
              <w:rPr>
                <w:rFonts w:ascii="宋体" w:hAnsi="宋体" w:eastAsia="宋体" w:cs="宋体"/>
                <w:sz w:val="24"/>
                <w:szCs w:val="24"/>
              </w:rPr>
            </w:pPr>
            <w:r>
              <w:rPr>
                <w:rFonts w:hint="eastAsia" w:ascii="宋体" w:hAnsi="宋体" w:eastAsia="宋体" w:cs="宋体"/>
                <w:sz w:val="24"/>
                <w:szCs w:val="24"/>
              </w:rPr>
              <w:t>3.4</w:t>
            </w:r>
          </w:p>
        </w:tc>
        <w:tc>
          <w:tcPr>
            <w:tcW w:w="8363" w:type="dxa"/>
            <w:tcBorders>
              <w:top w:val="single" w:color="auto" w:sz="2" w:space="0"/>
              <w:left w:val="single" w:color="auto" w:sz="2" w:space="0"/>
              <w:bottom w:val="single" w:color="auto" w:sz="2" w:space="0"/>
              <w:right w:val="single" w:color="auto" w:sz="2" w:space="0"/>
            </w:tcBorders>
            <w:vAlign w:val="center"/>
          </w:tcPr>
          <w:p w14:paraId="1E334639">
            <w:pPr>
              <w:pStyle w:val="20"/>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rPr>
              <w:t>《投标文件（商务标）》（开标一览表）附件</w:t>
            </w:r>
            <w:r>
              <w:rPr>
                <w:rFonts w:hint="eastAsia" w:hAnsi="宋体" w:eastAsia="宋体" w:cs="宋体"/>
                <w:b/>
                <w:bCs/>
                <w:sz w:val="24"/>
                <w:szCs w:val="24"/>
                <w:lang w:val="en-US" w:eastAsia="zh-CN"/>
              </w:rPr>
              <w:t>8</w:t>
            </w:r>
          </w:p>
          <w:p w14:paraId="02557B3A">
            <w:pPr>
              <w:spacing w:line="360" w:lineRule="auto"/>
              <w:ind w:firstLine="480" w:firstLineChars="200"/>
              <w:rPr>
                <w:rFonts w:ascii="宋体" w:hAnsi="宋体" w:eastAsia="宋体" w:cs="宋体"/>
                <w:color w:val="000000"/>
                <w:sz w:val="24"/>
                <w:szCs w:val="24"/>
              </w:rPr>
            </w:pPr>
            <w:r>
              <w:rPr>
                <w:rFonts w:ascii="宋体" w:hAnsi="宋体" w:eastAsia="宋体" w:cs="宋体"/>
                <w:color w:val="000000"/>
                <w:sz w:val="24"/>
                <w:szCs w:val="24"/>
              </w:rPr>
              <w:t>1</w:t>
            </w:r>
            <w:r>
              <w:rPr>
                <w:rFonts w:hint="eastAsia" w:ascii="宋体" w:hAnsi="宋体" w:eastAsia="宋体" w:cs="宋体"/>
                <w:color w:val="000000"/>
                <w:sz w:val="24"/>
                <w:szCs w:val="24"/>
              </w:rPr>
              <w:t>投标报价明细表（附件</w:t>
            </w:r>
            <w:r>
              <w:rPr>
                <w:rFonts w:hint="eastAsia" w:ascii="宋体" w:hAnsi="宋体" w:eastAsia="宋体" w:cs="宋体"/>
                <w:color w:val="000000"/>
                <w:sz w:val="24"/>
                <w:szCs w:val="24"/>
                <w:lang w:val="en-US" w:eastAsia="zh-CN"/>
              </w:rPr>
              <w:t>9</w:t>
            </w:r>
            <w:r>
              <w:rPr>
                <w:rFonts w:hint="eastAsia" w:ascii="宋体" w:hAnsi="宋体" w:eastAsia="宋体" w:cs="宋体"/>
                <w:color w:val="000000"/>
                <w:sz w:val="24"/>
                <w:szCs w:val="24"/>
              </w:rPr>
              <w:t>）</w:t>
            </w:r>
            <w:r>
              <w:rPr>
                <w:rFonts w:hint="eastAsia" w:ascii="宋体" w:hAnsi="宋体" w:eastAsia="宋体" w:cs="宋体"/>
                <w:b/>
                <w:color w:val="000000"/>
                <w:sz w:val="24"/>
                <w:szCs w:val="24"/>
              </w:rPr>
              <w:t>；</w:t>
            </w:r>
          </w:p>
          <w:p w14:paraId="5CFD877C">
            <w:pPr>
              <w:spacing w:line="360" w:lineRule="auto"/>
              <w:ind w:firstLine="480" w:firstLineChars="200"/>
              <w:rPr>
                <w:rFonts w:ascii="宋体" w:hAnsi="宋体" w:eastAsia="宋体" w:cs="宋体"/>
                <w:color w:val="000000"/>
                <w:sz w:val="24"/>
                <w:szCs w:val="24"/>
              </w:rPr>
            </w:pPr>
            <w:r>
              <w:rPr>
                <w:rFonts w:ascii="宋体" w:hAnsi="宋体" w:eastAsia="宋体" w:cs="宋体"/>
                <w:color w:val="000000"/>
                <w:sz w:val="24"/>
                <w:szCs w:val="24"/>
              </w:rPr>
              <w:t>2</w:t>
            </w:r>
            <w:r>
              <w:rPr>
                <w:rFonts w:hint="eastAsia" w:ascii="宋体" w:hAnsi="宋体" w:eastAsia="宋体" w:cs="宋体"/>
                <w:color w:val="000000"/>
                <w:sz w:val="24"/>
                <w:szCs w:val="24"/>
              </w:rPr>
              <w:t>商务条款偏离表（附件10）</w:t>
            </w:r>
            <w:r>
              <w:rPr>
                <w:rFonts w:hint="eastAsia" w:ascii="宋体" w:hAnsi="宋体" w:eastAsia="宋体" w:cs="宋体"/>
                <w:b/>
                <w:color w:val="000000"/>
                <w:sz w:val="24"/>
                <w:szCs w:val="24"/>
              </w:rPr>
              <w:t>；</w:t>
            </w:r>
            <w:r>
              <w:rPr>
                <w:rFonts w:hint="eastAsia" w:ascii="宋体" w:hAnsi="宋体" w:eastAsia="宋体" w:cs="宋体"/>
                <w:color w:val="000000"/>
                <w:sz w:val="24"/>
                <w:szCs w:val="24"/>
              </w:rPr>
              <w:t xml:space="preserve"> </w:t>
            </w:r>
          </w:p>
          <w:p w14:paraId="35EDBDE5">
            <w:pPr>
              <w:spacing w:line="360" w:lineRule="auto"/>
              <w:ind w:firstLine="480" w:firstLineChars="200"/>
              <w:rPr>
                <w:rFonts w:ascii="宋体" w:hAnsi="宋体" w:eastAsia="宋体" w:cs="宋体"/>
                <w:b/>
                <w:color w:val="000000"/>
                <w:sz w:val="24"/>
                <w:szCs w:val="24"/>
              </w:rPr>
            </w:pPr>
            <w:r>
              <w:rPr>
                <w:rFonts w:ascii="宋体" w:hAnsi="宋体" w:eastAsia="宋体" w:cs="宋体"/>
                <w:color w:val="000000"/>
                <w:sz w:val="24"/>
                <w:szCs w:val="24"/>
              </w:rPr>
              <w:t>3</w:t>
            </w:r>
            <w:r>
              <w:rPr>
                <w:rFonts w:hint="eastAsia" w:ascii="宋体" w:hAnsi="宋体" w:eastAsia="宋体" w:cs="宋体"/>
                <w:color w:val="000000"/>
                <w:sz w:val="24"/>
                <w:szCs w:val="24"/>
              </w:rPr>
              <w:t>投标人承诺（附件11）</w:t>
            </w:r>
            <w:r>
              <w:rPr>
                <w:rFonts w:hint="eastAsia" w:ascii="宋体" w:hAnsi="宋体" w:eastAsia="宋体" w:cs="宋体"/>
                <w:b/>
                <w:color w:val="000000"/>
                <w:sz w:val="24"/>
                <w:szCs w:val="24"/>
              </w:rPr>
              <w:t>；</w:t>
            </w:r>
          </w:p>
          <w:p w14:paraId="20491703">
            <w:pPr>
              <w:spacing w:line="360" w:lineRule="auto"/>
              <w:ind w:firstLine="480" w:firstLineChars="200"/>
              <w:rPr>
                <w:rFonts w:ascii="宋体" w:hAnsi="宋体" w:eastAsia="宋体" w:cs="宋体"/>
                <w:b/>
                <w:color w:val="000000"/>
                <w:sz w:val="24"/>
                <w:szCs w:val="24"/>
              </w:rPr>
            </w:pPr>
            <w:r>
              <w:rPr>
                <w:rFonts w:ascii="宋体" w:hAnsi="宋体" w:eastAsia="宋体" w:cs="宋体"/>
                <w:color w:val="000000"/>
                <w:sz w:val="24"/>
                <w:szCs w:val="24"/>
              </w:rPr>
              <w:t>4</w:t>
            </w:r>
            <w:r>
              <w:rPr>
                <w:rFonts w:hint="eastAsia" w:ascii="宋体" w:hAnsi="宋体" w:eastAsia="宋体" w:cs="宋体"/>
                <w:color w:val="000000"/>
                <w:sz w:val="24"/>
                <w:szCs w:val="24"/>
              </w:rPr>
              <w:t>服务承诺函（附件12），</w:t>
            </w:r>
            <w:r>
              <w:rPr>
                <w:rFonts w:hint="eastAsia" w:ascii="宋体" w:hAnsi="宋体" w:eastAsia="宋体" w:cs="宋体"/>
                <w:b/>
                <w:color w:val="000000"/>
                <w:sz w:val="24"/>
                <w:szCs w:val="24"/>
              </w:rPr>
              <w:t>需写明质保期以外服务费用情况</w:t>
            </w:r>
            <w:r>
              <w:rPr>
                <w:rFonts w:hint="eastAsia" w:ascii="宋体" w:hAnsi="宋体" w:eastAsia="宋体" w:cs="宋体"/>
                <w:color w:val="000000"/>
                <w:sz w:val="24"/>
                <w:szCs w:val="24"/>
              </w:rPr>
              <w:t>；</w:t>
            </w:r>
          </w:p>
          <w:p w14:paraId="3DDACAC7">
            <w:pPr>
              <w:spacing w:line="360" w:lineRule="auto"/>
              <w:ind w:firstLine="480" w:firstLineChars="200"/>
              <w:rPr>
                <w:rFonts w:hint="eastAsia" w:ascii="宋体" w:hAnsi="宋体" w:eastAsia="宋体" w:cs="宋体"/>
                <w:b/>
                <w:bCs/>
                <w:sz w:val="24"/>
                <w:szCs w:val="24"/>
              </w:rPr>
            </w:pPr>
            <w:r>
              <w:rPr>
                <w:rFonts w:ascii="宋体" w:hAnsi="宋体" w:eastAsia="宋体" w:cs="宋体"/>
                <w:color w:val="000000"/>
                <w:sz w:val="24"/>
                <w:szCs w:val="24"/>
              </w:rPr>
              <w:t>5</w:t>
            </w:r>
            <w:r>
              <w:rPr>
                <w:rFonts w:hint="eastAsia" w:ascii="宋体" w:hAnsi="宋体" w:eastAsia="宋体" w:cs="宋体"/>
                <w:color w:val="000000"/>
                <w:sz w:val="24"/>
                <w:szCs w:val="24"/>
              </w:rPr>
              <w:t>按招标文件投标人须知和技术规格书中要求提供的有关文件。</w:t>
            </w:r>
          </w:p>
        </w:tc>
      </w:tr>
      <w:tr w14:paraId="0CE6931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41" w:hRule="atLeast"/>
        </w:trPr>
        <w:tc>
          <w:tcPr>
            <w:tcW w:w="595" w:type="dxa"/>
            <w:tcBorders>
              <w:top w:val="single" w:color="auto" w:sz="2" w:space="0"/>
              <w:left w:val="single" w:color="auto" w:sz="2" w:space="0"/>
              <w:bottom w:val="single" w:color="auto" w:sz="2" w:space="0"/>
              <w:right w:val="single" w:color="auto" w:sz="2" w:space="0"/>
            </w:tcBorders>
            <w:vAlign w:val="center"/>
          </w:tcPr>
          <w:p w14:paraId="401B302D">
            <w:pPr>
              <w:jc w:val="center"/>
              <w:rPr>
                <w:rFonts w:ascii="宋体" w:hAnsi="宋体" w:eastAsia="宋体" w:cs="宋体"/>
                <w:sz w:val="24"/>
                <w:szCs w:val="24"/>
              </w:rPr>
            </w:pPr>
            <w:r>
              <w:rPr>
                <w:rFonts w:hint="eastAsia" w:ascii="宋体" w:hAnsi="宋体" w:eastAsia="宋体" w:cs="宋体"/>
                <w:sz w:val="24"/>
                <w:szCs w:val="24"/>
              </w:rPr>
              <w:t>3.5</w:t>
            </w:r>
          </w:p>
        </w:tc>
        <w:tc>
          <w:tcPr>
            <w:tcW w:w="8363" w:type="dxa"/>
            <w:tcBorders>
              <w:top w:val="single" w:color="auto" w:sz="2" w:space="0"/>
              <w:left w:val="single" w:color="auto" w:sz="2" w:space="0"/>
              <w:bottom w:val="single" w:color="auto" w:sz="2" w:space="0"/>
              <w:right w:val="single" w:color="auto" w:sz="2" w:space="0"/>
            </w:tcBorders>
            <w:vAlign w:val="center"/>
          </w:tcPr>
          <w:p w14:paraId="6BB94A90">
            <w:pPr>
              <w:pStyle w:val="20"/>
              <w:ind w:firstLine="482" w:firstLineChars="200"/>
              <w:rPr>
                <w:rFonts w:hAnsi="宋体" w:eastAsia="宋体" w:cs="宋体"/>
                <w:sz w:val="24"/>
                <w:szCs w:val="24"/>
                <w:highlight w:val="yellow"/>
              </w:rPr>
            </w:pPr>
            <w:r>
              <w:rPr>
                <w:rFonts w:hint="eastAsia" w:hAnsi="宋体" w:eastAsia="宋体" w:cs="宋体"/>
                <w:b/>
                <w:bCs/>
                <w:sz w:val="24"/>
                <w:szCs w:val="24"/>
              </w:rPr>
              <w:t>投标文件递交截止时间：</w:t>
            </w:r>
            <w:r>
              <w:rPr>
                <w:rFonts w:hint="eastAsia" w:hAnsi="宋体" w:eastAsia="宋体" w:cs="宋体"/>
                <w:sz w:val="24"/>
                <w:szCs w:val="24"/>
                <w:highlight w:val="yellow"/>
                <w:u w:val="single"/>
              </w:rPr>
              <w:t>202</w:t>
            </w:r>
            <w:r>
              <w:rPr>
                <w:rFonts w:hAnsi="宋体" w:eastAsia="宋体" w:cs="宋体"/>
                <w:sz w:val="24"/>
                <w:szCs w:val="24"/>
                <w:highlight w:val="yellow"/>
                <w:u w:val="single"/>
              </w:rPr>
              <w:t>6</w:t>
            </w:r>
            <w:r>
              <w:rPr>
                <w:rFonts w:hint="eastAsia" w:hAnsi="宋体" w:eastAsia="宋体" w:cs="宋体"/>
                <w:sz w:val="24"/>
                <w:szCs w:val="24"/>
                <w:highlight w:val="yellow"/>
              </w:rPr>
              <w:t>年</w:t>
            </w:r>
            <w:r>
              <w:rPr>
                <w:rFonts w:hint="eastAsia" w:hAnsi="宋体" w:eastAsia="宋体" w:cs="宋体"/>
                <w:sz w:val="24"/>
                <w:szCs w:val="24"/>
                <w:highlight w:val="yellow"/>
                <w:u w:val="single"/>
                <w:lang w:val="en-US" w:eastAsia="zh-CN"/>
              </w:rPr>
              <w:t>10</w:t>
            </w:r>
            <w:r>
              <w:rPr>
                <w:rFonts w:hAnsi="宋体" w:eastAsia="宋体" w:cs="宋体"/>
                <w:sz w:val="24"/>
                <w:szCs w:val="24"/>
                <w:highlight w:val="yellow"/>
                <w:u w:val="single"/>
              </w:rPr>
              <w:t xml:space="preserve"> </w:t>
            </w:r>
            <w:r>
              <w:rPr>
                <w:rFonts w:hint="eastAsia" w:hAnsi="宋体" w:eastAsia="宋体" w:cs="宋体"/>
                <w:sz w:val="24"/>
                <w:szCs w:val="24"/>
                <w:highlight w:val="yellow"/>
              </w:rPr>
              <w:t>月</w:t>
            </w:r>
            <w:r>
              <w:rPr>
                <w:rFonts w:hint="eastAsia" w:hAnsi="宋体" w:eastAsia="宋体" w:cs="宋体"/>
                <w:sz w:val="24"/>
                <w:szCs w:val="24"/>
                <w:highlight w:val="yellow"/>
                <w:lang w:val="en-US" w:eastAsia="zh-CN"/>
              </w:rPr>
              <w:t>16</w:t>
            </w:r>
            <w:r>
              <w:rPr>
                <w:rFonts w:hint="eastAsia" w:hAnsi="宋体" w:eastAsia="宋体" w:cs="宋体"/>
                <w:sz w:val="24"/>
                <w:szCs w:val="24"/>
                <w:highlight w:val="yellow"/>
              </w:rPr>
              <w:t>日上午 9:</w:t>
            </w:r>
            <w:r>
              <w:rPr>
                <w:rFonts w:hAnsi="宋体" w:eastAsia="宋体" w:cs="宋体"/>
                <w:sz w:val="24"/>
                <w:szCs w:val="24"/>
                <w:highlight w:val="yellow"/>
              </w:rPr>
              <w:t>3</w:t>
            </w:r>
            <w:r>
              <w:rPr>
                <w:rFonts w:hint="eastAsia" w:hAnsi="宋体" w:eastAsia="宋体" w:cs="宋体"/>
                <w:sz w:val="24"/>
                <w:szCs w:val="24"/>
                <w:highlight w:val="yellow"/>
              </w:rPr>
              <w:t>0:00（北京时间）</w:t>
            </w:r>
          </w:p>
          <w:p w14:paraId="195701CF">
            <w:pPr>
              <w:pStyle w:val="20"/>
              <w:ind w:firstLine="482" w:firstLineChars="200"/>
              <w:rPr>
                <w:rFonts w:hAnsi="宋体" w:eastAsia="宋体" w:cs="宋体"/>
                <w:sz w:val="24"/>
                <w:szCs w:val="24"/>
                <w:highlight w:val="yellow"/>
              </w:rPr>
            </w:pPr>
            <w:r>
              <w:rPr>
                <w:rFonts w:hint="eastAsia" w:hAnsi="宋体" w:eastAsia="宋体" w:cs="宋体"/>
                <w:b/>
                <w:bCs/>
                <w:sz w:val="24"/>
                <w:szCs w:val="24"/>
              </w:rPr>
              <w:t>注：请务必在递交截止时间前递交纸质投标文件</w:t>
            </w:r>
            <w:r>
              <w:rPr>
                <w:rFonts w:hint="eastAsia" w:eastAsia="宋体" w:cs="宋体"/>
                <w:b/>
                <w:bCs/>
                <w:sz w:val="24"/>
                <w:szCs w:val="28"/>
              </w:rPr>
              <w:t>。</w:t>
            </w:r>
          </w:p>
        </w:tc>
      </w:tr>
      <w:tr w14:paraId="136E975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47" w:hRule="atLeast"/>
        </w:trPr>
        <w:tc>
          <w:tcPr>
            <w:tcW w:w="595" w:type="dxa"/>
            <w:tcBorders>
              <w:top w:val="single" w:color="auto" w:sz="2" w:space="0"/>
              <w:left w:val="single" w:color="auto" w:sz="2" w:space="0"/>
              <w:bottom w:val="single" w:color="auto" w:sz="2" w:space="0"/>
              <w:right w:val="single" w:color="auto" w:sz="2" w:space="0"/>
            </w:tcBorders>
            <w:vAlign w:val="center"/>
          </w:tcPr>
          <w:p w14:paraId="62E85BAD">
            <w:pPr>
              <w:jc w:val="center"/>
              <w:rPr>
                <w:rFonts w:ascii="宋体" w:hAnsi="宋体" w:eastAsia="宋体" w:cs="宋体"/>
                <w:sz w:val="24"/>
                <w:szCs w:val="24"/>
              </w:rPr>
            </w:pPr>
            <w:r>
              <w:rPr>
                <w:rFonts w:hint="eastAsia" w:ascii="宋体" w:hAnsi="宋体" w:eastAsia="宋体" w:cs="宋体"/>
                <w:sz w:val="24"/>
                <w:szCs w:val="24"/>
              </w:rPr>
              <w:t>3.6</w:t>
            </w:r>
          </w:p>
        </w:tc>
        <w:tc>
          <w:tcPr>
            <w:tcW w:w="8363" w:type="dxa"/>
            <w:tcBorders>
              <w:top w:val="single" w:color="auto" w:sz="2" w:space="0"/>
              <w:left w:val="single" w:color="auto" w:sz="2" w:space="0"/>
              <w:bottom w:val="single" w:color="auto" w:sz="2" w:space="0"/>
              <w:right w:val="single" w:color="auto" w:sz="2" w:space="0"/>
            </w:tcBorders>
            <w:vAlign w:val="center"/>
          </w:tcPr>
          <w:p w14:paraId="1E7C1866">
            <w:pPr>
              <w:ind w:firstLine="482" w:firstLineChars="200"/>
              <w:rPr>
                <w:rFonts w:ascii="宋体" w:hAnsi="宋体" w:eastAsia="宋体" w:cs="宋体"/>
                <w:sz w:val="24"/>
                <w:szCs w:val="24"/>
              </w:rPr>
            </w:pPr>
            <w:r>
              <w:rPr>
                <w:rFonts w:hint="eastAsia" w:ascii="宋体" w:hAnsi="宋体" w:eastAsia="宋体" w:cs="宋体"/>
                <w:b/>
                <w:bCs/>
                <w:sz w:val="24"/>
                <w:szCs w:val="24"/>
              </w:rPr>
              <w:t>投标文件有效期：</w:t>
            </w:r>
            <w:r>
              <w:rPr>
                <w:rFonts w:hint="eastAsia" w:ascii="宋体" w:hAnsi="宋体" w:eastAsia="宋体" w:cs="宋体"/>
                <w:sz w:val="24"/>
                <w:szCs w:val="24"/>
              </w:rPr>
              <w:t>自开标之日起90个日历日。</w:t>
            </w:r>
          </w:p>
        </w:tc>
      </w:tr>
      <w:tr w14:paraId="00B553F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01"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220CDAD1">
            <w:pPr>
              <w:jc w:val="center"/>
              <w:rPr>
                <w:rFonts w:ascii="宋体" w:hAnsi="宋体" w:eastAsia="宋体" w:cs="宋体"/>
                <w:b/>
                <w:bCs/>
                <w:sz w:val="24"/>
                <w:szCs w:val="24"/>
              </w:rPr>
            </w:pPr>
            <w:r>
              <w:rPr>
                <w:rFonts w:hint="eastAsia" w:ascii="宋体" w:hAnsi="宋体" w:eastAsia="宋体" w:cs="宋体"/>
                <w:b/>
                <w:bCs/>
                <w:sz w:val="24"/>
                <w:szCs w:val="24"/>
              </w:rPr>
              <w:t>4.投标保证金及投标有效期</w:t>
            </w:r>
          </w:p>
        </w:tc>
      </w:tr>
      <w:tr w14:paraId="0487E07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89" w:hRule="atLeast"/>
        </w:trPr>
        <w:tc>
          <w:tcPr>
            <w:tcW w:w="595" w:type="dxa"/>
            <w:tcBorders>
              <w:top w:val="single" w:color="auto" w:sz="2" w:space="0"/>
              <w:left w:val="single" w:color="auto" w:sz="2" w:space="0"/>
              <w:bottom w:val="single" w:color="auto" w:sz="2" w:space="0"/>
              <w:right w:val="single" w:color="auto" w:sz="2" w:space="0"/>
            </w:tcBorders>
            <w:vAlign w:val="center"/>
          </w:tcPr>
          <w:p w14:paraId="5320D694">
            <w:pPr>
              <w:jc w:val="center"/>
              <w:rPr>
                <w:rFonts w:ascii="宋体" w:hAnsi="宋体" w:eastAsia="宋体" w:cs="宋体"/>
                <w:sz w:val="24"/>
                <w:szCs w:val="24"/>
              </w:rPr>
            </w:pPr>
            <w:r>
              <w:rPr>
                <w:rFonts w:hint="eastAsia" w:ascii="宋体" w:hAnsi="宋体" w:eastAsia="宋体" w:cs="宋体"/>
                <w:sz w:val="24"/>
                <w:szCs w:val="24"/>
              </w:rPr>
              <w:t>4.1</w:t>
            </w:r>
          </w:p>
        </w:tc>
        <w:tc>
          <w:tcPr>
            <w:tcW w:w="8363" w:type="dxa"/>
            <w:tcBorders>
              <w:top w:val="single" w:color="auto" w:sz="2" w:space="0"/>
              <w:left w:val="single" w:color="auto" w:sz="2" w:space="0"/>
              <w:bottom w:val="single" w:color="auto" w:sz="2" w:space="0"/>
              <w:right w:val="single" w:color="auto" w:sz="2" w:space="0"/>
            </w:tcBorders>
            <w:vAlign w:val="center"/>
          </w:tcPr>
          <w:p w14:paraId="1B3897A0">
            <w:pPr>
              <w:ind w:firstLine="482" w:firstLineChars="200"/>
              <w:rPr>
                <w:rFonts w:ascii="宋体" w:hAnsi="宋体" w:eastAsia="宋体" w:cs="宋体"/>
                <w:sz w:val="24"/>
                <w:szCs w:val="24"/>
              </w:rPr>
            </w:pPr>
            <w:r>
              <w:rPr>
                <w:rFonts w:hint="eastAsia" w:ascii="宋体" w:hAnsi="宋体" w:eastAsia="宋体" w:cs="宋体"/>
                <w:b/>
                <w:bCs/>
                <w:sz w:val="24"/>
                <w:szCs w:val="24"/>
              </w:rPr>
              <w:t>投标保证金的缴纳形式：</w:t>
            </w:r>
            <w:r>
              <w:rPr>
                <w:rFonts w:hint="eastAsia" w:ascii="宋体" w:hAnsi="宋体" w:eastAsia="宋体" w:cs="宋体"/>
                <w:sz w:val="24"/>
                <w:szCs w:val="24"/>
              </w:rPr>
              <w:t>电汇或现金</w:t>
            </w:r>
          </w:p>
        </w:tc>
      </w:tr>
      <w:tr w14:paraId="547FB99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2690" w:hRule="atLeast"/>
        </w:trPr>
        <w:tc>
          <w:tcPr>
            <w:tcW w:w="595" w:type="dxa"/>
            <w:tcBorders>
              <w:top w:val="single" w:color="auto" w:sz="2" w:space="0"/>
              <w:left w:val="single" w:color="auto" w:sz="2" w:space="0"/>
              <w:bottom w:val="single" w:color="auto" w:sz="2" w:space="0"/>
              <w:right w:val="single" w:color="auto" w:sz="2" w:space="0"/>
            </w:tcBorders>
            <w:vAlign w:val="center"/>
          </w:tcPr>
          <w:p w14:paraId="15DAB3E9">
            <w:pPr>
              <w:jc w:val="center"/>
              <w:rPr>
                <w:rFonts w:ascii="宋体" w:hAnsi="宋体" w:eastAsia="宋体" w:cs="宋体"/>
                <w:sz w:val="24"/>
                <w:szCs w:val="24"/>
                <w:highlight w:val="cyan"/>
              </w:rPr>
            </w:pPr>
            <w:r>
              <w:rPr>
                <w:rFonts w:hint="eastAsia" w:ascii="宋体" w:hAnsi="宋体" w:eastAsia="宋体" w:cs="宋体"/>
                <w:sz w:val="24"/>
                <w:szCs w:val="24"/>
              </w:rPr>
              <w:t>4.2</w:t>
            </w:r>
          </w:p>
        </w:tc>
        <w:tc>
          <w:tcPr>
            <w:tcW w:w="8363" w:type="dxa"/>
            <w:tcBorders>
              <w:top w:val="single" w:color="auto" w:sz="2" w:space="0"/>
              <w:left w:val="single" w:color="auto" w:sz="2" w:space="0"/>
              <w:bottom w:val="single" w:color="auto" w:sz="2" w:space="0"/>
              <w:right w:val="single" w:color="auto" w:sz="2" w:space="0"/>
            </w:tcBorders>
            <w:vAlign w:val="center"/>
          </w:tcPr>
          <w:p w14:paraId="363A9F64">
            <w:pPr>
              <w:tabs>
                <w:tab w:val="left" w:pos="932"/>
              </w:tabs>
              <w:ind w:firstLine="482" w:firstLineChars="200"/>
              <w:rPr>
                <w:rFonts w:ascii="宋体" w:hAnsi="宋体" w:eastAsia="宋体" w:cs="宋体"/>
                <w:sz w:val="24"/>
                <w:szCs w:val="24"/>
                <w:highlight w:val="none"/>
              </w:rPr>
            </w:pPr>
            <w:r>
              <w:rPr>
                <w:rFonts w:hint="eastAsia" w:ascii="宋体" w:hAnsi="宋体" w:eastAsia="宋体" w:cs="宋体"/>
                <w:b/>
                <w:bCs/>
                <w:sz w:val="24"/>
                <w:szCs w:val="24"/>
                <w:highlight w:val="none"/>
              </w:rPr>
              <w:t>投标保证金的金额：</w:t>
            </w:r>
            <w:r>
              <w:rPr>
                <w:rFonts w:hint="eastAsia" w:ascii="宋体" w:hAnsi="宋体" w:eastAsia="宋体" w:cs="宋体"/>
                <w:sz w:val="24"/>
                <w:szCs w:val="24"/>
                <w:highlight w:val="none"/>
              </w:rPr>
              <w:t>人民币</w:t>
            </w:r>
            <w:r>
              <w:rPr>
                <w:rFonts w:ascii="宋体" w:hAnsi="宋体" w:eastAsia="宋体" w:cs="宋体"/>
                <w:sz w:val="24"/>
                <w:szCs w:val="24"/>
                <w:highlight w:val="none"/>
              </w:rPr>
              <w:t>20</w:t>
            </w:r>
            <w:r>
              <w:rPr>
                <w:rFonts w:hint="eastAsia" w:ascii="宋体" w:hAnsi="宋体" w:eastAsia="宋体" w:cs="宋体"/>
                <w:sz w:val="24"/>
                <w:szCs w:val="24"/>
                <w:highlight w:val="none"/>
              </w:rPr>
              <w:t>000.00元</w:t>
            </w:r>
          </w:p>
          <w:p w14:paraId="7C33DCE7">
            <w:pPr>
              <w:tabs>
                <w:tab w:val="left" w:pos="932"/>
              </w:tabs>
              <w:ind w:firstLine="482" w:firstLineChars="200"/>
              <w:rPr>
                <w:rFonts w:ascii="宋体" w:hAnsi="宋体" w:eastAsia="宋体" w:cs="宋体"/>
                <w:bCs/>
                <w:color w:val="000000"/>
                <w:kern w:val="0"/>
                <w:sz w:val="24"/>
                <w:szCs w:val="24"/>
                <w:highlight w:val="none"/>
              </w:rPr>
            </w:pPr>
            <w:r>
              <w:rPr>
                <w:rFonts w:hint="eastAsia" w:ascii="宋体" w:hAnsi="宋体" w:eastAsia="宋体" w:cs="宋体"/>
                <w:b/>
                <w:bCs/>
                <w:color w:val="000000"/>
                <w:kern w:val="0"/>
                <w:sz w:val="24"/>
                <w:szCs w:val="24"/>
                <w:highlight w:val="none"/>
              </w:rPr>
              <w:t>开户名称：</w:t>
            </w:r>
            <w:r>
              <w:rPr>
                <w:rFonts w:hint="eastAsia" w:ascii="宋体" w:hAnsi="宋体" w:eastAsia="宋体" w:cs="宋体"/>
                <w:bCs/>
                <w:color w:val="000000"/>
                <w:kern w:val="0"/>
                <w:sz w:val="24"/>
                <w:szCs w:val="24"/>
                <w:highlight w:val="none"/>
              </w:rPr>
              <w:t>中国重汽集团泰安五岳专用汽车有限公司</w:t>
            </w:r>
          </w:p>
          <w:p w14:paraId="5966C7A8">
            <w:pPr>
              <w:tabs>
                <w:tab w:val="left" w:pos="932"/>
              </w:tabs>
              <w:ind w:firstLine="482" w:firstLineChars="200"/>
              <w:rPr>
                <w:rFonts w:ascii="宋体" w:hAnsi="宋体" w:eastAsia="宋体" w:cs="宋体"/>
                <w:bCs/>
                <w:color w:val="000000"/>
                <w:kern w:val="0"/>
                <w:sz w:val="24"/>
                <w:szCs w:val="24"/>
                <w:highlight w:val="none"/>
              </w:rPr>
            </w:pPr>
            <w:r>
              <w:rPr>
                <w:rFonts w:hint="eastAsia" w:ascii="宋体" w:hAnsi="宋体" w:eastAsia="宋体" w:cs="宋体"/>
                <w:b/>
                <w:bCs/>
                <w:color w:val="000000"/>
                <w:kern w:val="0"/>
                <w:sz w:val="24"/>
                <w:szCs w:val="24"/>
                <w:highlight w:val="none"/>
              </w:rPr>
              <w:t>开户银行：</w:t>
            </w:r>
            <w:r>
              <w:rPr>
                <w:rFonts w:hint="eastAsia" w:ascii="宋体" w:hAnsi="宋体" w:eastAsia="宋体" w:cs="宋体"/>
                <w:bCs/>
                <w:color w:val="000000"/>
                <w:kern w:val="0"/>
                <w:sz w:val="24"/>
                <w:szCs w:val="24"/>
                <w:highlight w:val="none"/>
              </w:rPr>
              <w:t>交通银行泰安分行</w:t>
            </w:r>
          </w:p>
          <w:p w14:paraId="26A9617E">
            <w:pPr>
              <w:tabs>
                <w:tab w:val="left" w:pos="932"/>
              </w:tabs>
              <w:ind w:firstLine="482" w:firstLineChars="200"/>
              <w:rPr>
                <w:highlight w:val="none"/>
              </w:rPr>
            </w:pPr>
            <w:r>
              <w:rPr>
                <w:rFonts w:hint="eastAsia" w:ascii="宋体" w:hAnsi="宋体" w:eastAsia="宋体" w:cs="宋体"/>
                <w:b/>
                <w:bCs/>
                <w:color w:val="000000"/>
                <w:kern w:val="0"/>
                <w:sz w:val="24"/>
                <w:szCs w:val="24"/>
                <w:highlight w:val="none"/>
              </w:rPr>
              <w:t>银行帐号：</w:t>
            </w:r>
            <w:r>
              <w:rPr>
                <w:rFonts w:hint="eastAsia" w:ascii="宋体" w:hAnsi="宋体" w:eastAsia="宋体" w:cs="宋体"/>
                <w:bCs/>
                <w:color w:val="000000"/>
                <w:kern w:val="0"/>
                <w:sz w:val="24"/>
                <w:szCs w:val="24"/>
                <w:highlight w:val="none"/>
              </w:rPr>
              <w:t>379006111018000061904</w:t>
            </w:r>
          </w:p>
          <w:p w14:paraId="3022F270">
            <w:pPr>
              <w:tabs>
                <w:tab w:val="left" w:pos="932"/>
              </w:tabs>
              <w:ind w:firstLine="480" w:firstLineChars="200"/>
              <w:rPr>
                <w:rFonts w:hint="eastAsia" w:ascii="宋体" w:hAnsi="宋体" w:eastAsia="宋体" w:cs="宋体"/>
                <w:bCs/>
                <w:color w:val="000000"/>
                <w:kern w:val="0"/>
                <w:sz w:val="24"/>
                <w:szCs w:val="24"/>
                <w:lang w:val="en-US" w:eastAsia="zh-CN"/>
              </w:rPr>
            </w:pPr>
            <w:r>
              <w:rPr>
                <w:rFonts w:hint="eastAsia" w:ascii="宋体" w:hAnsi="宋体" w:eastAsia="宋体" w:cs="宋体"/>
                <w:bCs/>
                <w:color w:val="000000"/>
                <w:kern w:val="0"/>
                <w:sz w:val="24"/>
                <w:szCs w:val="24"/>
              </w:rPr>
              <w:t>投标保证金电汇或现金交于泰安五岳公司财务部，财务部出具相应收据</w:t>
            </w:r>
            <w:r>
              <w:rPr>
                <w:rFonts w:hint="eastAsia" w:ascii="宋体" w:hAnsi="宋体" w:eastAsia="宋体" w:cs="宋体"/>
                <w:bCs/>
                <w:color w:val="000000"/>
                <w:kern w:val="0"/>
                <w:sz w:val="24"/>
                <w:szCs w:val="24"/>
                <w:lang w:eastAsia="zh-CN"/>
              </w:rPr>
              <w:t>。</w:t>
            </w:r>
          </w:p>
          <w:p w14:paraId="5B775DA6">
            <w:pPr>
              <w:ind w:firstLine="482" w:firstLineChars="200"/>
              <w:rPr>
                <w:rFonts w:ascii="宋体" w:hAnsi="宋体" w:eastAsia="宋体" w:cs="宋体"/>
                <w:sz w:val="24"/>
                <w:szCs w:val="24"/>
                <w:highlight w:val="cyan"/>
              </w:rPr>
            </w:pPr>
            <w:r>
              <w:rPr>
                <w:rFonts w:hint="eastAsia" w:ascii="宋体" w:hAnsi="宋体" w:eastAsia="宋体" w:cs="宋体"/>
                <w:b/>
                <w:bCs w:val="0"/>
                <w:color w:val="000000"/>
                <w:kern w:val="0"/>
                <w:sz w:val="24"/>
                <w:szCs w:val="24"/>
              </w:rPr>
              <w:t>注：无正当理由随意放弃投标、撤销投标文件、中标后无正当理由拒签合同、在签订合同时向招标方提出无理附加条件的，投标保证金不予返还，并取消该投标人的中标资格，该投标人2年内不得参与招标方类似产品的招投标项目。不存在以上违规情况的投标人，招标方最迟在确定中标方后次月月底前无息退还投标保证金本金。</w:t>
            </w:r>
          </w:p>
        </w:tc>
      </w:tr>
      <w:tr w14:paraId="6BA9C42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61" w:hRule="atLeast"/>
        </w:trPr>
        <w:tc>
          <w:tcPr>
            <w:tcW w:w="595" w:type="dxa"/>
            <w:tcBorders>
              <w:top w:val="single" w:color="auto" w:sz="2" w:space="0"/>
              <w:left w:val="single" w:color="auto" w:sz="2" w:space="0"/>
              <w:bottom w:val="single" w:color="auto" w:sz="2" w:space="0"/>
              <w:right w:val="single" w:color="auto" w:sz="2" w:space="0"/>
            </w:tcBorders>
            <w:vAlign w:val="center"/>
          </w:tcPr>
          <w:p w14:paraId="768C6CE9">
            <w:pPr>
              <w:jc w:val="center"/>
              <w:rPr>
                <w:rFonts w:ascii="宋体" w:hAnsi="宋体" w:eastAsia="宋体" w:cs="宋体"/>
                <w:sz w:val="24"/>
                <w:szCs w:val="24"/>
              </w:rPr>
            </w:pPr>
            <w:r>
              <w:rPr>
                <w:rFonts w:hint="eastAsia" w:ascii="宋体" w:hAnsi="宋体" w:eastAsia="宋体" w:cs="宋体"/>
                <w:sz w:val="24"/>
                <w:szCs w:val="24"/>
              </w:rPr>
              <w:t>4.3</w:t>
            </w:r>
          </w:p>
        </w:tc>
        <w:tc>
          <w:tcPr>
            <w:tcW w:w="8363" w:type="dxa"/>
            <w:tcBorders>
              <w:top w:val="single" w:color="auto" w:sz="2" w:space="0"/>
              <w:left w:val="single" w:color="auto" w:sz="2" w:space="0"/>
              <w:bottom w:val="single" w:color="auto" w:sz="2" w:space="0"/>
              <w:right w:val="single" w:color="auto" w:sz="2" w:space="0"/>
            </w:tcBorders>
            <w:vAlign w:val="center"/>
          </w:tcPr>
          <w:p w14:paraId="49095206">
            <w:pPr>
              <w:pStyle w:val="41"/>
              <w:spacing w:after="0" w:line="240" w:lineRule="auto"/>
              <w:ind w:left="0" w:leftChars="0" w:firstLine="482"/>
              <w:rPr>
                <w:rFonts w:hint="default" w:ascii="宋体" w:hAnsi="宋体" w:eastAsia="宋体" w:cs="宋体"/>
                <w:sz w:val="24"/>
                <w:szCs w:val="24"/>
                <w:lang w:val="en-US" w:eastAsia="zh-CN"/>
              </w:rPr>
            </w:pPr>
            <w:r>
              <w:rPr>
                <w:rFonts w:hint="eastAsia" w:ascii="宋体" w:hAnsi="宋体" w:cs="宋体"/>
                <w:b/>
                <w:bCs/>
                <w:sz w:val="24"/>
                <w:szCs w:val="24"/>
              </w:rPr>
              <w:t>保证金缴纳截止时间：</w:t>
            </w:r>
            <w:r>
              <w:rPr>
                <w:rFonts w:hint="eastAsia" w:ascii="宋体" w:hAnsi="宋体" w:cs="宋体"/>
                <w:b/>
                <w:bCs/>
                <w:sz w:val="24"/>
                <w:szCs w:val="24"/>
                <w:lang w:val="en-US" w:eastAsia="zh-CN"/>
              </w:rPr>
              <w:t>同投标截止时间</w:t>
            </w:r>
          </w:p>
          <w:p w14:paraId="100EDEC5">
            <w:pPr>
              <w:pStyle w:val="41"/>
              <w:spacing w:after="0" w:line="240" w:lineRule="auto"/>
              <w:ind w:left="0" w:leftChars="0" w:firstLine="480"/>
              <w:rPr>
                <w:rFonts w:ascii="宋体" w:hAnsi="宋体" w:cs="宋体"/>
                <w:sz w:val="24"/>
                <w:szCs w:val="24"/>
              </w:rPr>
            </w:pPr>
            <w:r>
              <w:rPr>
                <w:rFonts w:hint="eastAsia" w:ascii="宋体" w:hAnsi="宋体" w:cs="宋体"/>
                <w:sz w:val="24"/>
                <w:szCs w:val="24"/>
              </w:rPr>
              <w:t>供应商应充分考虑银行信息交换时间，由此带来的保证金不能按时到帐的责任由供应商自行承担。</w:t>
            </w:r>
          </w:p>
        </w:tc>
      </w:tr>
      <w:tr w14:paraId="2ECE698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0" w:hRule="atLeast"/>
        </w:trPr>
        <w:tc>
          <w:tcPr>
            <w:tcW w:w="595" w:type="dxa"/>
            <w:tcBorders>
              <w:top w:val="single" w:color="auto" w:sz="2" w:space="0"/>
              <w:left w:val="single" w:color="auto" w:sz="2" w:space="0"/>
              <w:bottom w:val="single" w:color="auto" w:sz="2" w:space="0"/>
              <w:right w:val="single" w:color="auto" w:sz="2" w:space="0"/>
            </w:tcBorders>
            <w:vAlign w:val="center"/>
          </w:tcPr>
          <w:p w14:paraId="71A5916C">
            <w:pPr>
              <w:jc w:val="center"/>
              <w:rPr>
                <w:rFonts w:ascii="宋体" w:hAnsi="宋体" w:eastAsia="宋体" w:cs="宋体"/>
                <w:sz w:val="24"/>
                <w:szCs w:val="24"/>
              </w:rPr>
            </w:pPr>
            <w:r>
              <w:rPr>
                <w:rFonts w:hint="eastAsia" w:ascii="宋体" w:hAnsi="宋体" w:eastAsia="宋体" w:cs="宋体"/>
                <w:sz w:val="24"/>
                <w:szCs w:val="24"/>
              </w:rPr>
              <w:t>4.4</w:t>
            </w:r>
          </w:p>
        </w:tc>
        <w:tc>
          <w:tcPr>
            <w:tcW w:w="8363" w:type="dxa"/>
            <w:tcBorders>
              <w:top w:val="single" w:color="auto" w:sz="2" w:space="0"/>
              <w:left w:val="single" w:color="auto" w:sz="2" w:space="0"/>
              <w:bottom w:val="single" w:color="auto" w:sz="2" w:space="0"/>
              <w:right w:val="single" w:color="auto" w:sz="2" w:space="0"/>
            </w:tcBorders>
            <w:vAlign w:val="center"/>
          </w:tcPr>
          <w:p w14:paraId="5AA42DC9">
            <w:pPr>
              <w:pStyle w:val="41"/>
              <w:spacing w:after="0" w:line="240" w:lineRule="auto"/>
              <w:ind w:left="0" w:leftChars="0" w:firstLine="480"/>
              <w:rPr>
                <w:rFonts w:ascii="宋体" w:hAnsi="宋体" w:cs="宋体"/>
                <w:sz w:val="24"/>
                <w:szCs w:val="24"/>
              </w:rPr>
            </w:pPr>
            <w:r>
              <w:rPr>
                <w:rFonts w:hint="eastAsia" w:ascii="宋体" w:hAnsi="宋体" w:cs="宋体"/>
                <w:sz w:val="24"/>
                <w:szCs w:val="24"/>
              </w:rPr>
              <w:t>对于没有中标的投标人，投标保证金将于招标人内部完成中标人评审并确认最终中标人后在30工作日内予以原路返还（无息）；对于中标方，投标保证金将在签订合同后30个工作日内原路返还（无息）。</w:t>
            </w:r>
          </w:p>
        </w:tc>
      </w:tr>
      <w:tr w14:paraId="454C3E7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9"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7041E1F3">
            <w:pPr>
              <w:jc w:val="center"/>
              <w:rPr>
                <w:rFonts w:ascii="宋体" w:hAnsi="宋体" w:eastAsia="宋体" w:cs="宋体"/>
                <w:b/>
                <w:bCs/>
                <w:sz w:val="24"/>
                <w:szCs w:val="24"/>
              </w:rPr>
            </w:pPr>
            <w:r>
              <w:rPr>
                <w:rFonts w:hint="eastAsia" w:ascii="宋体" w:hAnsi="宋体" w:eastAsia="宋体" w:cs="宋体"/>
                <w:b/>
                <w:bCs/>
                <w:sz w:val="24"/>
                <w:szCs w:val="24"/>
              </w:rPr>
              <w:t>5.开评标</w:t>
            </w:r>
          </w:p>
        </w:tc>
      </w:tr>
      <w:tr w14:paraId="659A9C3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753" w:hRule="atLeast"/>
        </w:trPr>
        <w:tc>
          <w:tcPr>
            <w:tcW w:w="595" w:type="dxa"/>
            <w:tcBorders>
              <w:top w:val="single" w:color="auto" w:sz="2" w:space="0"/>
              <w:left w:val="single" w:color="auto" w:sz="2" w:space="0"/>
              <w:bottom w:val="single" w:color="auto" w:sz="2" w:space="0"/>
              <w:right w:val="single" w:color="auto" w:sz="2" w:space="0"/>
            </w:tcBorders>
            <w:vAlign w:val="center"/>
          </w:tcPr>
          <w:p w14:paraId="5F46D06C">
            <w:pPr>
              <w:jc w:val="center"/>
              <w:rPr>
                <w:rFonts w:ascii="宋体" w:hAnsi="宋体" w:eastAsia="宋体" w:cs="宋体"/>
                <w:sz w:val="24"/>
                <w:szCs w:val="24"/>
              </w:rPr>
            </w:pPr>
            <w:r>
              <w:rPr>
                <w:rFonts w:hint="eastAsia" w:ascii="宋体" w:hAnsi="宋体" w:eastAsia="宋体" w:cs="宋体"/>
                <w:sz w:val="24"/>
                <w:szCs w:val="24"/>
              </w:rPr>
              <w:t>5.1</w:t>
            </w:r>
          </w:p>
        </w:tc>
        <w:tc>
          <w:tcPr>
            <w:tcW w:w="8363" w:type="dxa"/>
            <w:tcBorders>
              <w:top w:val="single" w:color="auto" w:sz="2" w:space="0"/>
              <w:left w:val="single" w:color="auto" w:sz="2" w:space="0"/>
              <w:bottom w:val="single" w:color="auto" w:sz="2" w:space="0"/>
              <w:right w:val="single" w:color="auto" w:sz="2" w:space="0"/>
            </w:tcBorders>
            <w:vAlign w:val="center"/>
          </w:tcPr>
          <w:p w14:paraId="55BF00AD">
            <w:pPr>
              <w:ind w:firstLine="482" w:firstLineChars="200"/>
              <w:rPr>
                <w:rFonts w:ascii="宋体" w:hAnsi="宋体" w:eastAsia="宋体" w:cs="宋体"/>
                <w:sz w:val="24"/>
                <w:szCs w:val="24"/>
              </w:rPr>
            </w:pPr>
            <w:r>
              <w:rPr>
                <w:rFonts w:hint="eastAsia" w:ascii="宋体" w:hAnsi="宋体" w:eastAsia="宋体" w:cs="宋体"/>
                <w:b/>
                <w:bCs/>
                <w:sz w:val="24"/>
                <w:szCs w:val="24"/>
              </w:rPr>
              <w:t>开标时间：</w:t>
            </w:r>
            <w:r>
              <w:rPr>
                <w:rFonts w:hint="eastAsia" w:ascii="宋体" w:hAnsi="宋体" w:cs="宋体"/>
                <w:sz w:val="24"/>
                <w:szCs w:val="24"/>
                <w:highlight w:val="yellow"/>
              </w:rPr>
              <w:t>202</w:t>
            </w:r>
            <w:r>
              <w:rPr>
                <w:rFonts w:ascii="宋体" w:hAnsi="宋体" w:cs="宋体"/>
                <w:sz w:val="24"/>
                <w:szCs w:val="24"/>
                <w:highlight w:val="yellow"/>
              </w:rPr>
              <w:t>6</w:t>
            </w:r>
            <w:r>
              <w:rPr>
                <w:rFonts w:hint="eastAsia" w:ascii="宋体" w:hAnsi="宋体" w:cs="宋体"/>
                <w:sz w:val="24"/>
                <w:szCs w:val="24"/>
                <w:highlight w:val="yellow"/>
              </w:rPr>
              <w:t>年</w:t>
            </w:r>
            <w:r>
              <w:rPr>
                <w:rFonts w:hint="eastAsia" w:ascii="宋体" w:hAnsi="宋体" w:cs="宋体"/>
                <w:sz w:val="24"/>
                <w:szCs w:val="24"/>
                <w:highlight w:val="yellow"/>
                <w:lang w:val="en-US" w:eastAsia="zh-CN"/>
              </w:rPr>
              <w:t>10</w:t>
            </w:r>
            <w:r>
              <w:rPr>
                <w:rFonts w:hint="eastAsia" w:ascii="宋体" w:hAnsi="宋体" w:cs="宋体"/>
                <w:sz w:val="24"/>
                <w:szCs w:val="24"/>
                <w:highlight w:val="yellow"/>
              </w:rPr>
              <w:t>月</w:t>
            </w:r>
            <w:r>
              <w:rPr>
                <w:rFonts w:hint="eastAsia" w:ascii="宋体" w:hAnsi="宋体" w:cs="宋体"/>
                <w:sz w:val="24"/>
                <w:szCs w:val="24"/>
                <w:highlight w:val="yellow"/>
                <w:lang w:val="en-US" w:eastAsia="zh-CN"/>
              </w:rPr>
              <w:t>16</w:t>
            </w:r>
            <w:r>
              <w:rPr>
                <w:rFonts w:hint="eastAsia" w:ascii="宋体" w:hAnsi="宋体" w:cs="宋体"/>
                <w:sz w:val="24"/>
                <w:szCs w:val="24"/>
                <w:highlight w:val="yellow"/>
              </w:rPr>
              <w:t>日9:</w:t>
            </w:r>
            <w:r>
              <w:rPr>
                <w:rFonts w:ascii="宋体" w:hAnsi="宋体" w:cs="宋体"/>
                <w:sz w:val="24"/>
                <w:szCs w:val="24"/>
                <w:highlight w:val="yellow"/>
              </w:rPr>
              <w:t>3</w:t>
            </w:r>
            <w:r>
              <w:rPr>
                <w:rFonts w:hint="eastAsia" w:ascii="宋体" w:hAnsi="宋体" w:cs="宋体"/>
                <w:sz w:val="24"/>
                <w:szCs w:val="24"/>
                <w:highlight w:val="yellow"/>
              </w:rPr>
              <w:t>0:00</w:t>
            </w:r>
            <w:r>
              <w:rPr>
                <w:rFonts w:hint="eastAsia" w:ascii="宋体" w:hAnsi="宋体" w:eastAsia="宋体" w:cs="宋体"/>
                <w:kern w:val="0"/>
                <w:sz w:val="24"/>
                <w:szCs w:val="24"/>
                <w:highlight w:val="yellow"/>
              </w:rPr>
              <w:t>。</w:t>
            </w:r>
          </w:p>
          <w:p w14:paraId="2D01A3E5">
            <w:pPr>
              <w:ind w:firstLine="482" w:firstLineChars="200"/>
              <w:rPr>
                <w:rFonts w:ascii="宋体" w:hAnsi="宋体" w:eastAsia="宋体" w:cs="宋体"/>
                <w:sz w:val="24"/>
                <w:szCs w:val="24"/>
              </w:rPr>
            </w:pPr>
            <w:r>
              <w:rPr>
                <w:rFonts w:hint="eastAsia" w:ascii="宋体" w:hAnsi="宋体" w:eastAsia="宋体" w:cs="宋体"/>
                <w:b/>
                <w:bCs/>
                <w:sz w:val="24"/>
                <w:szCs w:val="24"/>
              </w:rPr>
              <w:t>开标地点：</w:t>
            </w:r>
            <w:r>
              <w:rPr>
                <w:rFonts w:hint="eastAsia" w:ascii="宋体" w:hAnsi="宋体" w:eastAsia="宋体" w:cs="宋体"/>
                <w:sz w:val="24"/>
                <w:szCs w:val="24"/>
              </w:rPr>
              <w:t>济南市</w:t>
            </w:r>
            <w:r>
              <w:rPr>
                <w:rFonts w:hint="eastAsia" w:ascii="宋体" w:hAnsi="宋体" w:eastAsia="宋体" w:cs="Times New Roman"/>
                <w:color w:val="000000"/>
                <w:sz w:val="24"/>
                <w:szCs w:val="24"/>
              </w:rPr>
              <w:t>历城区</w:t>
            </w:r>
            <w:r>
              <w:rPr>
                <w:rFonts w:hint="eastAsia" w:ascii="宋体" w:hAnsi="宋体" w:eastAsia="宋体" w:cs="宋体"/>
                <w:sz w:val="24"/>
                <w:szCs w:val="24"/>
              </w:rPr>
              <w:t>华奥路777号。</w:t>
            </w:r>
          </w:p>
        </w:tc>
      </w:tr>
      <w:tr w14:paraId="338D587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1A741866">
            <w:pPr>
              <w:jc w:val="center"/>
              <w:rPr>
                <w:rFonts w:ascii="宋体" w:hAnsi="宋体" w:eastAsia="宋体" w:cs="宋体"/>
                <w:sz w:val="24"/>
                <w:szCs w:val="24"/>
              </w:rPr>
            </w:pPr>
            <w:r>
              <w:rPr>
                <w:rFonts w:hint="eastAsia" w:ascii="宋体" w:hAnsi="宋体" w:eastAsia="宋体" w:cs="宋体"/>
                <w:sz w:val="24"/>
                <w:szCs w:val="24"/>
              </w:rPr>
              <w:t>5.2</w:t>
            </w:r>
          </w:p>
        </w:tc>
        <w:tc>
          <w:tcPr>
            <w:tcW w:w="8363" w:type="dxa"/>
            <w:tcBorders>
              <w:top w:val="single" w:color="auto" w:sz="2" w:space="0"/>
              <w:left w:val="single" w:color="auto" w:sz="2" w:space="0"/>
              <w:bottom w:val="single" w:color="auto" w:sz="2" w:space="0"/>
              <w:right w:val="single" w:color="auto" w:sz="2" w:space="0"/>
            </w:tcBorders>
            <w:vAlign w:val="center"/>
          </w:tcPr>
          <w:p w14:paraId="6C987103">
            <w:pPr>
              <w:pStyle w:val="14"/>
              <w:ind w:firstLine="482" w:firstLineChars="200"/>
              <w:rPr>
                <w:rFonts w:ascii="宋体" w:hAnsi="宋体" w:eastAsia="宋体" w:cs="宋体"/>
                <w:sz w:val="24"/>
                <w:szCs w:val="24"/>
              </w:rPr>
            </w:pPr>
            <w:r>
              <w:rPr>
                <w:rFonts w:hint="eastAsia" w:ascii="宋体" w:hAnsi="宋体" w:eastAsia="宋体" w:cs="宋体"/>
                <w:b/>
                <w:bCs/>
                <w:sz w:val="24"/>
                <w:szCs w:val="24"/>
              </w:rPr>
              <w:t>评标方法：资质标审核→技术标评审→唱标→商务标评审。</w:t>
            </w:r>
            <w:r>
              <w:rPr>
                <w:rFonts w:hint="eastAsia" w:ascii="宋体" w:hAnsi="宋体" w:eastAsia="宋体" w:cs="宋体"/>
                <w:sz w:val="24"/>
                <w:szCs w:val="24"/>
              </w:rPr>
              <w:t>项目采用综合评分法。具体详见“第三部分投标须知第六条：评标原则”。。</w:t>
            </w:r>
          </w:p>
        </w:tc>
      </w:tr>
      <w:tr w14:paraId="4A6563B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07851E65">
            <w:pPr>
              <w:jc w:val="center"/>
              <w:rPr>
                <w:rFonts w:ascii="宋体" w:hAnsi="宋体" w:eastAsia="宋体" w:cs="宋体"/>
                <w:sz w:val="24"/>
                <w:szCs w:val="24"/>
              </w:rPr>
            </w:pPr>
            <w:r>
              <w:rPr>
                <w:rFonts w:hint="eastAsia" w:ascii="宋体" w:hAnsi="宋体" w:eastAsia="宋体" w:cs="宋体"/>
                <w:b/>
                <w:bCs/>
                <w:sz w:val="24"/>
                <w:szCs w:val="24"/>
              </w:rPr>
              <w:t>6.合同签订</w:t>
            </w:r>
          </w:p>
        </w:tc>
      </w:tr>
      <w:tr w14:paraId="2B09746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1166EAA3">
            <w:pPr>
              <w:jc w:val="center"/>
              <w:rPr>
                <w:rFonts w:ascii="宋体" w:hAnsi="宋体" w:eastAsia="宋体" w:cs="宋体"/>
                <w:sz w:val="24"/>
                <w:szCs w:val="24"/>
              </w:rPr>
            </w:pPr>
            <w:r>
              <w:rPr>
                <w:rFonts w:hint="eastAsia" w:ascii="宋体" w:hAnsi="宋体" w:eastAsia="宋体" w:cs="宋体"/>
                <w:sz w:val="24"/>
                <w:szCs w:val="24"/>
              </w:rPr>
              <w:t>6.1</w:t>
            </w:r>
          </w:p>
        </w:tc>
        <w:tc>
          <w:tcPr>
            <w:tcW w:w="8363" w:type="dxa"/>
            <w:tcBorders>
              <w:top w:val="single" w:color="auto" w:sz="2" w:space="0"/>
              <w:left w:val="single" w:color="auto" w:sz="2" w:space="0"/>
              <w:bottom w:val="single" w:color="auto" w:sz="2" w:space="0"/>
              <w:right w:val="single" w:color="auto" w:sz="2" w:space="0"/>
            </w:tcBorders>
            <w:vAlign w:val="center"/>
          </w:tcPr>
          <w:p w14:paraId="562E8A6D">
            <w:pPr>
              <w:ind w:firstLine="480" w:firstLineChars="200"/>
              <w:rPr>
                <w:rFonts w:ascii="宋体" w:hAnsi="宋体" w:eastAsia="宋体" w:cs="宋体"/>
                <w:sz w:val="24"/>
                <w:szCs w:val="24"/>
              </w:rPr>
            </w:pPr>
            <w:r>
              <w:rPr>
                <w:rFonts w:hint="eastAsia" w:ascii="宋体" w:hAnsi="宋体" w:eastAsia="宋体" w:cs="宋体"/>
                <w:sz w:val="24"/>
                <w:szCs w:val="24"/>
              </w:rPr>
              <w:t>见第三部分投标须知第七条。</w:t>
            </w:r>
          </w:p>
        </w:tc>
      </w:tr>
      <w:tr w14:paraId="3BAA7A3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54"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178211E4">
            <w:pPr>
              <w:jc w:val="center"/>
              <w:rPr>
                <w:rFonts w:ascii="宋体" w:hAnsi="宋体" w:eastAsia="宋体" w:cs="宋体"/>
                <w:b/>
                <w:bCs/>
                <w:sz w:val="24"/>
                <w:szCs w:val="24"/>
              </w:rPr>
            </w:pPr>
            <w:r>
              <w:rPr>
                <w:rFonts w:hint="eastAsia" w:ascii="宋体" w:hAnsi="宋体" w:eastAsia="宋体" w:cs="宋体"/>
                <w:b/>
                <w:bCs/>
                <w:sz w:val="24"/>
                <w:szCs w:val="24"/>
              </w:rPr>
              <w:t>7.交货期及付款方式</w:t>
            </w:r>
          </w:p>
        </w:tc>
      </w:tr>
      <w:tr w14:paraId="4288A45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28" w:hRule="atLeast"/>
        </w:trPr>
        <w:tc>
          <w:tcPr>
            <w:tcW w:w="595" w:type="dxa"/>
            <w:tcBorders>
              <w:top w:val="single" w:color="auto" w:sz="2" w:space="0"/>
              <w:left w:val="single" w:color="auto" w:sz="2" w:space="0"/>
              <w:bottom w:val="single" w:color="auto" w:sz="2" w:space="0"/>
              <w:right w:val="single" w:color="auto" w:sz="2" w:space="0"/>
            </w:tcBorders>
            <w:vAlign w:val="center"/>
          </w:tcPr>
          <w:p w14:paraId="0FDBD971">
            <w:pPr>
              <w:jc w:val="center"/>
              <w:rPr>
                <w:rFonts w:ascii="宋体" w:hAnsi="宋体" w:eastAsia="宋体" w:cs="宋体"/>
                <w:sz w:val="24"/>
                <w:szCs w:val="24"/>
              </w:rPr>
            </w:pPr>
            <w:r>
              <w:rPr>
                <w:rFonts w:hint="eastAsia" w:ascii="宋体" w:hAnsi="宋体" w:eastAsia="宋体" w:cs="宋体"/>
                <w:sz w:val="24"/>
                <w:szCs w:val="24"/>
              </w:rPr>
              <w:t>7.1</w:t>
            </w:r>
          </w:p>
        </w:tc>
        <w:tc>
          <w:tcPr>
            <w:tcW w:w="8363" w:type="dxa"/>
            <w:tcBorders>
              <w:top w:val="single" w:color="auto" w:sz="2" w:space="0"/>
              <w:left w:val="single" w:color="auto" w:sz="2" w:space="0"/>
              <w:bottom w:val="single" w:color="auto" w:sz="2" w:space="0"/>
              <w:right w:val="single" w:color="auto" w:sz="2" w:space="0"/>
            </w:tcBorders>
            <w:vAlign w:val="center"/>
          </w:tcPr>
          <w:p w14:paraId="38077296">
            <w:pPr>
              <w:pStyle w:val="20"/>
              <w:keepNext w:val="0"/>
              <w:keepLines w:val="0"/>
              <w:pageBreakBefore w:val="0"/>
              <w:widowControl w:val="0"/>
              <w:kinsoku/>
              <w:wordWrap/>
              <w:overflowPunct/>
              <w:topLinePunct w:val="0"/>
              <w:autoSpaceDE/>
              <w:autoSpaceDN/>
              <w:bidi w:val="0"/>
              <w:adjustRightInd/>
              <w:snapToGrid/>
              <w:ind w:firstLine="482" w:firstLineChars="200"/>
              <w:textAlignment w:val="auto"/>
              <w:rPr>
                <w:rFonts w:hAnsi="宋体" w:eastAsia="宋体" w:cs="宋体"/>
                <w:b/>
                <w:bCs/>
                <w:color w:val="000000"/>
                <w:sz w:val="24"/>
                <w:szCs w:val="24"/>
              </w:rPr>
            </w:pPr>
            <w:r>
              <w:rPr>
                <w:rFonts w:hint="eastAsia" w:hAnsi="宋体" w:eastAsia="宋体" w:cs="宋体"/>
                <w:b/>
                <w:bCs/>
                <w:color w:val="000000"/>
                <w:sz w:val="24"/>
                <w:szCs w:val="24"/>
              </w:rPr>
              <w:t>交货期：</w:t>
            </w:r>
          </w:p>
          <w:p w14:paraId="28A28EAA">
            <w:pPr>
              <w:pStyle w:val="20"/>
              <w:keepNext w:val="0"/>
              <w:keepLines w:val="0"/>
              <w:pageBreakBefore w:val="0"/>
              <w:widowControl w:val="0"/>
              <w:numPr>
                <w:ilvl w:val="0"/>
                <w:numId w:val="11"/>
              </w:numPr>
              <w:kinsoku/>
              <w:wordWrap/>
              <w:overflowPunct/>
              <w:topLinePunct w:val="0"/>
              <w:autoSpaceDE/>
              <w:autoSpaceDN/>
              <w:bidi w:val="0"/>
              <w:adjustRightInd/>
              <w:snapToGrid/>
              <w:ind w:firstLine="480" w:firstLineChars="200"/>
              <w:textAlignment w:val="auto"/>
              <w:rPr>
                <w:rFonts w:hAnsi="宋体" w:eastAsia="宋体" w:cs="宋体"/>
                <w:color w:val="000000"/>
                <w:sz w:val="24"/>
                <w:szCs w:val="24"/>
              </w:rPr>
            </w:pPr>
            <w:r>
              <w:rPr>
                <w:rFonts w:hint="eastAsia" w:hAnsi="宋体" w:eastAsia="宋体" w:cs="宋体"/>
                <w:color w:val="000000"/>
                <w:sz w:val="24"/>
                <w:szCs w:val="24"/>
              </w:rPr>
              <w:t>自中标通知书发出之日起</w:t>
            </w:r>
            <w:r>
              <w:rPr>
                <w:rFonts w:hAnsi="宋体" w:eastAsia="宋体" w:cs="宋体"/>
                <w:color w:val="000000"/>
                <w:sz w:val="24"/>
                <w:szCs w:val="24"/>
              </w:rPr>
              <w:t>10</w:t>
            </w:r>
            <w:r>
              <w:rPr>
                <w:rFonts w:hint="eastAsia" w:hAnsi="宋体" w:eastAsia="宋体" w:cs="宋体"/>
                <w:color w:val="000000"/>
                <w:sz w:val="24"/>
                <w:szCs w:val="24"/>
              </w:rPr>
              <w:t>个日历日</w:t>
            </w:r>
            <w:r>
              <w:rPr>
                <w:rFonts w:hAnsi="宋体" w:eastAsia="宋体" w:cs="宋体"/>
                <w:color w:val="000000"/>
                <w:sz w:val="24"/>
                <w:szCs w:val="24"/>
              </w:rPr>
              <w:t>内</w:t>
            </w:r>
            <w:r>
              <w:rPr>
                <w:rFonts w:hint="eastAsia" w:hAnsi="宋体" w:eastAsia="宋体" w:cs="宋体"/>
                <w:color w:val="000000"/>
                <w:sz w:val="24"/>
                <w:szCs w:val="24"/>
              </w:rPr>
              <w:t>提供地基图</w:t>
            </w:r>
            <w:r>
              <w:rPr>
                <w:rFonts w:hint="eastAsia" w:hAnsi="宋体" w:eastAsia="宋体" w:cs="宋体"/>
                <w:color w:val="000000"/>
                <w:sz w:val="24"/>
                <w:szCs w:val="24"/>
                <w:lang w:eastAsia="zh-CN"/>
              </w:rPr>
              <w:t>；</w:t>
            </w:r>
          </w:p>
          <w:p w14:paraId="6EA434FD">
            <w:pPr>
              <w:pStyle w:val="20"/>
              <w:keepNext w:val="0"/>
              <w:keepLines w:val="0"/>
              <w:pageBreakBefore w:val="0"/>
              <w:widowControl w:val="0"/>
              <w:kinsoku/>
              <w:wordWrap/>
              <w:overflowPunct/>
              <w:topLinePunct w:val="0"/>
              <w:autoSpaceDE/>
              <w:autoSpaceDN/>
              <w:bidi w:val="0"/>
              <w:adjustRightInd/>
              <w:snapToGrid/>
              <w:ind w:firstLine="480" w:firstLineChars="200"/>
              <w:textAlignment w:val="auto"/>
              <w:rPr>
                <w:rFonts w:hAnsi="宋体" w:eastAsia="宋体" w:cs="宋体"/>
                <w:color w:val="000000"/>
                <w:sz w:val="24"/>
                <w:szCs w:val="24"/>
              </w:rPr>
            </w:pPr>
            <w:r>
              <w:rPr>
                <w:rFonts w:hAnsi="宋体" w:eastAsia="宋体" w:cs="宋体"/>
                <w:color w:val="000000"/>
                <w:sz w:val="24"/>
                <w:szCs w:val="24"/>
              </w:rPr>
              <w:t>2</w:t>
            </w:r>
            <w:r>
              <w:rPr>
                <w:rFonts w:hint="eastAsia" w:hAnsi="宋体" w:eastAsia="宋体" w:cs="宋体"/>
                <w:color w:val="000000"/>
                <w:sz w:val="24"/>
                <w:szCs w:val="24"/>
              </w:rPr>
              <w:t>、自接到中标通知书之日起90日历天内完成制作,40日内完成安装、调试</w:t>
            </w:r>
          </w:p>
          <w:p w14:paraId="7C07A0FB">
            <w:pPr>
              <w:pStyle w:val="20"/>
              <w:keepNext w:val="0"/>
              <w:keepLines w:val="0"/>
              <w:pageBreakBefore w:val="0"/>
              <w:widowControl w:val="0"/>
              <w:kinsoku/>
              <w:wordWrap/>
              <w:overflowPunct/>
              <w:topLinePunct w:val="0"/>
              <w:autoSpaceDE/>
              <w:autoSpaceDN/>
              <w:bidi w:val="0"/>
              <w:adjustRightInd/>
              <w:snapToGrid/>
              <w:ind w:firstLine="480" w:firstLineChars="200"/>
              <w:textAlignment w:val="auto"/>
              <w:rPr>
                <w:rFonts w:hAnsi="宋体" w:eastAsia="宋体" w:cs="宋体"/>
                <w:color w:val="000000"/>
                <w:sz w:val="24"/>
                <w:szCs w:val="24"/>
              </w:rPr>
            </w:pPr>
            <w:r>
              <w:rPr>
                <w:rFonts w:hAnsi="宋体" w:eastAsia="宋体" w:cs="宋体"/>
                <w:color w:val="000000"/>
                <w:sz w:val="24"/>
                <w:szCs w:val="24"/>
              </w:rPr>
              <w:t>3</w:t>
            </w:r>
            <w:r>
              <w:rPr>
                <w:rFonts w:hint="eastAsia" w:hAnsi="宋体" w:eastAsia="宋体" w:cs="宋体"/>
                <w:color w:val="000000"/>
                <w:sz w:val="24"/>
                <w:szCs w:val="24"/>
              </w:rPr>
              <w:t>、</w:t>
            </w:r>
            <w:r>
              <w:rPr>
                <w:rFonts w:hAnsi="宋体" w:eastAsia="宋体" w:cs="宋体"/>
                <w:color w:val="000000"/>
                <w:sz w:val="24"/>
                <w:szCs w:val="24"/>
              </w:rPr>
              <w:t>设备验收后陪产原则上不低于</w:t>
            </w:r>
            <w:r>
              <w:rPr>
                <w:rFonts w:hint="eastAsia" w:hAnsi="宋体" w:eastAsia="宋体" w:cs="宋体"/>
                <w:color w:val="000000"/>
                <w:sz w:val="24"/>
                <w:szCs w:val="24"/>
                <w:lang w:val="en-US" w:eastAsia="zh-CN"/>
              </w:rPr>
              <w:t>1</w:t>
            </w:r>
            <w:r>
              <w:rPr>
                <w:rFonts w:hint="eastAsia" w:hAnsi="宋体" w:eastAsia="宋体" w:cs="宋体"/>
                <w:color w:val="000000"/>
                <w:sz w:val="24"/>
                <w:szCs w:val="24"/>
              </w:rPr>
              <w:t>个月</w:t>
            </w:r>
            <w:r>
              <w:rPr>
                <w:rFonts w:hAnsi="宋体" w:eastAsia="宋体" w:cs="宋体"/>
                <w:color w:val="000000"/>
                <w:sz w:val="24"/>
                <w:szCs w:val="24"/>
              </w:rPr>
              <w:t>并完成现场人员培训。</w:t>
            </w:r>
          </w:p>
          <w:p w14:paraId="253E8E87">
            <w:pPr>
              <w:pStyle w:val="20"/>
              <w:ind w:firstLine="480" w:firstLineChars="200"/>
              <w:rPr>
                <w:rFonts w:hAnsi="宋体" w:eastAsia="宋体" w:cs="宋体"/>
                <w:color w:val="000000"/>
                <w:sz w:val="24"/>
                <w:szCs w:val="24"/>
                <w:highlight w:val="yellow"/>
              </w:rPr>
            </w:pPr>
            <w:r>
              <w:rPr>
                <w:rFonts w:hint="eastAsia" w:hAnsi="宋体" w:eastAsia="宋体" w:cs="宋体"/>
                <w:color w:val="000000"/>
                <w:sz w:val="24"/>
                <w:szCs w:val="24"/>
              </w:rPr>
              <w:t>4、因招标方实际生产需要或其他原因，提出设备进厂、安装等时间调整要求，双方协商处理。</w:t>
            </w:r>
          </w:p>
          <w:p w14:paraId="3AC3E362">
            <w:pPr>
              <w:pStyle w:val="20"/>
              <w:keepNext w:val="0"/>
              <w:keepLines w:val="0"/>
              <w:pageBreakBefore w:val="0"/>
              <w:widowControl w:val="0"/>
              <w:kinsoku/>
              <w:wordWrap/>
              <w:overflowPunct/>
              <w:topLinePunct w:val="0"/>
              <w:autoSpaceDE/>
              <w:autoSpaceDN/>
              <w:bidi w:val="0"/>
              <w:adjustRightInd/>
              <w:snapToGrid/>
              <w:ind w:firstLine="480" w:firstLineChars="200"/>
              <w:textAlignment w:val="auto"/>
              <w:rPr>
                <w:rFonts w:hAnsi="宋体" w:eastAsia="宋体" w:cs="宋体"/>
                <w:color w:val="000000"/>
                <w:sz w:val="24"/>
                <w:szCs w:val="24"/>
              </w:rPr>
            </w:pPr>
            <w:r>
              <w:rPr>
                <w:rFonts w:hint="eastAsia" w:hAnsi="宋体" w:eastAsia="宋体" w:cs="宋体"/>
                <w:color w:val="000000"/>
                <w:sz w:val="24"/>
                <w:szCs w:val="24"/>
              </w:rPr>
              <w:t>5、安装调试时间或终验收时间超过规定时间的，投标人应当随标书提供详细的工期计划。</w:t>
            </w:r>
          </w:p>
        </w:tc>
      </w:tr>
      <w:tr w14:paraId="408ECC8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335B1A45">
            <w:pPr>
              <w:jc w:val="center"/>
              <w:rPr>
                <w:rFonts w:ascii="宋体" w:hAnsi="宋体" w:eastAsia="宋体" w:cs="宋体"/>
                <w:sz w:val="24"/>
                <w:szCs w:val="24"/>
              </w:rPr>
            </w:pPr>
            <w:r>
              <w:rPr>
                <w:rFonts w:hint="eastAsia" w:ascii="宋体" w:hAnsi="宋体" w:eastAsia="宋体" w:cs="宋体"/>
                <w:sz w:val="24"/>
                <w:szCs w:val="24"/>
              </w:rPr>
              <w:t>7.2</w:t>
            </w:r>
          </w:p>
        </w:tc>
        <w:tc>
          <w:tcPr>
            <w:tcW w:w="8363" w:type="dxa"/>
            <w:tcBorders>
              <w:top w:val="single" w:color="auto" w:sz="2" w:space="0"/>
              <w:left w:val="single" w:color="auto" w:sz="2" w:space="0"/>
              <w:bottom w:val="single" w:color="auto" w:sz="2" w:space="0"/>
              <w:right w:val="single" w:color="auto" w:sz="2" w:space="0"/>
            </w:tcBorders>
            <w:vAlign w:val="center"/>
          </w:tcPr>
          <w:p w14:paraId="07CB161B">
            <w:pPr>
              <w:pStyle w:val="20"/>
              <w:ind w:firstLine="482" w:firstLineChars="200"/>
              <w:rPr>
                <w:rFonts w:hint="eastAsia" w:hAnsi="宋体" w:eastAsia="宋体" w:cs="宋体"/>
                <w:color w:val="000000"/>
                <w:sz w:val="24"/>
                <w:szCs w:val="24"/>
              </w:rPr>
            </w:pPr>
            <w:r>
              <w:rPr>
                <w:rFonts w:hint="eastAsia" w:hAnsi="宋体" w:eastAsia="宋体" w:cs="宋体"/>
                <w:b/>
                <w:bCs/>
                <w:color w:val="000000"/>
                <w:sz w:val="24"/>
                <w:szCs w:val="24"/>
              </w:rPr>
              <w:t>交货方式：</w:t>
            </w:r>
            <w:r>
              <w:rPr>
                <w:rFonts w:hint="eastAsia" w:hAnsi="宋体" w:eastAsia="宋体" w:cs="宋体"/>
                <w:color w:val="000000"/>
                <w:sz w:val="24"/>
                <w:szCs w:val="24"/>
              </w:rPr>
              <w:t>交钥匙方式；</w:t>
            </w:r>
          </w:p>
          <w:p w14:paraId="4E25760F">
            <w:pPr>
              <w:pStyle w:val="20"/>
              <w:ind w:firstLine="482" w:firstLineChars="200"/>
              <w:rPr>
                <w:rFonts w:hint="default" w:hAnsi="宋体" w:eastAsia="宋体" w:cs="宋体"/>
                <w:color w:val="000000"/>
                <w:sz w:val="24"/>
                <w:szCs w:val="24"/>
                <w:lang w:val="en-US" w:eastAsia="zh-CN"/>
              </w:rPr>
            </w:pPr>
            <w:r>
              <w:rPr>
                <w:rFonts w:hint="eastAsia" w:hAnsi="宋体" w:eastAsia="宋体" w:cs="宋体"/>
                <w:b/>
                <w:bCs/>
                <w:color w:val="000000"/>
                <w:sz w:val="24"/>
                <w:szCs w:val="24"/>
                <w:lang w:val="en-US" w:eastAsia="zh-CN"/>
              </w:rPr>
              <w:t>交货地点：</w:t>
            </w:r>
            <w:r>
              <w:rPr>
                <w:rFonts w:hint="eastAsia" w:hAnsi="宋体" w:eastAsia="宋体" w:cs="宋体"/>
                <w:color w:val="000000"/>
                <w:sz w:val="24"/>
                <w:szCs w:val="24"/>
                <w:lang w:val="en-US" w:eastAsia="zh-CN"/>
              </w:rPr>
              <w:t>中国重汽</w:t>
            </w:r>
            <w:r>
              <w:rPr>
                <w:rFonts w:hint="eastAsia" w:ascii="宋体" w:hAnsi="宋体" w:eastAsia="宋体" w:cs="宋体"/>
                <w:sz w:val="24"/>
                <w:szCs w:val="24"/>
                <w:u w:val="single"/>
                <w:lang w:val="en-US" w:eastAsia="zh-CN"/>
              </w:rPr>
              <w:t>泰安五岳专用汽车有限公司</w:t>
            </w:r>
          </w:p>
        </w:tc>
      </w:tr>
      <w:tr w14:paraId="2819ACA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348D21F5">
            <w:pPr>
              <w:jc w:val="center"/>
              <w:rPr>
                <w:rFonts w:ascii="宋体" w:hAnsi="宋体" w:eastAsia="宋体" w:cs="宋体"/>
                <w:sz w:val="24"/>
                <w:szCs w:val="24"/>
              </w:rPr>
            </w:pPr>
            <w:r>
              <w:rPr>
                <w:rFonts w:hint="eastAsia" w:ascii="宋体" w:hAnsi="宋体" w:eastAsia="宋体" w:cs="宋体"/>
                <w:sz w:val="24"/>
                <w:szCs w:val="24"/>
              </w:rPr>
              <w:t>7.3</w:t>
            </w:r>
          </w:p>
        </w:tc>
        <w:tc>
          <w:tcPr>
            <w:tcW w:w="8363" w:type="dxa"/>
            <w:tcBorders>
              <w:top w:val="single" w:color="auto" w:sz="2" w:space="0"/>
              <w:left w:val="single" w:color="auto" w:sz="2" w:space="0"/>
              <w:bottom w:val="single" w:color="auto" w:sz="2" w:space="0"/>
              <w:right w:val="single" w:color="auto" w:sz="2" w:space="0"/>
            </w:tcBorders>
            <w:vAlign w:val="center"/>
          </w:tcPr>
          <w:p w14:paraId="71047AC9">
            <w:pPr>
              <w:pStyle w:val="14"/>
              <w:ind w:firstLine="482" w:firstLineChars="200"/>
              <w:rPr>
                <w:rFonts w:ascii="宋体" w:hAnsi="宋体" w:eastAsia="宋体" w:cs="宋体"/>
                <w:sz w:val="24"/>
                <w:szCs w:val="24"/>
              </w:rPr>
            </w:pPr>
            <w:r>
              <w:rPr>
                <w:rFonts w:hint="eastAsia" w:ascii="宋体" w:hAnsi="宋体" w:eastAsia="宋体" w:cs="宋体"/>
                <w:b/>
                <w:sz w:val="24"/>
                <w:szCs w:val="24"/>
              </w:rPr>
              <w:t>质保期：</w:t>
            </w:r>
            <w:r>
              <w:rPr>
                <w:rFonts w:ascii="Times New Roman" w:hAnsi="Times New Roman"/>
                <w:sz w:val="24"/>
                <w:szCs w:val="24"/>
              </w:rPr>
              <w:t>全部供货范围内的设备、材料、零配件和工器具等，除合同特别约定外，其质保期均自终验收签字生效之日起不少于24个月。</w:t>
            </w:r>
            <w:r>
              <w:rPr>
                <w:rFonts w:hint="eastAsia" w:ascii="Times New Roman" w:hAnsi="Times New Roman"/>
                <w:b/>
                <w:bCs/>
                <w:sz w:val="24"/>
                <w:szCs w:val="24"/>
                <w:highlight w:val="none"/>
              </w:rPr>
              <w:t>。</w:t>
            </w:r>
          </w:p>
        </w:tc>
      </w:tr>
      <w:tr w14:paraId="1E357A3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59" w:hRule="atLeast"/>
        </w:trPr>
        <w:tc>
          <w:tcPr>
            <w:tcW w:w="595" w:type="dxa"/>
            <w:tcBorders>
              <w:top w:val="single" w:color="auto" w:sz="2" w:space="0"/>
              <w:left w:val="single" w:color="auto" w:sz="2" w:space="0"/>
              <w:bottom w:val="single" w:color="auto" w:sz="2" w:space="0"/>
              <w:right w:val="single" w:color="auto" w:sz="4" w:space="0"/>
            </w:tcBorders>
            <w:vAlign w:val="center"/>
          </w:tcPr>
          <w:p w14:paraId="7B3CB764">
            <w:pPr>
              <w:jc w:val="center"/>
              <w:rPr>
                <w:rFonts w:ascii="宋体" w:hAnsi="宋体" w:eastAsia="宋体" w:cs="宋体"/>
                <w:kern w:val="0"/>
                <w:sz w:val="24"/>
                <w:szCs w:val="24"/>
              </w:rPr>
            </w:pPr>
            <w:r>
              <w:rPr>
                <w:rFonts w:hint="eastAsia" w:ascii="宋体" w:hAnsi="宋体" w:eastAsia="宋体" w:cs="宋体"/>
                <w:kern w:val="0"/>
                <w:sz w:val="24"/>
                <w:szCs w:val="24"/>
              </w:rPr>
              <w:t>7.4</w:t>
            </w:r>
          </w:p>
        </w:tc>
        <w:tc>
          <w:tcPr>
            <w:tcW w:w="8363" w:type="dxa"/>
            <w:tcBorders>
              <w:top w:val="single" w:color="auto" w:sz="2" w:space="0"/>
              <w:left w:val="single" w:color="auto" w:sz="4" w:space="0"/>
              <w:bottom w:val="single" w:color="auto" w:sz="2" w:space="0"/>
              <w:right w:val="single" w:color="auto" w:sz="2" w:space="0"/>
            </w:tcBorders>
            <w:vAlign w:val="center"/>
          </w:tcPr>
          <w:p w14:paraId="5CE58A67">
            <w:pPr>
              <w:pStyle w:val="20"/>
              <w:ind w:firstLine="482" w:firstLineChars="200"/>
              <w:rPr>
                <w:rFonts w:hAnsi="宋体" w:eastAsia="宋体" w:cs="宋体"/>
                <w:color w:val="000000"/>
                <w:sz w:val="24"/>
                <w:szCs w:val="24"/>
              </w:rPr>
            </w:pPr>
            <w:r>
              <w:rPr>
                <w:rFonts w:hint="eastAsia" w:hAnsi="宋体" w:eastAsia="宋体" w:cs="宋体"/>
                <w:b/>
                <w:bCs/>
                <w:color w:val="000000"/>
                <w:sz w:val="24"/>
                <w:szCs w:val="24"/>
              </w:rPr>
              <w:t>付款方式：半年期商业汇票（包括银行承兑汇票和商业承兑汇票）</w:t>
            </w:r>
          </w:p>
          <w:p w14:paraId="34057D1A">
            <w:pPr>
              <w:pStyle w:val="20"/>
              <w:ind w:firstLine="480" w:firstLineChars="200"/>
              <w:rPr>
                <w:rFonts w:hAnsi="宋体" w:eastAsia="宋体" w:cs="宋体"/>
                <w:color w:val="000000"/>
                <w:sz w:val="24"/>
                <w:szCs w:val="24"/>
              </w:rPr>
            </w:pPr>
            <w:r>
              <w:rPr>
                <w:rFonts w:hint="eastAsia" w:hAnsi="宋体" w:eastAsia="宋体" w:cs="宋体"/>
                <w:color w:val="000000"/>
                <w:sz w:val="24"/>
                <w:szCs w:val="24"/>
              </w:rPr>
              <w:t>（</w:t>
            </w:r>
            <w:r>
              <w:rPr>
                <w:rFonts w:hAnsi="宋体" w:eastAsia="宋体" w:cs="宋体"/>
                <w:color w:val="000000"/>
                <w:sz w:val="24"/>
                <w:szCs w:val="24"/>
              </w:rPr>
              <w:t>1）</w:t>
            </w:r>
            <w:r>
              <w:rPr>
                <w:rFonts w:hint="eastAsia" w:hAnsi="宋体" w:eastAsia="宋体" w:cs="宋体"/>
                <w:color w:val="000000"/>
                <w:sz w:val="24"/>
                <w:szCs w:val="24"/>
              </w:rPr>
              <w:t>合同生效后</w:t>
            </w:r>
            <w:r>
              <w:rPr>
                <w:rFonts w:hAnsi="宋体" w:eastAsia="宋体" w:cs="宋体"/>
                <w:color w:val="000000"/>
                <w:sz w:val="24"/>
                <w:szCs w:val="24"/>
              </w:rPr>
              <w:t>, 卖方提交金额为合同价款30 %的收据及合同价款30 %增值税专用发票（税率为【13】%，正本一份，复印件三份），经买方依照财务制度审核无误后支付作为预付款。</w:t>
            </w:r>
          </w:p>
          <w:p w14:paraId="519D242A">
            <w:pPr>
              <w:pStyle w:val="20"/>
              <w:ind w:firstLine="480" w:firstLineChars="200"/>
              <w:rPr>
                <w:rFonts w:hAnsi="宋体" w:eastAsia="宋体" w:cs="宋体"/>
                <w:color w:val="000000"/>
                <w:sz w:val="24"/>
                <w:szCs w:val="24"/>
              </w:rPr>
            </w:pPr>
            <w:r>
              <w:rPr>
                <w:rFonts w:hint="eastAsia" w:hAnsi="宋体" w:eastAsia="宋体" w:cs="宋体"/>
                <w:color w:val="000000"/>
                <w:sz w:val="24"/>
                <w:szCs w:val="24"/>
              </w:rPr>
              <w:t>（</w:t>
            </w:r>
            <w:r>
              <w:rPr>
                <w:rFonts w:hAnsi="宋体" w:eastAsia="宋体" w:cs="宋体"/>
                <w:color w:val="000000"/>
                <w:sz w:val="24"/>
                <w:szCs w:val="24"/>
              </w:rPr>
              <w:t>2）</w:t>
            </w:r>
            <w:r>
              <w:rPr>
                <w:rFonts w:hint="eastAsia" w:hAnsi="宋体" w:eastAsia="宋体" w:cs="宋体"/>
                <w:color w:val="000000"/>
                <w:sz w:val="24"/>
                <w:szCs w:val="24"/>
              </w:rPr>
              <w:t>设备全部到齐无质量问题后</w:t>
            </w:r>
            <w:r>
              <w:rPr>
                <w:rFonts w:hAnsi="宋体" w:eastAsia="宋体" w:cs="宋体"/>
                <w:color w:val="000000"/>
                <w:sz w:val="24"/>
                <w:szCs w:val="24"/>
              </w:rPr>
              <w:t>, 通过买方初步验收后，卖方提交金额为合同含税总价款30 %的收据及合同含税总价款30 %增值税专用发票（税率为【13】%，正本一份，复印件三份），经买方依照财务制度审核无误后支付到货款。。</w:t>
            </w:r>
          </w:p>
          <w:p w14:paraId="1481314F">
            <w:pPr>
              <w:ind w:firstLine="480" w:firstLineChars="200"/>
              <w:rPr>
                <w:rFonts w:hAnsi="宋体" w:eastAsia="宋体" w:cs="宋体"/>
                <w:color w:val="000000"/>
                <w:sz w:val="24"/>
                <w:szCs w:val="24"/>
              </w:rPr>
            </w:pPr>
            <w:r>
              <w:rPr>
                <w:rFonts w:hint="eastAsia" w:hAnsi="宋体" w:eastAsia="宋体" w:cs="宋体"/>
                <w:color w:val="000000"/>
                <w:sz w:val="24"/>
                <w:szCs w:val="24"/>
              </w:rPr>
              <w:t>（</w:t>
            </w:r>
            <w:r>
              <w:rPr>
                <w:rFonts w:hAnsi="宋体" w:eastAsia="宋体" w:cs="宋体"/>
                <w:color w:val="000000"/>
                <w:sz w:val="24"/>
                <w:szCs w:val="24"/>
              </w:rPr>
              <w:t>3）</w:t>
            </w:r>
            <w:r>
              <w:rPr>
                <w:rFonts w:hint="eastAsia" w:hAnsi="宋体" w:eastAsia="宋体" w:cs="宋体"/>
                <w:color w:val="000000"/>
                <w:sz w:val="24"/>
                <w:szCs w:val="24"/>
              </w:rPr>
              <w:t>设备经安装、调试、最终验收合格后，卖方提交金额为合同含税总价款</w:t>
            </w:r>
            <w:r>
              <w:rPr>
                <w:rFonts w:hAnsi="宋体" w:eastAsia="宋体" w:cs="宋体"/>
                <w:color w:val="000000"/>
                <w:sz w:val="24"/>
                <w:szCs w:val="24"/>
              </w:rPr>
              <w:t>30 %的收据及合同含税总价款40%增值税专用发票（税率为【13】%，正本一份，复印件三份）并附带该套合同设备最终验收报告的原件及其复印件两份，经买方依照财务制度审核无误后支付验收款：</w:t>
            </w:r>
          </w:p>
          <w:p w14:paraId="1313F7C8">
            <w:pPr>
              <w:ind w:firstLine="480" w:firstLineChars="200"/>
              <w:rPr>
                <w:rFonts w:hAnsi="宋体" w:eastAsia="宋体" w:cs="宋体"/>
                <w:color w:val="000000"/>
                <w:sz w:val="24"/>
                <w:szCs w:val="24"/>
              </w:rPr>
            </w:pPr>
            <w:r>
              <w:rPr>
                <w:rFonts w:hint="eastAsia" w:hAnsi="宋体" w:eastAsia="宋体" w:cs="宋体"/>
                <w:color w:val="000000"/>
                <w:sz w:val="24"/>
                <w:szCs w:val="24"/>
              </w:rPr>
              <w:t>（</w:t>
            </w:r>
            <w:r>
              <w:rPr>
                <w:rFonts w:hAnsi="宋体" w:eastAsia="宋体" w:cs="宋体"/>
                <w:color w:val="000000"/>
                <w:sz w:val="24"/>
                <w:szCs w:val="24"/>
              </w:rPr>
              <w:t>4）</w:t>
            </w:r>
            <w:r>
              <w:rPr>
                <w:rFonts w:hint="eastAsia" w:hAnsi="宋体" w:eastAsia="宋体" w:cs="宋体"/>
                <w:color w:val="000000"/>
                <w:sz w:val="24"/>
                <w:szCs w:val="24"/>
              </w:rPr>
              <w:t>合同含税总价款的</w:t>
            </w:r>
            <w:r>
              <w:rPr>
                <w:rFonts w:hAnsi="宋体" w:eastAsia="宋体" w:cs="宋体"/>
                <w:color w:val="000000"/>
                <w:sz w:val="24"/>
                <w:szCs w:val="24"/>
              </w:rPr>
              <w:t xml:space="preserve"> 10 %作为本合同约定设备的质量保证金，质量保证金在质量保证期内不计利息。待合同设备质量保证期（24个月）满后，卖方向买方提交金额为合同价款10%的收据（正本一份，复印件二份）及设备使用单位的使用情况说明，经买方依照财务制度审核无误后支付。如有质量问题，质量保证金予以相应扣除。</w:t>
            </w:r>
          </w:p>
          <w:p w14:paraId="3821F311">
            <w:pPr>
              <w:ind w:firstLine="480" w:firstLineChars="200"/>
              <w:rPr>
                <w:rFonts w:hAnsi="宋体" w:eastAsia="宋体" w:cs="宋体"/>
                <w:color w:val="000000"/>
                <w:sz w:val="24"/>
                <w:szCs w:val="24"/>
              </w:rPr>
            </w:pPr>
            <w:r>
              <w:rPr>
                <w:rFonts w:hint="eastAsia" w:hAnsi="宋体" w:eastAsia="宋体" w:cs="宋体"/>
                <w:color w:val="000000"/>
                <w:sz w:val="24"/>
                <w:szCs w:val="24"/>
                <w:lang w:val="en-US" w:eastAsia="zh-CN"/>
              </w:rPr>
              <w:t>付款方式及比例不允许偏离。</w:t>
            </w:r>
          </w:p>
        </w:tc>
      </w:tr>
      <w:tr w14:paraId="7321AA0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59" w:hRule="atLeast"/>
        </w:trPr>
        <w:tc>
          <w:tcPr>
            <w:tcW w:w="595" w:type="dxa"/>
            <w:tcBorders>
              <w:top w:val="single" w:color="auto" w:sz="2" w:space="0"/>
              <w:left w:val="single" w:color="auto" w:sz="2" w:space="0"/>
              <w:bottom w:val="single" w:color="auto" w:sz="2" w:space="0"/>
              <w:right w:val="single" w:color="auto" w:sz="4" w:space="0"/>
            </w:tcBorders>
            <w:vAlign w:val="center"/>
          </w:tcPr>
          <w:p w14:paraId="604806B4">
            <w:pPr>
              <w:jc w:val="center"/>
              <w:rPr>
                <w:rFonts w:ascii="宋体" w:hAnsi="宋体" w:eastAsia="宋体" w:cs="宋体"/>
                <w:kern w:val="0"/>
                <w:sz w:val="24"/>
                <w:szCs w:val="24"/>
              </w:rPr>
            </w:pPr>
            <w:r>
              <w:rPr>
                <w:rFonts w:hint="eastAsia" w:ascii="宋体" w:hAnsi="宋体" w:eastAsia="宋体" w:cs="宋体"/>
                <w:kern w:val="0"/>
                <w:sz w:val="24"/>
                <w:szCs w:val="24"/>
              </w:rPr>
              <w:t>7.5</w:t>
            </w:r>
          </w:p>
        </w:tc>
        <w:tc>
          <w:tcPr>
            <w:tcW w:w="8363" w:type="dxa"/>
            <w:tcBorders>
              <w:top w:val="single" w:color="auto" w:sz="2" w:space="0"/>
              <w:left w:val="single" w:color="auto" w:sz="4" w:space="0"/>
              <w:bottom w:val="single" w:color="auto" w:sz="2" w:space="0"/>
              <w:right w:val="single" w:color="auto" w:sz="2" w:space="0"/>
            </w:tcBorders>
            <w:vAlign w:val="center"/>
          </w:tcPr>
          <w:p w14:paraId="321B1C56">
            <w:pPr>
              <w:ind w:firstLine="482" w:firstLineChars="200"/>
              <w:rPr>
                <w:rFonts w:ascii="宋体" w:hAnsi="宋体" w:eastAsia="宋体" w:cs="宋体"/>
                <w:b/>
                <w:color w:val="000000"/>
                <w:sz w:val="24"/>
                <w:szCs w:val="24"/>
              </w:rPr>
            </w:pPr>
            <w:r>
              <w:rPr>
                <w:rFonts w:hint="eastAsia" w:ascii="宋体" w:hAnsi="宋体" w:eastAsia="宋体" w:cs="宋体"/>
                <w:b/>
                <w:color w:val="000000"/>
                <w:sz w:val="24"/>
                <w:szCs w:val="24"/>
              </w:rPr>
              <w:t>增值税专用发票开票信息：</w:t>
            </w:r>
          </w:p>
          <w:p w14:paraId="2FF2D5C0">
            <w:pPr>
              <w:ind w:firstLine="480" w:firstLineChars="200"/>
              <w:rPr>
                <w:rFonts w:hint="default"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rPr>
              <w:t>公司名称：</w:t>
            </w:r>
            <w:r>
              <w:rPr>
                <w:rFonts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rPr>
              <w:t>中国重汽集团</w:t>
            </w:r>
            <w:r>
              <w:rPr>
                <w:rFonts w:hint="eastAsia" w:ascii="宋体" w:hAnsi="宋体" w:eastAsia="宋体" w:cs="宋体"/>
                <w:color w:val="000000"/>
                <w:sz w:val="24"/>
                <w:szCs w:val="24"/>
                <w:highlight w:val="none"/>
                <w:lang w:val="en-US" w:eastAsia="zh-CN"/>
              </w:rPr>
              <w:t>泰安五岳专用汽车有限公司</w:t>
            </w:r>
          </w:p>
          <w:p w14:paraId="6FD42EDD">
            <w:pPr>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纳税识别号：</w:t>
            </w:r>
            <w:r>
              <w:rPr>
                <w:rFonts w:hint="eastAsia" w:ascii="宋体" w:hAnsi="宋体" w:eastAsia="宋体" w:cs="宋体"/>
                <w:color w:val="000000"/>
                <w:sz w:val="24"/>
                <w:szCs w:val="24"/>
                <w:highlight w:val="none"/>
                <w:lang w:val="en-US" w:eastAsia="zh-CN"/>
              </w:rPr>
              <w:t>91370900166414879F</w:t>
            </w:r>
            <w:r>
              <w:rPr>
                <w:rFonts w:ascii="宋体" w:hAnsi="宋体" w:eastAsia="宋体" w:cs="宋体"/>
                <w:color w:val="000000"/>
                <w:sz w:val="24"/>
                <w:szCs w:val="24"/>
                <w:highlight w:val="none"/>
              </w:rPr>
              <w:t xml:space="preserve"> </w:t>
            </w:r>
          </w:p>
          <w:p w14:paraId="5B59757E">
            <w:pPr>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地址</w:t>
            </w:r>
            <w:r>
              <w:rPr>
                <w:rFonts w:ascii="宋体" w:hAnsi="宋体" w:eastAsia="宋体" w:cs="宋体"/>
                <w:color w:val="000000"/>
                <w:sz w:val="24"/>
                <w:szCs w:val="24"/>
                <w:highlight w:val="none"/>
              </w:rPr>
              <w:t>:</w:t>
            </w:r>
            <w:r>
              <w:rPr>
                <w:rFonts w:hint="eastAsia" w:ascii="宋体" w:hAnsi="宋体" w:eastAsia="宋体" w:cs="宋体"/>
                <w:color w:val="000000"/>
                <w:sz w:val="24"/>
                <w:szCs w:val="24"/>
                <w:highlight w:val="none"/>
              </w:rPr>
              <w:t xml:space="preserve"> 山东省泰安市高新技术产业开发区中天门大街266号</w:t>
            </w:r>
          </w:p>
          <w:p w14:paraId="2738C5C2">
            <w:pPr>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开户行</w:t>
            </w:r>
            <w:r>
              <w:rPr>
                <w:rFonts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rPr>
              <w:t>交通银行泰安分行</w:t>
            </w:r>
          </w:p>
          <w:p w14:paraId="2E872184">
            <w:pPr>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highlight w:val="none"/>
              </w:rPr>
              <w:t>帐号：</w:t>
            </w:r>
            <w:r>
              <w:rPr>
                <w:rFonts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rPr>
              <w:t>379006111018000061904</w:t>
            </w:r>
          </w:p>
        </w:tc>
      </w:tr>
      <w:tr w14:paraId="05952FE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7051D8DC">
            <w:pPr>
              <w:pStyle w:val="14"/>
              <w:jc w:val="center"/>
              <w:rPr>
                <w:rFonts w:ascii="宋体" w:hAnsi="宋体" w:eastAsia="宋体" w:cs="宋体"/>
                <w:sz w:val="24"/>
                <w:szCs w:val="24"/>
              </w:rPr>
            </w:pPr>
            <w:r>
              <w:rPr>
                <w:rFonts w:hint="eastAsia" w:ascii="宋体" w:hAnsi="宋体" w:eastAsia="宋体" w:cs="宋体"/>
                <w:b/>
                <w:bCs/>
                <w:sz w:val="24"/>
                <w:szCs w:val="24"/>
              </w:rPr>
              <w:t>8.其它</w:t>
            </w:r>
          </w:p>
        </w:tc>
      </w:tr>
      <w:tr w14:paraId="1243461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5BB03626">
            <w:pPr>
              <w:jc w:val="center"/>
              <w:rPr>
                <w:rFonts w:ascii="宋体" w:hAnsi="宋体" w:eastAsia="宋体" w:cs="宋体"/>
                <w:sz w:val="24"/>
                <w:szCs w:val="24"/>
              </w:rPr>
            </w:pPr>
            <w:r>
              <w:rPr>
                <w:rFonts w:hint="eastAsia" w:ascii="宋体" w:hAnsi="宋体" w:eastAsia="宋体" w:cs="宋体"/>
                <w:sz w:val="24"/>
                <w:szCs w:val="24"/>
              </w:rPr>
              <w:t>8.1</w:t>
            </w:r>
          </w:p>
        </w:tc>
        <w:tc>
          <w:tcPr>
            <w:tcW w:w="8363" w:type="dxa"/>
            <w:tcBorders>
              <w:top w:val="single" w:color="auto" w:sz="2" w:space="0"/>
              <w:left w:val="single" w:color="auto" w:sz="4" w:space="0"/>
              <w:bottom w:val="single" w:color="auto" w:sz="2" w:space="0"/>
              <w:right w:val="single" w:color="auto" w:sz="2" w:space="0"/>
            </w:tcBorders>
            <w:vAlign w:val="center"/>
          </w:tcPr>
          <w:p w14:paraId="3BB49CDE">
            <w:pPr>
              <w:pStyle w:val="14"/>
              <w:ind w:firstLine="480" w:firstLineChars="200"/>
              <w:rPr>
                <w:rFonts w:ascii="宋体" w:hAnsi="宋体" w:eastAsia="宋体" w:cs="宋体"/>
                <w:sz w:val="24"/>
                <w:szCs w:val="24"/>
              </w:rPr>
            </w:pPr>
            <w:r>
              <w:rPr>
                <w:rFonts w:hint="eastAsia" w:ascii="宋体" w:hAnsi="宋体" w:eastAsia="宋体" w:cs="宋体"/>
                <w:sz w:val="24"/>
                <w:szCs w:val="24"/>
              </w:rPr>
              <w:t>设备的安装说明（图纸）、操作手册、使用说明、维修指南、服务手册等招标人所需要的、与执行本合同有关的各类资料，中标人提交时须做好备份（复印件或电子扫描件），招标人资料归档后若另需要上述资料，中标人应及时无偿提供。</w:t>
            </w:r>
          </w:p>
        </w:tc>
      </w:tr>
      <w:tr w14:paraId="311803D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0A0A82C0">
            <w:pPr>
              <w:jc w:val="center"/>
              <w:rPr>
                <w:rFonts w:ascii="宋体" w:hAnsi="宋体" w:eastAsia="宋体" w:cs="宋体"/>
                <w:sz w:val="24"/>
                <w:szCs w:val="24"/>
              </w:rPr>
            </w:pPr>
            <w:r>
              <w:rPr>
                <w:rFonts w:hint="eastAsia" w:ascii="宋体" w:hAnsi="宋体" w:eastAsia="宋体" w:cs="宋体"/>
                <w:sz w:val="24"/>
                <w:szCs w:val="24"/>
              </w:rPr>
              <w:t>8.2</w:t>
            </w:r>
          </w:p>
        </w:tc>
        <w:tc>
          <w:tcPr>
            <w:tcW w:w="8363" w:type="dxa"/>
            <w:tcBorders>
              <w:top w:val="single" w:color="auto" w:sz="2" w:space="0"/>
              <w:left w:val="single" w:color="auto" w:sz="4" w:space="0"/>
              <w:bottom w:val="single" w:color="auto" w:sz="2" w:space="0"/>
              <w:right w:val="single" w:color="auto" w:sz="2" w:space="0"/>
            </w:tcBorders>
            <w:vAlign w:val="center"/>
          </w:tcPr>
          <w:p w14:paraId="02B38217">
            <w:pPr>
              <w:ind w:firstLine="480" w:firstLineChars="200"/>
              <w:rPr>
                <w:rFonts w:ascii="宋体" w:hAnsi="宋体" w:eastAsia="宋体" w:cs="宋体"/>
                <w:sz w:val="24"/>
                <w:szCs w:val="24"/>
              </w:rPr>
            </w:pPr>
            <w:r>
              <w:rPr>
                <w:rFonts w:hint="eastAsia" w:ascii="宋体" w:hAnsi="宋体" w:eastAsia="宋体" w:cs="宋体"/>
                <w:sz w:val="24"/>
                <w:szCs w:val="24"/>
              </w:rPr>
              <w:t>中标人负责为招标人免费培训操作及维修人员，培训内容包括：基本原理、操作使用、安全操作注意事项以及维修保养等内容，直至达到买方使用需求。</w:t>
            </w:r>
          </w:p>
        </w:tc>
      </w:tr>
      <w:tr w14:paraId="6D27FB7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21747A6E">
            <w:pPr>
              <w:jc w:val="center"/>
              <w:rPr>
                <w:rFonts w:hint="eastAsia" w:ascii="宋体" w:hAnsi="宋体" w:eastAsia="宋体" w:cs="宋体"/>
                <w:sz w:val="24"/>
                <w:szCs w:val="24"/>
              </w:rPr>
            </w:pPr>
            <w:r>
              <w:rPr>
                <w:rFonts w:hint="eastAsia" w:ascii="宋体" w:hAnsi="宋体" w:eastAsia="宋体" w:cs="宋体"/>
                <w:sz w:val="24"/>
                <w:szCs w:val="24"/>
              </w:rPr>
              <w:t>8.3</w:t>
            </w:r>
          </w:p>
        </w:tc>
        <w:tc>
          <w:tcPr>
            <w:tcW w:w="8363" w:type="dxa"/>
            <w:tcBorders>
              <w:top w:val="single" w:color="auto" w:sz="2" w:space="0"/>
              <w:left w:val="single" w:color="auto" w:sz="4" w:space="0"/>
              <w:bottom w:val="single" w:color="auto" w:sz="2" w:space="0"/>
              <w:right w:val="single" w:color="auto" w:sz="2" w:space="0"/>
            </w:tcBorders>
            <w:vAlign w:val="center"/>
          </w:tcPr>
          <w:p w14:paraId="4325B07C">
            <w:pPr>
              <w:pStyle w:val="14"/>
              <w:ind w:firstLine="480" w:firstLineChars="200"/>
              <w:rPr>
                <w:rFonts w:hint="eastAsia" w:ascii="宋体" w:hAnsi="宋体" w:eastAsia="宋体" w:cs="宋体"/>
                <w:sz w:val="24"/>
                <w:szCs w:val="24"/>
              </w:rPr>
            </w:pPr>
            <w:r>
              <w:rPr>
                <w:rFonts w:hint="eastAsia" w:ascii="宋体" w:hAnsi="宋体" w:eastAsia="宋体" w:cs="宋体"/>
                <w:sz w:val="24"/>
                <w:szCs w:val="24"/>
              </w:rPr>
              <w:t>中标方应在合同签订后1</w:t>
            </w:r>
            <w:r>
              <w:rPr>
                <w:rFonts w:ascii="宋体" w:hAnsi="宋体" w:eastAsia="宋体" w:cs="宋体"/>
                <w:sz w:val="24"/>
                <w:szCs w:val="24"/>
              </w:rPr>
              <w:t>0</w:t>
            </w:r>
            <w:r>
              <w:rPr>
                <w:rFonts w:hint="eastAsia" w:ascii="宋体" w:hAnsi="宋体" w:eastAsia="宋体" w:cs="宋体"/>
                <w:sz w:val="24"/>
                <w:szCs w:val="24"/>
              </w:rPr>
              <w:t>个日历日内提交设备安装地基图等资料，以此设计施工图纸，中标人最终审核确认。对于提交资料不准确不全面、不符合招标文件技术要求、提交资料变更导致的损失由卖方承担，并承担违约责任。</w:t>
            </w:r>
          </w:p>
        </w:tc>
      </w:tr>
      <w:bookmarkEnd w:id="4"/>
    </w:tbl>
    <w:p w14:paraId="2A49A400">
      <w:pPr>
        <w:pStyle w:val="20"/>
        <w:numPr>
          <w:ilvl w:val="0"/>
          <w:numId w:val="12"/>
        </w:numPr>
        <w:jc w:val="center"/>
        <w:outlineLvl w:val="0"/>
        <w:rPr>
          <w:rFonts w:ascii="Calibri" w:hAnsi="Calibri" w:eastAsia="宋体" w:cs="Times New Roman"/>
          <w:b/>
          <w:bCs/>
          <w:kern w:val="44"/>
          <w:sz w:val="36"/>
          <w:szCs w:val="44"/>
        </w:rPr>
        <w:sectPr>
          <w:pgSz w:w="11907" w:h="16840"/>
          <w:pgMar w:top="1304" w:right="1418" w:bottom="1304" w:left="1418" w:header="724" w:footer="851" w:gutter="0"/>
          <w:cols w:space="720" w:num="1"/>
          <w:docGrid w:linePitch="290" w:charSpace="-3931"/>
        </w:sectPr>
      </w:pPr>
    </w:p>
    <w:p w14:paraId="3AB57046">
      <w:pPr>
        <w:pStyle w:val="20"/>
        <w:jc w:val="center"/>
        <w:outlineLvl w:val="0"/>
        <w:rPr>
          <w:rFonts w:ascii="Calibri" w:hAnsi="Calibri" w:eastAsia="宋体" w:cs="Times New Roman"/>
          <w:b/>
          <w:bCs/>
          <w:kern w:val="44"/>
          <w:sz w:val="44"/>
          <w:szCs w:val="44"/>
        </w:rPr>
      </w:pPr>
      <w:bookmarkStart w:id="5" w:name="_Toc234572372"/>
      <w:r>
        <w:rPr>
          <w:rFonts w:hint="eastAsia" w:eastAsia="黑体" w:asciiTheme="minorHAnsi" w:hAnsiTheme="minorHAnsi"/>
          <w:bCs/>
          <w:color w:val="000000"/>
          <w:kern w:val="44"/>
          <w:sz w:val="36"/>
          <w:szCs w:val="24"/>
        </w:rPr>
        <w:t>第三部分 投标须知</w:t>
      </w:r>
      <w:bookmarkEnd w:id="5"/>
    </w:p>
    <w:p w14:paraId="41BF0D7E">
      <w:pPr>
        <w:keepNext/>
        <w:keepLines/>
        <w:spacing w:line="360" w:lineRule="auto"/>
        <w:outlineLvl w:val="1"/>
        <w:rPr>
          <w:rFonts w:ascii="宋体" w:hAnsi="宋体" w:eastAsia="宋体" w:cs="宋体"/>
          <w:b/>
          <w:bCs/>
          <w:sz w:val="24"/>
          <w:szCs w:val="24"/>
        </w:rPr>
      </w:pPr>
      <w:r>
        <w:rPr>
          <w:rFonts w:hint="eastAsia" w:ascii="宋体" w:hAnsi="宋体" w:eastAsia="宋体" w:cs="宋体"/>
          <w:b/>
          <w:bCs/>
          <w:sz w:val="24"/>
          <w:szCs w:val="24"/>
        </w:rPr>
        <w:t>一、项目名称</w:t>
      </w:r>
    </w:p>
    <w:p w14:paraId="0861BF13">
      <w:pPr>
        <w:spacing w:line="360" w:lineRule="auto"/>
        <w:ind w:left="1679" w:leftChars="228" w:hanging="1200" w:hangingChars="500"/>
        <w:rPr>
          <w:rFonts w:ascii="宋体" w:hAnsi="宋体" w:eastAsia="宋体" w:cs="宋体"/>
          <w:color w:val="000000"/>
          <w:sz w:val="24"/>
          <w:szCs w:val="24"/>
          <w:u w:val="single"/>
        </w:rPr>
      </w:pPr>
      <w:r>
        <w:rPr>
          <w:rFonts w:hint="eastAsia" w:ascii="宋体" w:hAnsi="宋体" w:eastAsia="宋体" w:cs="宋体"/>
          <w:color w:val="000000"/>
          <w:sz w:val="24"/>
          <w:szCs w:val="24"/>
        </w:rPr>
        <w:t>项目名称：</w:t>
      </w:r>
      <w:bookmarkStart w:id="6" w:name="OLE_LINK1"/>
      <w:r>
        <w:rPr>
          <w:rFonts w:hint="eastAsia" w:ascii="宋体" w:hAnsi="宋体" w:eastAsia="宋体" w:cs="宋体"/>
          <w:color w:val="000000"/>
          <w:sz w:val="24"/>
          <w:szCs w:val="24"/>
        </w:rPr>
        <w:t>见《投标须知前附表》。</w:t>
      </w:r>
    </w:p>
    <w:bookmarkEnd w:id="6"/>
    <w:p w14:paraId="317CFBFB">
      <w:pPr>
        <w:keepNext/>
        <w:keepLines/>
        <w:numPr>
          <w:ilvl w:val="0"/>
          <w:numId w:val="13"/>
        </w:numPr>
        <w:spacing w:line="360" w:lineRule="auto"/>
        <w:outlineLvl w:val="1"/>
        <w:rPr>
          <w:rFonts w:ascii="宋体" w:hAnsi="宋体" w:eastAsia="宋体" w:cs="宋体"/>
          <w:b/>
          <w:bCs/>
          <w:sz w:val="24"/>
          <w:szCs w:val="24"/>
        </w:rPr>
      </w:pPr>
      <w:r>
        <w:rPr>
          <w:rFonts w:hint="eastAsia" w:ascii="宋体" w:hAnsi="宋体" w:eastAsia="宋体" w:cs="宋体"/>
          <w:b/>
          <w:bCs/>
          <w:sz w:val="24"/>
          <w:szCs w:val="24"/>
        </w:rPr>
        <w:t>招标内容及形式</w:t>
      </w:r>
    </w:p>
    <w:p w14:paraId="0B201133">
      <w:pPr>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见《投标须知前附表》。</w:t>
      </w:r>
    </w:p>
    <w:p w14:paraId="7C3137C4">
      <w:pPr>
        <w:spacing w:line="360" w:lineRule="auto"/>
        <w:ind w:firstLine="482" w:firstLineChars="200"/>
        <w:rPr>
          <w:rFonts w:ascii="宋体" w:hAnsi="宋体" w:eastAsia="宋体" w:cs="宋体"/>
          <w:color w:val="000000"/>
          <w:sz w:val="24"/>
          <w:szCs w:val="24"/>
        </w:rPr>
      </w:pPr>
      <w:r>
        <w:rPr>
          <w:rFonts w:hint="eastAsia" w:ascii="宋体" w:hAnsi="宋体" w:eastAsia="宋体" w:cs="宋体"/>
          <w:b/>
          <w:color w:val="000000"/>
          <w:sz w:val="24"/>
          <w:szCs w:val="24"/>
        </w:rPr>
        <w:t>对于本项目需着重介绍的注意事项已经通过以下带颜色文档进行标记。</w:t>
      </w:r>
    </w:p>
    <w:p w14:paraId="20449B3E">
      <w:pPr>
        <w:spacing w:line="360" w:lineRule="auto"/>
        <w:ind w:firstLine="482" w:firstLineChars="200"/>
        <w:rPr>
          <w:rFonts w:ascii="宋体" w:hAnsi="宋体" w:eastAsia="宋体" w:cs="宋体"/>
          <w:b/>
          <w:color w:val="000000"/>
          <w:sz w:val="24"/>
          <w:szCs w:val="24"/>
        </w:rPr>
      </w:pPr>
      <w:r>
        <w:rPr>
          <w:rFonts w:hint="eastAsia" w:ascii="宋体" w:hAnsi="宋体" w:eastAsia="宋体" w:cs="宋体"/>
          <w:b/>
          <w:color w:val="000000"/>
          <w:sz w:val="24"/>
          <w:szCs w:val="24"/>
        </w:rPr>
        <w:t>具体要求详见《技术标书》。</w:t>
      </w:r>
    </w:p>
    <w:p w14:paraId="01DF7386">
      <w:pPr>
        <w:keepNext/>
        <w:keepLines/>
        <w:numPr>
          <w:ilvl w:val="0"/>
          <w:numId w:val="13"/>
        </w:numPr>
        <w:spacing w:line="360" w:lineRule="auto"/>
        <w:outlineLvl w:val="1"/>
        <w:rPr>
          <w:rFonts w:ascii="宋体" w:hAnsi="宋体" w:eastAsia="宋体" w:cs="宋体"/>
          <w:b/>
          <w:bCs/>
          <w:sz w:val="24"/>
          <w:szCs w:val="24"/>
        </w:rPr>
      </w:pPr>
      <w:r>
        <w:rPr>
          <w:rFonts w:hint="eastAsia" w:ascii="宋体" w:hAnsi="宋体" w:eastAsia="宋体" w:cs="宋体"/>
          <w:b/>
          <w:bCs/>
          <w:sz w:val="24"/>
          <w:szCs w:val="24"/>
        </w:rPr>
        <w:t>交货及付款</w:t>
      </w:r>
      <w:r>
        <w:rPr>
          <w:rFonts w:hint="eastAsia" w:ascii="宋体" w:hAnsi="宋体" w:eastAsia="宋体" w:cs="宋体"/>
          <w:b/>
          <w:bCs/>
          <w:sz w:val="24"/>
          <w:szCs w:val="24"/>
        </w:rPr>
        <w:tab/>
      </w:r>
    </w:p>
    <w:p w14:paraId="1115D14A">
      <w:pPr>
        <w:pStyle w:val="20"/>
        <w:spacing w:line="360" w:lineRule="auto"/>
        <w:ind w:firstLine="480" w:firstLineChars="200"/>
        <w:rPr>
          <w:rFonts w:hAnsi="宋体" w:eastAsia="宋体" w:cs="宋体"/>
          <w:sz w:val="24"/>
          <w:szCs w:val="24"/>
        </w:rPr>
      </w:pPr>
      <w:r>
        <w:rPr>
          <w:rFonts w:hint="eastAsia" w:hAnsi="宋体" w:eastAsia="宋体" w:cs="宋体"/>
          <w:color w:val="000000"/>
          <w:sz w:val="24"/>
          <w:szCs w:val="24"/>
        </w:rPr>
        <w:t>交货期、交货地点、交货方式、付款方式及比例见《投标须知前附表》第7条。</w:t>
      </w:r>
    </w:p>
    <w:p w14:paraId="121F6719">
      <w:pPr>
        <w:keepNext/>
        <w:keepLines/>
        <w:spacing w:line="360" w:lineRule="auto"/>
        <w:outlineLvl w:val="1"/>
        <w:rPr>
          <w:rFonts w:ascii="宋体" w:hAnsi="宋体" w:eastAsia="宋体" w:cs="宋体"/>
          <w:b/>
          <w:bCs/>
          <w:sz w:val="24"/>
          <w:szCs w:val="24"/>
        </w:rPr>
      </w:pPr>
      <w:r>
        <w:rPr>
          <w:rFonts w:hint="eastAsia" w:ascii="宋体" w:hAnsi="宋体" w:eastAsia="宋体" w:cs="宋体"/>
          <w:b/>
          <w:bCs/>
          <w:sz w:val="24"/>
          <w:szCs w:val="24"/>
        </w:rPr>
        <w:t>四、投标说明</w:t>
      </w:r>
    </w:p>
    <w:p w14:paraId="421C3C60">
      <w:pPr>
        <w:keepNext/>
        <w:keepLines/>
        <w:spacing w:line="360" w:lineRule="auto"/>
        <w:ind w:firstLine="482" w:firstLineChars="200"/>
        <w:outlineLvl w:val="2"/>
        <w:rPr>
          <w:rFonts w:ascii="宋体" w:hAnsi="宋体" w:eastAsia="宋体" w:cs="宋体"/>
          <w:b/>
          <w:bCs/>
          <w:color w:val="000000"/>
          <w:sz w:val="24"/>
          <w:szCs w:val="24"/>
        </w:rPr>
      </w:pPr>
      <w:r>
        <w:rPr>
          <w:rFonts w:hint="eastAsia" w:ascii="宋体" w:hAnsi="宋体" w:eastAsia="宋体" w:cs="宋体"/>
          <w:b/>
          <w:bCs/>
          <w:color w:val="000000"/>
          <w:sz w:val="24"/>
          <w:szCs w:val="24"/>
        </w:rPr>
        <w:t>1.报名方式</w:t>
      </w:r>
    </w:p>
    <w:p w14:paraId="39070525">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投标人根据招标人在中国重汽官网等公开媒体上发布的招标信息，在“中国重汽</w:t>
      </w:r>
      <w:r>
        <w:rPr>
          <w:rFonts w:ascii="宋体" w:hAnsi="宋体" w:eastAsia="宋体" w:cs="宋体"/>
          <w:color w:val="000000"/>
          <w:sz w:val="24"/>
          <w:szCs w:val="24"/>
        </w:rPr>
        <w:t>e采通”平台报名。按照中国重汽e采通“SRM非生产供应商注册手册（附件15）”进行注册，注册完毕后按照</w:t>
      </w:r>
      <w:r>
        <w:rPr>
          <w:rFonts w:ascii="宋体" w:hAnsi="宋体" w:eastAsia="宋体" w:cs="宋体"/>
          <w:b/>
          <w:color w:val="000000"/>
          <w:sz w:val="24"/>
          <w:szCs w:val="24"/>
        </w:rPr>
        <w:t>“SRM系统供应商用户手册（附件16）”登录系统</w:t>
      </w:r>
      <w:r>
        <w:rPr>
          <w:rFonts w:ascii="宋体" w:hAnsi="宋体" w:eastAsia="宋体" w:cs="宋体"/>
          <w:color w:val="000000"/>
          <w:sz w:val="24"/>
          <w:szCs w:val="24"/>
        </w:rPr>
        <w:t>，进入“供应商应标”，选择对应的项目，点击“应标”后按照招标文件第三部分投标文件组成资格证明文件中的1.1-1.13准备资料并上传，资质审查通过即为报名成功，公示期间请尽快报名。</w:t>
      </w:r>
    </w:p>
    <w:p w14:paraId="14E3E440">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投标保证金缴纳的时候，</w:t>
      </w:r>
      <w:r>
        <w:rPr>
          <w:rFonts w:hint="eastAsia" w:ascii="宋体" w:hAnsi="宋体" w:eastAsia="宋体" w:cs="宋体"/>
          <w:b/>
          <w:color w:val="000000"/>
          <w:sz w:val="24"/>
          <w:szCs w:val="24"/>
        </w:rPr>
        <w:t>务必备注所投标的项目名称</w:t>
      </w:r>
      <w:r>
        <w:rPr>
          <w:rFonts w:hint="eastAsia" w:ascii="宋体" w:hAnsi="宋体" w:eastAsia="宋体" w:cs="宋体"/>
          <w:color w:val="000000"/>
          <w:sz w:val="24"/>
          <w:szCs w:val="24"/>
        </w:rPr>
        <w:t>。</w:t>
      </w:r>
    </w:p>
    <w:p w14:paraId="15C7F25E">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不按要求报名的，或因未提供相关信息导致后期无法退回保证金的，需投标人承担责任。</w:t>
      </w:r>
    </w:p>
    <w:p w14:paraId="14E4A8B7">
      <w:pPr>
        <w:keepNext/>
        <w:keepLines/>
        <w:numPr>
          <w:ilvl w:val="0"/>
          <w:numId w:val="14"/>
        </w:numPr>
        <w:spacing w:line="360" w:lineRule="auto"/>
        <w:ind w:firstLine="482" w:firstLineChars="200"/>
        <w:outlineLvl w:val="2"/>
        <w:rPr>
          <w:rFonts w:ascii="宋体" w:hAnsi="宋体" w:eastAsia="宋体" w:cs="宋体"/>
          <w:b/>
          <w:bCs/>
          <w:color w:val="000000"/>
          <w:sz w:val="24"/>
          <w:szCs w:val="24"/>
        </w:rPr>
      </w:pPr>
      <w:r>
        <w:rPr>
          <w:rFonts w:hint="eastAsia" w:ascii="宋体" w:hAnsi="宋体" w:eastAsia="宋体" w:cs="宋体"/>
          <w:b/>
          <w:bCs/>
          <w:color w:val="000000"/>
          <w:sz w:val="24"/>
          <w:szCs w:val="24"/>
        </w:rPr>
        <w:t>投标条件</w:t>
      </w:r>
    </w:p>
    <w:p w14:paraId="352C9E04">
      <w:pPr>
        <w:pStyle w:val="20"/>
        <w:spacing w:line="360" w:lineRule="auto"/>
        <w:ind w:firstLine="480"/>
        <w:rPr>
          <w:rFonts w:hAnsi="宋体" w:eastAsia="宋体" w:cs="宋体"/>
          <w:b/>
          <w:color w:val="000000"/>
          <w:sz w:val="24"/>
          <w:szCs w:val="24"/>
        </w:rPr>
      </w:pPr>
      <w:r>
        <w:rPr>
          <w:rFonts w:hint="eastAsia" w:hAnsi="宋体" w:eastAsia="宋体" w:cs="宋体"/>
          <w:b/>
          <w:bCs/>
          <w:color w:val="000000"/>
          <w:sz w:val="24"/>
          <w:szCs w:val="24"/>
        </w:rPr>
        <w:t>对于中国境内投标人，投标条件详见招标文件“第二部分投标须知前附表1.6”。</w:t>
      </w:r>
    </w:p>
    <w:p w14:paraId="0B0C5828">
      <w:pPr>
        <w:keepNext/>
        <w:keepLines/>
        <w:spacing w:line="360" w:lineRule="auto"/>
        <w:ind w:firstLine="482" w:firstLineChars="200"/>
        <w:outlineLvl w:val="2"/>
        <w:rPr>
          <w:rFonts w:ascii="宋体" w:hAnsi="宋体" w:eastAsia="宋体" w:cs="宋体"/>
          <w:b/>
          <w:bCs/>
          <w:color w:val="000000"/>
          <w:sz w:val="24"/>
          <w:szCs w:val="24"/>
        </w:rPr>
      </w:pPr>
      <w:r>
        <w:rPr>
          <w:rFonts w:hint="eastAsia" w:ascii="宋体" w:hAnsi="宋体" w:eastAsia="宋体" w:cs="宋体"/>
          <w:b/>
          <w:bCs/>
          <w:color w:val="000000"/>
          <w:sz w:val="24"/>
          <w:szCs w:val="24"/>
        </w:rPr>
        <w:t>3.报价</w:t>
      </w:r>
    </w:p>
    <w:p w14:paraId="4656B784">
      <w:pPr>
        <w:pStyle w:val="20"/>
        <w:spacing w:line="360" w:lineRule="auto"/>
        <w:ind w:firstLine="480" w:firstLineChars="200"/>
        <w:rPr>
          <w:rFonts w:hAnsi="宋体" w:eastAsia="宋体" w:cs="宋体"/>
          <w:color w:val="000000"/>
          <w:sz w:val="24"/>
          <w:szCs w:val="24"/>
        </w:rPr>
      </w:pPr>
      <w:r>
        <w:rPr>
          <w:rFonts w:hint="eastAsia" w:hAnsi="宋体" w:eastAsia="宋体" w:cs="宋体"/>
          <w:color w:val="000000"/>
          <w:sz w:val="24"/>
          <w:szCs w:val="24"/>
        </w:rPr>
        <w:t>3.1</w:t>
      </w:r>
      <w:r>
        <w:rPr>
          <w:rFonts w:hint="eastAsia" w:hAnsi="宋体" w:eastAsia="宋体" w:cs="宋体"/>
          <w:sz w:val="24"/>
          <w:szCs w:val="24"/>
        </w:rPr>
        <w:t>本次招投标为</w:t>
      </w:r>
      <w:r>
        <w:rPr>
          <w:rFonts w:hint="eastAsia" w:hAnsi="宋体" w:eastAsia="宋体" w:cs="宋体"/>
          <w:sz w:val="24"/>
          <w:szCs w:val="24"/>
          <w:lang w:val="en-US" w:eastAsia="zh-CN"/>
        </w:rPr>
        <w:t>公开</w:t>
      </w:r>
      <w:r>
        <w:rPr>
          <w:rFonts w:hint="eastAsia" w:hAnsi="宋体" w:eastAsia="宋体" w:cs="宋体"/>
          <w:color w:val="000000"/>
          <w:sz w:val="24"/>
          <w:szCs w:val="24"/>
        </w:rPr>
        <w:t>招标</w:t>
      </w:r>
      <w:r>
        <w:rPr>
          <w:rFonts w:hint="eastAsia" w:hAnsi="宋体" w:eastAsia="宋体" w:cs="宋体"/>
          <w:b/>
          <w:sz w:val="24"/>
          <w:szCs w:val="24"/>
        </w:rPr>
        <w:t>；</w:t>
      </w:r>
      <w:r>
        <w:rPr>
          <w:rFonts w:hint="eastAsia" w:hAnsi="宋体" w:eastAsia="宋体" w:cs="宋体"/>
          <w:color w:val="000000"/>
          <w:sz w:val="24"/>
          <w:szCs w:val="24"/>
        </w:rPr>
        <w:t>评标流程以及规则详见本部分第六条评标原则。</w:t>
      </w:r>
    </w:p>
    <w:p w14:paraId="05056B1F">
      <w:pPr>
        <w:pStyle w:val="20"/>
        <w:spacing w:line="360" w:lineRule="auto"/>
        <w:ind w:firstLine="480" w:firstLineChars="200"/>
        <w:rPr>
          <w:rFonts w:hAnsi="宋体" w:eastAsia="宋体" w:cs="宋体"/>
          <w:color w:val="000000"/>
          <w:sz w:val="24"/>
          <w:szCs w:val="24"/>
        </w:rPr>
      </w:pPr>
      <w:r>
        <w:rPr>
          <w:rFonts w:hint="eastAsia" w:hAnsi="宋体" w:eastAsia="宋体" w:cs="宋体"/>
          <w:sz w:val="24"/>
          <w:szCs w:val="24"/>
        </w:rPr>
        <w:t>如需要，由投标人自行勘察现场，进行合理报价。投标总报价应包括设备费、原厂服务费及相关配件、随机资料、人身保险、税费、包装、装箱、安装调试</w:t>
      </w:r>
      <w:r>
        <w:rPr>
          <w:rFonts w:hAnsi="宋体" w:eastAsia="宋体" w:cs="宋体"/>
          <w:sz w:val="24"/>
          <w:szCs w:val="24"/>
        </w:rPr>
        <w:t>、与其他专业配合、配合办理竣工验收（交钥匙）手续及可预见的风险以及其它不可预见等全部费用。</w:t>
      </w:r>
    </w:p>
    <w:p w14:paraId="72A0A264">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3.2</w:t>
      </w:r>
      <w:r>
        <w:rPr>
          <w:rFonts w:hint="eastAsia" w:ascii="宋体" w:hAnsi="宋体" w:eastAsia="宋体" w:cs="宋体"/>
          <w:b/>
          <w:bCs/>
          <w:color w:val="000000"/>
          <w:sz w:val="24"/>
          <w:szCs w:val="24"/>
        </w:rPr>
        <w:t>所有设备的报价货币单位为：</w:t>
      </w:r>
      <w:r>
        <w:rPr>
          <w:rFonts w:hint="eastAsia" w:ascii="宋体" w:hAnsi="宋体" w:eastAsia="宋体" w:cs="宋体"/>
          <w:b/>
          <w:bCs/>
          <w:color w:val="000000"/>
          <w:sz w:val="24"/>
          <w:szCs w:val="24"/>
          <w:u w:val="single"/>
        </w:rPr>
        <w:t xml:space="preserve">         </w:t>
      </w:r>
      <w:r>
        <w:rPr>
          <w:rFonts w:hint="eastAsia" w:ascii="宋体" w:hAnsi="宋体" w:eastAsia="宋体" w:cs="宋体"/>
          <w:b/>
          <w:bCs/>
          <w:color w:val="000000"/>
          <w:sz w:val="24"/>
          <w:szCs w:val="24"/>
        </w:rPr>
        <w:t>元【人民币（应同时报含税价和不含税价并写明税率）】。</w:t>
      </w:r>
    </w:p>
    <w:p w14:paraId="1D8A11F3">
      <w:pPr>
        <w:keepNext/>
        <w:keepLines/>
        <w:spacing w:line="360" w:lineRule="auto"/>
        <w:ind w:firstLine="482" w:firstLineChars="200"/>
        <w:outlineLvl w:val="2"/>
        <w:rPr>
          <w:rFonts w:ascii="宋体" w:hAnsi="宋体" w:eastAsia="宋体" w:cs="宋体"/>
          <w:sz w:val="24"/>
          <w:szCs w:val="24"/>
        </w:rPr>
      </w:pPr>
      <w:r>
        <w:rPr>
          <w:rFonts w:hint="eastAsia" w:ascii="宋体" w:hAnsi="宋体" w:eastAsia="宋体" w:cs="宋体"/>
          <w:b/>
          <w:bCs/>
          <w:color w:val="000000"/>
          <w:sz w:val="24"/>
          <w:szCs w:val="24"/>
        </w:rPr>
        <w:t>4.设备要求：</w:t>
      </w:r>
    </w:p>
    <w:p w14:paraId="5223CA18">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4.1投标设备技术参数和总体要求按《技术标书》执行；</w:t>
      </w:r>
    </w:p>
    <w:p w14:paraId="6E11D943">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4.2设备制造完毕经出厂检验合格后方能发货；</w:t>
      </w:r>
    </w:p>
    <w:p w14:paraId="7364FA36">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4.3设备包装参考技术标书中包装要求；</w:t>
      </w:r>
    </w:p>
    <w:p w14:paraId="2E9B42F1">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4.4设备交货，招标方安排集装箱到投标方加工厂提货及运输，投标方负责货物包装、集装箱装箱，否则买方有权拒绝接受货物；</w:t>
      </w:r>
    </w:p>
    <w:p w14:paraId="061853CF">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4.5投标企业按技术规范书提报设备详细技术资料；</w:t>
      </w:r>
    </w:p>
    <w:p w14:paraId="42126923">
      <w:pPr>
        <w:pStyle w:val="20"/>
        <w:spacing w:line="360" w:lineRule="auto"/>
        <w:ind w:firstLine="480" w:firstLineChars="200"/>
        <w:rPr>
          <w:rFonts w:hAnsi="宋体" w:eastAsia="宋体" w:cs="宋体"/>
          <w:color w:val="000000"/>
          <w:sz w:val="24"/>
          <w:szCs w:val="24"/>
        </w:rPr>
      </w:pPr>
      <w:r>
        <w:rPr>
          <w:rFonts w:hint="eastAsia" w:hAnsi="宋体" w:eastAsia="宋体" w:cs="宋体"/>
          <w:color w:val="000000"/>
          <w:sz w:val="24"/>
          <w:szCs w:val="24"/>
        </w:rPr>
        <w:t>4.6设备所安装的操作系统及系统开发的软件均为正版，投标人是系统软件的所有权人或已获知识产权所有权人的正式授权，对该系统软件拥有合法的知识产权或具有合法的来源，在有关知识产权中不存在任何侵犯第三方的权益；</w:t>
      </w:r>
    </w:p>
    <w:p w14:paraId="5AE15FD6">
      <w:pPr>
        <w:pStyle w:val="20"/>
        <w:spacing w:line="360" w:lineRule="auto"/>
        <w:ind w:firstLine="480" w:firstLineChars="200"/>
        <w:rPr>
          <w:rFonts w:hAnsi="宋体" w:eastAsia="宋体" w:cs="宋体"/>
          <w:color w:val="000000"/>
          <w:sz w:val="24"/>
          <w:szCs w:val="24"/>
        </w:rPr>
      </w:pPr>
      <w:r>
        <w:rPr>
          <w:rFonts w:hint="eastAsia" w:hAnsi="宋体" w:eastAsia="宋体" w:cs="宋体"/>
          <w:color w:val="000000"/>
          <w:sz w:val="24"/>
          <w:szCs w:val="24"/>
        </w:rPr>
        <w:t>4.7设备设施颜色依据招标方要求。</w:t>
      </w:r>
    </w:p>
    <w:p w14:paraId="715BC9A6">
      <w:pPr>
        <w:keepNext/>
        <w:keepLines/>
        <w:spacing w:line="360" w:lineRule="auto"/>
        <w:ind w:firstLine="482" w:firstLineChars="200"/>
        <w:outlineLvl w:val="2"/>
        <w:rPr>
          <w:rFonts w:ascii="宋体" w:hAnsi="宋体" w:eastAsia="宋体" w:cs="宋体"/>
          <w:b/>
          <w:bCs/>
          <w:color w:val="000000"/>
          <w:sz w:val="24"/>
          <w:szCs w:val="24"/>
        </w:rPr>
      </w:pPr>
      <w:r>
        <w:rPr>
          <w:rFonts w:hint="eastAsia" w:ascii="宋体" w:hAnsi="宋体" w:eastAsia="宋体" w:cs="宋体"/>
          <w:b/>
          <w:bCs/>
          <w:color w:val="000000"/>
          <w:sz w:val="24"/>
          <w:szCs w:val="24"/>
        </w:rPr>
        <w:t>5.其他要求</w:t>
      </w:r>
    </w:p>
    <w:p w14:paraId="7C71386B">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包装、检验、交付、安装、调试、培训、结算、质保及售后服务等，按《技术标书》要求，在标书中列示说明，最终以合同约定为准。</w:t>
      </w:r>
    </w:p>
    <w:p w14:paraId="5018758E">
      <w:pPr>
        <w:keepNext/>
        <w:keepLines/>
        <w:spacing w:line="360" w:lineRule="auto"/>
        <w:ind w:firstLine="482" w:firstLineChars="200"/>
        <w:outlineLvl w:val="2"/>
        <w:rPr>
          <w:rFonts w:ascii="宋体" w:hAnsi="宋体" w:eastAsia="宋体" w:cs="宋体"/>
          <w:b/>
          <w:bCs/>
          <w:color w:val="000000"/>
          <w:sz w:val="24"/>
          <w:szCs w:val="24"/>
        </w:rPr>
      </w:pPr>
      <w:r>
        <w:rPr>
          <w:rFonts w:hint="eastAsia" w:ascii="宋体" w:hAnsi="宋体" w:eastAsia="宋体" w:cs="宋体"/>
          <w:b/>
          <w:bCs/>
          <w:color w:val="000000"/>
          <w:sz w:val="24"/>
          <w:szCs w:val="24"/>
        </w:rPr>
        <w:t>6.询标</w:t>
      </w:r>
    </w:p>
    <w:p w14:paraId="3B5C82E9">
      <w:pPr>
        <w:keepNext/>
        <w:keepLines/>
        <w:spacing w:line="360" w:lineRule="auto"/>
        <w:ind w:firstLine="480" w:firstLineChars="200"/>
        <w:rPr>
          <w:rFonts w:ascii="宋体" w:hAnsi="宋体" w:eastAsia="宋体" w:cs="宋体"/>
          <w:b/>
          <w:bCs/>
          <w:color w:val="000000"/>
          <w:sz w:val="24"/>
          <w:szCs w:val="24"/>
        </w:rPr>
      </w:pPr>
      <w:r>
        <w:rPr>
          <w:rFonts w:hint="eastAsia" w:ascii="宋体" w:hAnsi="宋体" w:eastAsia="宋体" w:cs="宋体"/>
          <w:color w:val="000000"/>
          <w:sz w:val="24"/>
          <w:szCs w:val="24"/>
        </w:rPr>
        <w:t>凡对本次招标提出的询问，均以招标人的书面答复为准。</w:t>
      </w:r>
    </w:p>
    <w:p w14:paraId="55A50649">
      <w:pPr>
        <w:keepNext/>
        <w:keepLines/>
        <w:spacing w:line="360" w:lineRule="auto"/>
        <w:outlineLvl w:val="1"/>
        <w:rPr>
          <w:rFonts w:ascii="宋体" w:hAnsi="宋体" w:eastAsia="宋体" w:cs="宋体"/>
          <w:b/>
          <w:bCs/>
          <w:color w:val="000000"/>
          <w:sz w:val="24"/>
          <w:szCs w:val="24"/>
        </w:rPr>
      </w:pPr>
      <w:r>
        <w:rPr>
          <w:rFonts w:hint="eastAsia" w:ascii="宋体" w:hAnsi="宋体" w:eastAsia="宋体" w:cs="宋体"/>
          <w:b/>
          <w:bCs/>
          <w:color w:val="000000"/>
          <w:sz w:val="24"/>
          <w:szCs w:val="24"/>
        </w:rPr>
        <w:t>五、议程安排</w:t>
      </w:r>
    </w:p>
    <w:p w14:paraId="3EA80ED7">
      <w:pPr>
        <w:keepNext/>
        <w:keepLines/>
        <w:spacing w:line="360" w:lineRule="auto"/>
        <w:ind w:firstLine="482" w:firstLineChars="200"/>
        <w:outlineLvl w:val="2"/>
        <w:rPr>
          <w:rFonts w:ascii="宋体" w:hAnsi="宋体" w:eastAsia="宋体" w:cs="宋体"/>
          <w:color w:val="000000"/>
          <w:sz w:val="24"/>
          <w:szCs w:val="24"/>
        </w:rPr>
      </w:pPr>
      <w:r>
        <w:rPr>
          <w:rFonts w:hint="eastAsia" w:ascii="宋体" w:hAnsi="宋体" w:eastAsia="宋体" w:cs="宋体"/>
          <w:b/>
          <w:bCs/>
          <w:color w:val="000000"/>
          <w:sz w:val="24"/>
          <w:szCs w:val="24"/>
        </w:rPr>
        <w:t>1.发标时间</w:t>
      </w:r>
    </w:p>
    <w:p w14:paraId="72BBDC44">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见《投标须知前附表》2.1。</w:t>
      </w:r>
    </w:p>
    <w:p w14:paraId="113A0B5A">
      <w:pPr>
        <w:keepNext/>
        <w:keepLines/>
        <w:spacing w:line="360" w:lineRule="auto"/>
        <w:ind w:firstLine="482" w:firstLineChars="200"/>
        <w:outlineLvl w:val="2"/>
        <w:rPr>
          <w:rFonts w:ascii="宋体" w:hAnsi="宋体" w:eastAsia="宋体" w:cs="宋体"/>
          <w:b/>
          <w:bCs/>
          <w:color w:val="000000"/>
          <w:sz w:val="24"/>
          <w:szCs w:val="24"/>
        </w:rPr>
      </w:pPr>
      <w:r>
        <w:rPr>
          <w:rFonts w:hint="eastAsia" w:ascii="宋体" w:hAnsi="宋体" w:eastAsia="宋体" w:cs="宋体"/>
          <w:b/>
          <w:bCs/>
          <w:color w:val="000000"/>
          <w:sz w:val="24"/>
          <w:szCs w:val="24"/>
        </w:rPr>
        <w:t>2.发标方式</w:t>
      </w:r>
    </w:p>
    <w:p w14:paraId="32678E5C">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见《投标须知前附表》2.1。</w:t>
      </w:r>
    </w:p>
    <w:p w14:paraId="04552DC4">
      <w:pPr>
        <w:keepNext/>
        <w:keepLines/>
        <w:spacing w:line="360" w:lineRule="auto"/>
        <w:ind w:firstLine="482" w:firstLineChars="200"/>
        <w:outlineLvl w:val="2"/>
        <w:rPr>
          <w:rFonts w:ascii="宋体" w:hAnsi="宋体" w:eastAsia="宋体" w:cs="宋体"/>
          <w:b/>
          <w:bCs/>
          <w:color w:val="000000"/>
          <w:sz w:val="24"/>
          <w:szCs w:val="24"/>
        </w:rPr>
      </w:pPr>
      <w:r>
        <w:rPr>
          <w:rFonts w:hint="eastAsia" w:ascii="宋体" w:hAnsi="宋体" w:eastAsia="宋体" w:cs="宋体"/>
          <w:b/>
          <w:bCs/>
          <w:color w:val="000000"/>
          <w:sz w:val="24"/>
          <w:szCs w:val="24"/>
        </w:rPr>
        <w:t>3.答疑</w:t>
      </w:r>
    </w:p>
    <w:p w14:paraId="3BC21F88">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见《投标须知前附表》第二条，逾期不受理。</w:t>
      </w:r>
    </w:p>
    <w:p w14:paraId="1776E24F">
      <w:pPr>
        <w:keepNext/>
        <w:keepLines/>
        <w:spacing w:line="360" w:lineRule="auto"/>
        <w:ind w:firstLine="482" w:firstLineChars="200"/>
        <w:outlineLvl w:val="2"/>
        <w:rPr>
          <w:rFonts w:ascii="宋体" w:hAnsi="宋体" w:eastAsia="宋体" w:cs="宋体"/>
          <w:b/>
          <w:bCs/>
          <w:color w:val="000000"/>
          <w:sz w:val="24"/>
          <w:szCs w:val="24"/>
        </w:rPr>
      </w:pPr>
      <w:r>
        <w:rPr>
          <w:rFonts w:hint="eastAsia" w:ascii="宋体" w:hAnsi="宋体" w:eastAsia="宋体" w:cs="宋体"/>
          <w:b/>
          <w:bCs/>
          <w:color w:val="000000"/>
          <w:sz w:val="24"/>
          <w:szCs w:val="24"/>
        </w:rPr>
        <w:t>4.投标报名</w:t>
      </w:r>
    </w:p>
    <w:p w14:paraId="23604DDA">
      <w:pPr>
        <w:keepNext/>
        <w:keepLines/>
        <w:spacing w:line="360" w:lineRule="auto"/>
        <w:ind w:firstLine="482"/>
        <w:rPr>
          <w:rFonts w:ascii="宋体" w:hAnsi="宋体" w:eastAsia="宋体" w:cs="宋体"/>
          <w:sz w:val="24"/>
          <w:szCs w:val="24"/>
        </w:rPr>
      </w:pPr>
      <w:r>
        <w:rPr>
          <w:rFonts w:hint="eastAsia" w:ascii="宋体" w:hAnsi="宋体" w:eastAsia="宋体" w:cs="宋体"/>
          <w:sz w:val="24"/>
          <w:szCs w:val="24"/>
        </w:rPr>
        <w:t>4.1投标人在报名参与本项目的同时，应提供项目投标保证金。投标保证金应在规定的时间前将投标保证金从投标人单位基本帐户转出并到账，否则按否决投标处理；未按规定提交保证金的投标人，其投标文件按否决投标处理。（保证金具体金额及缴纳截止时间见《投标须知前附表》4.2和4.3）。</w:t>
      </w:r>
    </w:p>
    <w:p w14:paraId="216E9B31">
      <w:pPr>
        <w:pStyle w:val="119"/>
        <w:ind w:firstLine="480"/>
        <w:rPr>
          <w:rFonts w:eastAsia="宋体" w:cs="宋体"/>
        </w:rPr>
      </w:pPr>
      <w:r>
        <w:rPr>
          <w:rFonts w:hint="eastAsia" w:eastAsia="宋体" w:cs="宋体"/>
        </w:rPr>
        <w:t>4.2招标人银行账户信息如下：见《投标须知前附表》4.2。</w:t>
      </w:r>
    </w:p>
    <w:p w14:paraId="0BD773DC">
      <w:pPr>
        <w:pStyle w:val="119"/>
        <w:ind w:firstLine="480"/>
        <w:rPr>
          <w:rFonts w:eastAsia="宋体" w:cs="宋体"/>
        </w:rPr>
      </w:pPr>
      <w:r>
        <w:rPr>
          <w:rFonts w:hint="eastAsia" w:eastAsia="宋体" w:cs="宋体"/>
        </w:rPr>
        <w:t>转账附言：公司名称+项目名称+投标保证金；</w:t>
      </w:r>
    </w:p>
    <w:p w14:paraId="789D7E5C">
      <w:pPr>
        <w:pStyle w:val="119"/>
        <w:ind w:firstLine="480"/>
        <w:rPr>
          <w:rFonts w:eastAsia="宋体" w:cs="宋体"/>
        </w:rPr>
      </w:pPr>
      <w:r>
        <w:rPr>
          <w:rFonts w:hint="eastAsia" w:eastAsia="宋体" w:cs="宋体"/>
        </w:rPr>
        <w:t>对于没有中标的投标人，投标保证金将于招标人内部完成中标人评审并确认最终中标人后在30工作日内予以原路返还（无息）；对于中标方，投标保证金将在签订合同后30个工作日内原路返还（无息）；</w:t>
      </w:r>
    </w:p>
    <w:p w14:paraId="39F47FE6">
      <w:pPr>
        <w:pStyle w:val="119"/>
        <w:ind w:firstLine="480"/>
        <w:rPr>
          <w:rFonts w:eastAsia="宋体" w:cs="宋体"/>
        </w:rPr>
      </w:pPr>
      <w:r>
        <w:rPr>
          <w:rFonts w:hint="eastAsia" w:eastAsia="宋体" w:cs="宋体"/>
        </w:rPr>
        <w:t>4.3说明</w:t>
      </w:r>
    </w:p>
    <w:p w14:paraId="257349BE">
      <w:pPr>
        <w:pStyle w:val="119"/>
        <w:ind w:firstLine="480"/>
        <w:rPr>
          <w:rFonts w:eastAsia="宋体" w:cs="宋体"/>
        </w:rPr>
      </w:pPr>
      <w:r>
        <w:rPr>
          <w:rFonts w:hint="eastAsia" w:eastAsia="宋体" w:cs="宋体"/>
        </w:rPr>
        <w:t>4.3.1 投标人在向招标人出示《投标保证金缴纳凭证》后方可进行投标；</w:t>
      </w:r>
    </w:p>
    <w:p w14:paraId="7BE02E1F">
      <w:pPr>
        <w:pStyle w:val="119"/>
        <w:ind w:firstLine="480"/>
        <w:rPr>
          <w:rFonts w:eastAsia="宋体" w:cs="宋体"/>
        </w:rPr>
      </w:pPr>
      <w:r>
        <w:rPr>
          <w:rFonts w:hint="eastAsia" w:eastAsia="宋体" w:cs="宋体"/>
        </w:rPr>
        <w:t>4.3.2 发生以下情况时，招标人有权没收保证金：</w:t>
      </w:r>
    </w:p>
    <w:p w14:paraId="7C67191F">
      <w:pPr>
        <w:pStyle w:val="119"/>
        <w:ind w:firstLine="480"/>
        <w:rPr>
          <w:rFonts w:eastAsia="宋体" w:cs="宋体"/>
        </w:rPr>
      </w:pPr>
      <w:r>
        <w:rPr>
          <w:rFonts w:hint="eastAsia" w:eastAsia="宋体" w:cs="宋体"/>
        </w:rPr>
        <w:t>4.3.2.1 截至开标前3天，投标人无正当理由且未以书面形式递交说明而在投标截止日不来投标的；</w:t>
      </w:r>
    </w:p>
    <w:p w14:paraId="2E7EE36B">
      <w:pPr>
        <w:pStyle w:val="119"/>
        <w:ind w:firstLine="480"/>
        <w:rPr>
          <w:rFonts w:eastAsia="宋体" w:cs="宋体"/>
        </w:rPr>
      </w:pPr>
      <w:r>
        <w:rPr>
          <w:rFonts w:hint="eastAsia" w:eastAsia="宋体" w:cs="宋体"/>
        </w:rPr>
        <w:t>4.3.2.2 投标人递送投标文件后，无正当理由放弃投标的；</w:t>
      </w:r>
    </w:p>
    <w:p w14:paraId="3A963EC3">
      <w:pPr>
        <w:pStyle w:val="119"/>
        <w:ind w:firstLine="480"/>
        <w:rPr>
          <w:rFonts w:eastAsia="宋体" w:cs="宋体"/>
        </w:rPr>
      </w:pPr>
      <w:r>
        <w:rPr>
          <w:rFonts w:hint="eastAsia" w:eastAsia="宋体" w:cs="宋体"/>
        </w:rPr>
        <w:t>4.3.2.3若为视频开标，招标过程中澄清函等资料原件未按要求提交的；</w:t>
      </w:r>
    </w:p>
    <w:p w14:paraId="05E7A84C">
      <w:pPr>
        <w:pStyle w:val="119"/>
        <w:ind w:firstLine="480"/>
        <w:rPr>
          <w:rFonts w:eastAsia="宋体" w:cs="宋体"/>
        </w:rPr>
      </w:pPr>
      <w:r>
        <w:rPr>
          <w:rFonts w:hint="eastAsia" w:eastAsia="宋体" w:cs="宋体"/>
        </w:rPr>
        <w:t>4.3.2.4自中标通知书发出之日起30日内，中标人无正当理由不签订合同的；</w:t>
      </w:r>
    </w:p>
    <w:p w14:paraId="6A784C37">
      <w:pPr>
        <w:pStyle w:val="119"/>
        <w:ind w:firstLine="480"/>
        <w:rPr>
          <w:rFonts w:eastAsia="宋体" w:cs="宋体"/>
        </w:rPr>
      </w:pPr>
      <w:r>
        <w:rPr>
          <w:rFonts w:hint="eastAsia" w:eastAsia="宋体" w:cs="宋体"/>
        </w:rPr>
        <w:t>4.3.2.5投标人在投标过程中被查实有串标、围标、陪标等违规违纪行为的；</w:t>
      </w:r>
    </w:p>
    <w:p w14:paraId="59F45324">
      <w:pPr>
        <w:spacing w:line="360" w:lineRule="auto"/>
        <w:ind w:right="2"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4.3.2.6投标人有违约违规行为或被投诉、举报的，在调查处理期间，保证金暂不退还，待调查处理结束后按有关规定处理。</w:t>
      </w:r>
    </w:p>
    <w:p w14:paraId="291166BB">
      <w:pPr>
        <w:pStyle w:val="119"/>
        <w:ind w:firstLine="480"/>
        <w:rPr>
          <w:rFonts w:eastAsia="宋体" w:cs="宋体"/>
        </w:rPr>
      </w:pPr>
      <w:r>
        <w:rPr>
          <w:rFonts w:hint="eastAsia" w:eastAsia="宋体" w:cs="宋体"/>
        </w:rPr>
        <w:t>4.4投标报名截止时间</w:t>
      </w:r>
    </w:p>
    <w:p w14:paraId="31338E4F">
      <w:pPr>
        <w:pStyle w:val="119"/>
        <w:ind w:firstLine="480"/>
        <w:rPr>
          <w:rFonts w:eastAsia="宋体" w:cs="宋体"/>
        </w:rPr>
      </w:pPr>
      <w:r>
        <w:rPr>
          <w:rFonts w:hint="eastAsia" w:eastAsia="宋体" w:cs="宋体"/>
        </w:rPr>
        <w:t>报名方式：见《投标须知前附表》2.3。</w:t>
      </w:r>
    </w:p>
    <w:p w14:paraId="41944353">
      <w:pPr>
        <w:pStyle w:val="119"/>
        <w:ind w:firstLine="480"/>
        <w:rPr>
          <w:rFonts w:eastAsia="宋体" w:cs="宋体"/>
        </w:rPr>
      </w:pPr>
      <w:r>
        <w:rPr>
          <w:rFonts w:hint="eastAsia" w:eastAsia="宋体" w:cs="宋体"/>
        </w:rPr>
        <w:t>报名提交资料：均为盖章电子扫描版，用“公司名称+文件名称”命名。</w:t>
      </w:r>
    </w:p>
    <w:p w14:paraId="14971079">
      <w:pPr>
        <w:numPr>
          <w:ilvl w:val="0"/>
          <w:numId w:val="15"/>
        </w:numPr>
        <w:spacing w:line="360" w:lineRule="auto"/>
        <w:rPr>
          <w:rFonts w:ascii="宋体" w:hAnsi="宋体" w:eastAsia="宋体" w:cs="宋体"/>
          <w:color w:val="000000"/>
          <w:sz w:val="24"/>
          <w:szCs w:val="24"/>
        </w:rPr>
      </w:pPr>
      <w:r>
        <w:rPr>
          <w:rFonts w:hint="eastAsia" w:ascii="宋体" w:hAnsi="宋体" w:eastAsia="宋体" w:cs="宋体"/>
          <w:b/>
          <w:color w:val="000000"/>
          <w:sz w:val="24"/>
          <w:szCs w:val="24"/>
        </w:rPr>
        <w:t>如果是授权委托人投标，</w:t>
      </w:r>
      <w:r>
        <w:rPr>
          <w:rFonts w:hint="eastAsia" w:ascii="宋体" w:hAnsi="宋体" w:eastAsia="宋体" w:cs="宋体"/>
          <w:color w:val="000000"/>
          <w:sz w:val="24"/>
          <w:szCs w:val="24"/>
        </w:rPr>
        <w:t>要提交营业执照副本、法人授权委托书（含法人及授权人身份信息证明、授权代表联系方式）。</w:t>
      </w:r>
    </w:p>
    <w:p w14:paraId="0D39A8A1">
      <w:pPr>
        <w:numPr>
          <w:ilvl w:val="0"/>
          <w:numId w:val="15"/>
        </w:numPr>
        <w:spacing w:line="360" w:lineRule="auto"/>
        <w:rPr>
          <w:rFonts w:ascii="宋体" w:hAnsi="宋体" w:eastAsia="宋体" w:cs="宋体"/>
          <w:color w:val="000000"/>
          <w:sz w:val="24"/>
          <w:szCs w:val="24"/>
        </w:rPr>
      </w:pPr>
      <w:r>
        <w:rPr>
          <w:rFonts w:hint="eastAsia" w:ascii="宋体" w:hAnsi="宋体" w:eastAsia="宋体" w:cs="宋体"/>
          <w:b/>
          <w:color w:val="000000"/>
          <w:sz w:val="24"/>
          <w:szCs w:val="24"/>
        </w:rPr>
        <w:t>如果是法人参加投标</w:t>
      </w:r>
      <w:r>
        <w:rPr>
          <w:rFonts w:hint="eastAsia" w:ascii="宋体" w:hAnsi="宋体" w:eastAsia="宋体" w:cs="宋体"/>
          <w:color w:val="000000"/>
          <w:sz w:val="24"/>
          <w:szCs w:val="24"/>
        </w:rPr>
        <w:t>，要提交营业执照副本、法人代表证明文件。</w:t>
      </w:r>
    </w:p>
    <w:p w14:paraId="15D7193E">
      <w:pPr>
        <w:keepNext/>
        <w:keepLines/>
        <w:spacing w:line="360" w:lineRule="auto"/>
        <w:ind w:firstLine="482" w:firstLineChars="200"/>
        <w:outlineLvl w:val="2"/>
        <w:rPr>
          <w:rFonts w:ascii="宋体" w:hAnsi="宋体" w:eastAsia="宋体" w:cs="宋体"/>
          <w:b/>
          <w:bCs/>
          <w:color w:val="000000"/>
          <w:sz w:val="24"/>
          <w:szCs w:val="24"/>
        </w:rPr>
      </w:pPr>
      <w:r>
        <w:rPr>
          <w:rFonts w:hint="eastAsia" w:ascii="宋体" w:hAnsi="宋体" w:eastAsia="宋体" w:cs="宋体"/>
          <w:b/>
          <w:bCs/>
          <w:color w:val="000000"/>
          <w:sz w:val="24"/>
          <w:szCs w:val="24"/>
        </w:rPr>
        <w:t>5.开标时间</w:t>
      </w:r>
    </w:p>
    <w:p w14:paraId="503D076F">
      <w:pPr>
        <w:keepNext/>
        <w:keepLines/>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见《投标须知前附表》5.1，若有变动另行通知。</w:t>
      </w:r>
    </w:p>
    <w:p w14:paraId="50252DE5">
      <w:pPr>
        <w:keepNext/>
        <w:keepLines/>
        <w:spacing w:line="360" w:lineRule="auto"/>
        <w:ind w:firstLine="482" w:firstLineChars="200"/>
        <w:outlineLvl w:val="2"/>
        <w:rPr>
          <w:rFonts w:ascii="宋体" w:hAnsi="宋体" w:eastAsia="宋体" w:cs="宋体"/>
          <w:b/>
          <w:bCs/>
          <w:color w:val="000000"/>
          <w:sz w:val="24"/>
          <w:szCs w:val="24"/>
        </w:rPr>
      </w:pPr>
      <w:r>
        <w:rPr>
          <w:rFonts w:hint="eastAsia" w:ascii="宋体" w:hAnsi="宋体" w:eastAsia="宋体" w:cs="宋体"/>
          <w:b/>
          <w:bCs/>
          <w:color w:val="000000"/>
          <w:sz w:val="24"/>
          <w:szCs w:val="24"/>
        </w:rPr>
        <w:t>6.开标方式</w:t>
      </w:r>
    </w:p>
    <w:p w14:paraId="3DB5CB69">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现场参与开标。</w:t>
      </w:r>
    </w:p>
    <w:p w14:paraId="15075115">
      <w:pPr>
        <w:spacing w:line="360" w:lineRule="auto"/>
        <w:jc w:val="left"/>
        <w:outlineLvl w:val="1"/>
        <w:rPr>
          <w:rFonts w:ascii="宋体" w:hAnsi="宋体" w:eastAsia="宋体" w:cs="宋体"/>
          <w:b/>
          <w:sz w:val="24"/>
          <w:szCs w:val="24"/>
        </w:rPr>
      </w:pPr>
      <w:bookmarkStart w:id="7" w:name="_Toc33267001"/>
      <w:bookmarkStart w:id="8" w:name="_Toc33266914"/>
      <w:bookmarkStart w:id="9" w:name="_Toc33285487"/>
      <w:bookmarkStart w:id="10" w:name="_Toc33266627"/>
      <w:bookmarkStart w:id="11" w:name="_Toc33265653"/>
      <w:bookmarkStart w:id="12" w:name="_Toc33265752"/>
      <w:bookmarkStart w:id="13" w:name="_Toc33266950"/>
      <w:r>
        <w:rPr>
          <w:rFonts w:hint="eastAsia" w:ascii="宋体" w:hAnsi="宋体" w:eastAsia="宋体" w:cs="宋体"/>
          <w:b/>
          <w:sz w:val="24"/>
          <w:szCs w:val="24"/>
        </w:rPr>
        <w:t>六、评价原则</w:t>
      </w:r>
      <w:bookmarkEnd w:id="7"/>
      <w:bookmarkEnd w:id="8"/>
      <w:bookmarkEnd w:id="9"/>
      <w:bookmarkEnd w:id="10"/>
      <w:bookmarkEnd w:id="11"/>
      <w:bookmarkEnd w:id="12"/>
      <w:bookmarkEnd w:id="13"/>
      <w:bookmarkStart w:id="14" w:name="_Toc395116633"/>
    </w:p>
    <w:bookmarkEnd w:id="14"/>
    <w:p w14:paraId="62B27B3D">
      <w:pPr>
        <w:spacing w:line="360" w:lineRule="auto"/>
        <w:ind w:firstLine="482" w:firstLineChars="200"/>
        <w:outlineLvl w:val="2"/>
        <w:rPr>
          <w:rFonts w:ascii="宋体" w:hAnsi="宋体" w:eastAsia="宋体" w:cs="宋体"/>
          <w:b/>
          <w:bCs/>
          <w:color w:val="000000"/>
          <w:sz w:val="24"/>
          <w:szCs w:val="24"/>
        </w:rPr>
      </w:pPr>
      <w:r>
        <w:rPr>
          <w:rFonts w:hint="eastAsia" w:ascii="宋体" w:hAnsi="宋体" w:eastAsia="宋体" w:cs="宋体"/>
          <w:b/>
          <w:bCs/>
          <w:color w:val="000000"/>
          <w:sz w:val="24"/>
          <w:szCs w:val="24"/>
        </w:rPr>
        <w:t>1.评标</w:t>
      </w:r>
    </w:p>
    <w:p w14:paraId="1DCDCE6F">
      <w:pPr>
        <w:adjustRightInd w:val="0"/>
        <w:snapToGrid w:val="0"/>
        <w:spacing w:line="360" w:lineRule="auto"/>
        <w:ind w:firstLine="480" w:firstLineChars="200"/>
        <w:rPr>
          <w:rFonts w:ascii="宋体" w:hAnsi="宋体" w:eastAsia="宋体" w:cs="宋体"/>
          <w:sz w:val="24"/>
          <w:szCs w:val="24"/>
          <w:highlight w:val="green"/>
        </w:rPr>
      </w:pPr>
      <w:bookmarkStart w:id="15" w:name="_Toc33285489"/>
      <w:bookmarkStart w:id="16" w:name="_Toc33265654"/>
      <w:bookmarkStart w:id="17" w:name="_Toc33266915"/>
      <w:bookmarkStart w:id="18" w:name="_Toc33266951"/>
      <w:bookmarkStart w:id="19" w:name="_Toc33266628"/>
      <w:bookmarkStart w:id="20" w:name="_Toc395116634"/>
      <w:bookmarkStart w:id="21" w:name="_Toc33267002"/>
      <w:bookmarkStart w:id="22" w:name="_Toc33265753"/>
      <w:r>
        <w:rPr>
          <w:rFonts w:hint="eastAsia" w:ascii="宋体" w:hAnsi="宋体" w:eastAsia="宋体" w:cs="宋体"/>
          <w:sz w:val="24"/>
          <w:szCs w:val="24"/>
        </w:rPr>
        <w:t>本次招标采用</w:t>
      </w:r>
      <w:r>
        <w:rPr>
          <w:rFonts w:hint="eastAsia" w:ascii="宋体" w:hAnsi="宋体" w:eastAsia="宋体" w:cs="宋体"/>
          <w:b/>
          <w:bCs/>
          <w:sz w:val="24"/>
          <w:szCs w:val="24"/>
        </w:rPr>
        <w:t>综合评分法</w:t>
      </w:r>
      <w:r>
        <w:rPr>
          <w:rFonts w:hint="eastAsia" w:ascii="宋体" w:hAnsi="宋体" w:eastAsia="宋体" w:cs="宋体"/>
          <w:sz w:val="24"/>
          <w:szCs w:val="24"/>
        </w:rPr>
        <w:t>（技术标权重</w:t>
      </w:r>
      <w:r>
        <w:rPr>
          <w:rFonts w:ascii="宋体" w:hAnsi="宋体" w:eastAsia="宋体" w:cs="宋体"/>
          <w:sz w:val="24"/>
          <w:szCs w:val="24"/>
        </w:rPr>
        <w:t>4</w:t>
      </w:r>
      <w:r>
        <w:rPr>
          <w:rFonts w:hint="eastAsia" w:ascii="宋体" w:hAnsi="宋体" w:eastAsia="宋体" w:cs="宋体"/>
          <w:sz w:val="24"/>
          <w:szCs w:val="24"/>
        </w:rPr>
        <w:t>0%，商务标权重</w:t>
      </w:r>
      <w:r>
        <w:rPr>
          <w:rFonts w:ascii="宋体" w:hAnsi="宋体" w:eastAsia="宋体" w:cs="宋体"/>
          <w:sz w:val="24"/>
          <w:szCs w:val="24"/>
        </w:rPr>
        <w:t>6</w:t>
      </w:r>
      <w:r>
        <w:rPr>
          <w:rFonts w:hint="eastAsia" w:ascii="宋体" w:hAnsi="宋体" w:eastAsia="宋体" w:cs="宋体"/>
          <w:sz w:val="24"/>
          <w:szCs w:val="24"/>
        </w:rPr>
        <w:t>0%；技术标得分按百分制打分，技术标得分80分及以上入围商务标。商务标得分=当前轮次最低价/供方投标价×</w:t>
      </w:r>
      <w:r>
        <w:rPr>
          <w:rFonts w:ascii="宋体" w:hAnsi="宋体" w:eastAsia="宋体" w:cs="宋体"/>
          <w:sz w:val="24"/>
          <w:szCs w:val="24"/>
        </w:rPr>
        <w:t>60%</w:t>
      </w:r>
      <w:r>
        <w:rPr>
          <w:rFonts w:hint="eastAsia" w:ascii="宋体" w:hAnsi="宋体" w:eastAsia="宋体" w:cs="宋体"/>
          <w:sz w:val="24"/>
          <w:szCs w:val="24"/>
        </w:rPr>
        <w:t>；综合评分=技术标得分×</w:t>
      </w:r>
      <w:r>
        <w:rPr>
          <w:rFonts w:ascii="宋体" w:hAnsi="宋体" w:eastAsia="宋体" w:cs="宋体"/>
          <w:sz w:val="24"/>
          <w:szCs w:val="24"/>
        </w:rPr>
        <w:t>4</w:t>
      </w:r>
      <w:r>
        <w:rPr>
          <w:rFonts w:hint="eastAsia" w:ascii="宋体" w:hAnsi="宋体" w:eastAsia="宋体" w:cs="宋体"/>
          <w:sz w:val="24"/>
          <w:szCs w:val="24"/>
        </w:rPr>
        <w:t>0%+商务标得分）。本着公平、公正、公开的原则，在通过技术标综合评审后入围的前提下，选择综合评分最高分确定中标人，对未中标方不做任何解释。</w:t>
      </w:r>
    </w:p>
    <w:bookmarkEnd w:id="15"/>
    <w:bookmarkEnd w:id="16"/>
    <w:bookmarkEnd w:id="17"/>
    <w:bookmarkEnd w:id="18"/>
    <w:bookmarkEnd w:id="19"/>
    <w:bookmarkEnd w:id="20"/>
    <w:bookmarkEnd w:id="21"/>
    <w:bookmarkEnd w:id="22"/>
    <w:p w14:paraId="12D088AC">
      <w:pPr>
        <w:spacing w:line="360" w:lineRule="auto"/>
        <w:ind w:firstLine="482" w:firstLineChars="200"/>
        <w:rPr>
          <w:rFonts w:ascii="宋体" w:hAnsi="宋体" w:eastAsia="宋体" w:cs="宋体"/>
          <w:b/>
          <w:color w:val="000000"/>
          <w:sz w:val="24"/>
          <w:szCs w:val="24"/>
        </w:rPr>
      </w:pPr>
      <w:r>
        <w:rPr>
          <w:rFonts w:hint="eastAsia" w:ascii="宋体" w:hAnsi="宋体" w:eastAsia="宋体" w:cs="宋体"/>
          <w:b/>
          <w:color w:val="000000"/>
          <w:sz w:val="24"/>
          <w:szCs w:val="24"/>
        </w:rPr>
        <w:t>评标流程：</w:t>
      </w:r>
    </w:p>
    <w:p w14:paraId="612E46E9">
      <w:pPr>
        <w:numPr>
          <w:ilvl w:val="0"/>
          <w:numId w:val="16"/>
        </w:numPr>
        <w:spacing w:line="360" w:lineRule="auto"/>
        <w:rPr>
          <w:rFonts w:ascii="宋体" w:hAnsi="宋体" w:eastAsia="宋体" w:cs="宋体"/>
          <w:b/>
          <w:color w:val="000000"/>
          <w:sz w:val="24"/>
          <w:szCs w:val="24"/>
        </w:rPr>
      </w:pPr>
      <w:r>
        <w:rPr>
          <w:rFonts w:hint="eastAsia" w:ascii="宋体" w:hAnsi="宋体" w:eastAsia="宋体" w:cs="宋体"/>
          <w:b/>
          <w:color w:val="000000"/>
          <w:sz w:val="24"/>
          <w:szCs w:val="24"/>
        </w:rPr>
        <w:t>投标文件包含《投标文件（资质标）》、《投标文件（技术标）》、《投标文件（商务标）》、《开标一览表》，共计四个文件。</w:t>
      </w:r>
    </w:p>
    <w:p w14:paraId="229D9F21">
      <w:pPr>
        <w:numPr>
          <w:ilvl w:val="0"/>
          <w:numId w:val="16"/>
        </w:numPr>
        <w:spacing w:line="360" w:lineRule="auto"/>
        <w:rPr>
          <w:rFonts w:ascii="宋体" w:hAnsi="宋体" w:eastAsia="宋体" w:cs="宋体"/>
          <w:b/>
          <w:color w:val="000000"/>
          <w:sz w:val="24"/>
          <w:szCs w:val="24"/>
        </w:rPr>
      </w:pPr>
      <w:r>
        <w:rPr>
          <w:rFonts w:hint="eastAsia" w:ascii="宋体" w:hAnsi="宋体" w:eastAsia="宋体" w:cs="宋体"/>
          <w:b/>
          <w:color w:val="000000"/>
          <w:sz w:val="24"/>
          <w:szCs w:val="24"/>
        </w:rPr>
        <w:t>应标资格审查：在“中国重汽</w:t>
      </w:r>
      <w:r>
        <w:rPr>
          <w:rFonts w:ascii="宋体" w:hAnsi="宋体" w:eastAsia="宋体" w:cs="宋体"/>
          <w:b/>
          <w:color w:val="000000"/>
          <w:sz w:val="24"/>
          <w:szCs w:val="24"/>
        </w:rPr>
        <w:t>e采通”应标报名时，按照第三部分第三条投标文件组成资格证明文件中的1.1-1.1</w:t>
      </w:r>
      <w:r>
        <w:rPr>
          <w:rFonts w:hint="eastAsia" w:ascii="宋体" w:hAnsi="宋体" w:eastAsia="宋体" w:cs="宋体"/>
          <w:b/>
          <w:color w:val="000000"/>
          <w:sz w:val="24"/>
          <w:szCs w:val="24"/>
          <w:lang w:val="en-US" w:eastAsia="zh-CN"/>
        </w:rPr>
        <w:t>5</w:t>
      </w:r>
      <w:r>
        <w:rPr>
          <w:rFonts w:ascii="宋体" w:hAnsi="宋体" w:eastAsia="宋体" w:cs="宋体"/>
          <w:b/>
          <w:color w:val="000000"/>
          <w:sz w:val="24"/>
          <w:szCs w:val="24"/>
        </w:rPr>
        <w:t>准备资料，上传完毕后，等待审核；</w:t>
      </w:r>
    </w:p>
    <w:p w14:paraId="78F4D6DF">
      <w:pPr>
        <w:numPr>
          <w:ilvl w:val="0"/>
          <w:numId w:val="16"/>
        </w:numPr>
        <w:spacing w:line="360" w:lineRule="auto"/>
        <w:rPr>
          <w:rFonts w:ascii="宋体" w:hAnsi="宋体" w:eastAsia="宋体" w:cs="宋体"/>
          <w:b/>
          <w:color w:val="000000"/>
          <w:sz w:val="24"/>
          <w:szCs w:val="24"/>
        </w:rPr>
      </w:pPr>
      <w:r>
        <w:rPr>
          <w:rFonts w:hint="eastAsia" w:ascii="宋体" w:hAnsi="宋体" w:eastAsia="宋体" w:cs="宋体"/>
          <w:b/>
          <w:color w:val="000000"/>
          <w:sz w:val="24"/>
          <w:szCs w:val="24"/>
        </w:rPr>
        <w:t>通过应标资格审查的单位进入投标环节，按照“</w:t>
      </w:r>
      <w:r>
        <w:rPr>
          <w:rFonts w:ascii="宋体" w:hAnsi="宋体" w:eastAsia="宋体" w:cs="宋体"/>
          <w:b/>
          <w:color w:val="000000"/>
          <w:sz w:val="24"/>
          <w:szCs w:val="24"/>
        </w:rPr>
        <w:t>SRM系统供应商用户手册（附件1</w:t>
      </w:r>
      <w:r>
        <w:rPr>
          <w:rFonts w:hint="eastAsia" w:ascii="宋体" w:hAnsi="宋体" w:eastAsia="宋体" w:cs="宋体"/>
          <w:b/>
          <w:color w:val="000000"/>
          <w:sz w:val="24"/>
          <w:szCs w:val="24"/>
          <w:lang w:val="en-US" w:eastAsia="zh-CN"/>
        </w:rPr>
        <w:t>5</w:t>
      </w:r>
      <w:r>
        <w:rPr>
          <w:rFonts w:ascii="宋体" w:hAnsi="宋体" w:eastAsia="宋体" w:cs="宋体"/>
          <w:b/>
          <w:color w:val="000000"/>
          <w:sz w:val="24"/>
          <w:szCs w:val="24"/>
        </w:rPr>
        <w:t>）”，在重汽e采通平台投递电子标书（包含资质标、技术标、商务标）；没有通过应标资质审查的单位不能进入投标环节；</w:t>
      </w:r>
    </w:p>
    <w:p w14:paraId="4DC0CA2D">
      <w:pPr>
        <w:numPr>
          <w:ilvl w:val="0"/>
          <w:numId w:val="16"/>
        </w:numPr>
        <w:spacing w:line="360" w:lineRule="auto"/>
        <w:rPr>
          <w:rFonts w:ascii="宋体" w:hAnsi="宋体" w:eastAsia="宋体" w:cs="宋体"/>
          <w:b/>
          <w:color w:val="000000"/>
          <w:sz w:val="24"/>
          <w:szCs w:val="24"/>
        </w:rPr>
      </w:pPr>
      <w:r>
        <w:rPr>
          <w:rFonts w:hint="eastAsia" w:ascii="宋体" w:hAnsi="宋体" w:eastAsia="宋体" w:cs="宋体"/>
          <w:b/>
          <w:color w:val="000000"/>
          <w:sz w:val="24"/>
          <w:szCs w:val="24"/>
        </w:rPr>
        <w:t>资质标评审：资质标审核通过的单位，可以进入</w:t>
      </w:r>
      <w:r>
        <w:rPr>
          <w:rFonts w:hint="eastAsia" w:ascii="宋体" w:hAnsi="宋体" w:eastAsia="宋体" w:cs="宋体"/>
          <w:b/>
          <w:color w:val="000000"/>
          <w:sz w:val="24"/>
          <w:szCs w:val="24"/>
        </w:rPr>
        <w:t>技术标评审</w:t>
      </w:r>
      <w:r>
        <w:rPr>
          <w:rFonts w:hint="eastAsia" w:ascii="宋体" w:hAnsi="宋体" w:eastAsia="宋体" w:cs="宋体"/>
          <w:b/>
          <w:color w:val="000000"/>
          <w:sz w:val="24"/>
          <w:szCs w:val="24"/>
        </w:rPr>
        <w:t>环节；</w:t>
      </w:r>
    </w:p>
    <w:p w14:paraId="1449233D">
      <w:pPr>
        <w:numPr>
          <w:ilvl w:val="0"/>
          <w:numId w:val="16"/>
        </w:numPr>
        <w:spacing w:line="360" w:lineRule="auto"/>
        <w:rPr>
          <w:rFonts w:ascii="宋体" w:hAnsi="宋体" w:eastAsia="宋体" w:cs="宋体"/>
          <w:b/>
          <w:color w:val="000000"/>
          <w:sz w:val="24"/>
          <w:szCs w:val="24"/>
        </w:rPr>
      </w:pPr>
      <w:r>
        <w:rPr>
          <w:rFonts w:hint="eastAsia" w:ascii="宋体" w:hAnsi="宋体" w:eastAsia="宋体" w:cs="宋体"/>
          <w:b/>
          <w:color w:val="000000"/>
          <w:sz w:val="24"/>
          <w:szCs w:val="24"/>
        </w:rPr>
        <w:t>技术标评审：技术标评标专家组，通过重汽</w:t>
      </w:r>
      <w:r>
        <w:rPr>
          <w:rFonts w:ascii="宋体" w:hAnsi="宋体" w:eastAsia="宋体" w:cs="宋体"/>
          <w:b/>
          <w:color w:val="000000"/>
          <w:sz w:val="24"/>
          <w:szCs w:val="24"/>
        </w:rPr>
        <w:t>e采通，对各投标人的《投标文件（技术标）》进行综合评审；评审期间产生的技术澄清均由投标人在重汽e采通平台内完成提交；评审合格的单位进入商务标评审环节，评审不合格的单位被淘汰；具体技术标评分标准见附件1</w:t>
      </w:r>
      <w:r>
        <w:rPr>
          <w:rFonts w:hint="eastAsia" w:ascii="宋体" w:hAnsi="宋体" w:eastAsia="宋体" w:cs="宋体"/>
          <w:b/>
          <w:color w:val="000000"/>
          <w:sz w:val="24"/>
          <w:szCs w:val="24"/>
          <w:lang w:val="en-US" w:eastAsia="zh-CN"/>
        </w:rPr>
        <w:t>5</w:t>
      </w:r>
      <w:r>
        <w:rPr>
          <w:rFonts w:ascii="宋体" w:hAnsi="宋体" w:eastAsia="宋体" w:cs="宋体"/>
          <w:b/>
          <w:color w:val="000000"/>
          <w:sz w:val="24"/>
          <w:szCs w:val="24"/>
        </w:rPr>
        <w:t>；</w:t>
      </w:r>
    </w:p>
    <w:p w14:paraId="1305CD2E">
      <w:pPr>
        <w:numPr>
          <w:ilvl w:val="0"/>
          <w:numId w:val="16"/>
        </w:numPr>
        <w:spacing w:line="360" w:lineRule="auto"/>
        <w:rPr>
          <w:rFonts w:ascii="宋体" w:hAnsi="宋体" w:eastAsia="宋体" w:cs="宋体"/>
          <w:b/>
          <w:color w:val="000000"/>
          <w:sz w:val="24"/>
          <w:szCs w:val="24"/>
        </w:rPr>
      </w:pPr>
      <w:r>
        <w:rPr>
          <w:rFonts w:hint="eastAsia" w:ascii="宋体" w:hAnsi="宋体" w:eastAsia="宋体" w:cs="宋体"/>
          <w:b/>
          <w:color w:val="000000"/>
          <w:sz w:val="24"/>
          <w:szCs w:val="24"/>
        </w:rPr>
        <w:t>公开唱标：公示</w:t>
      </w:r>
      <w:r>
        <w:rPr>
          <w:rFonts w:hint="eastAsia" w:ascii="宋体" w:hAnsi="宋体" w:eastAsia="宋体" w:cs="宋体"/>
          <w:b/>
          <w:color w:val="000000"/>
          <w:sz w:val="24"/>
          <w:szCs w:val="24"/>
          <w:lang w:val="en-US" w:eastAsia="zh-CN"/>
        </w:rPr>
        <w:t>技术</w:t>
      </w:r>
      <w:r>
        <w:rPr>
          <w:rFonts w:hint="eastAsia" w:ascii="宋体" w:hAnsi="宋体" w:eastAsia="宋体" w:cs="宋体"/>
          <w:b/>
          <w:color w:val="000000"/>
          <w:sz w:val="24"/>
          <w:szCs w:val="24"/>
        </w:rPr>
        <w:t>标入围单位的开标价格及商务条款响应情况；</w:t>
      </w:r>
    </w:p>
    <w:p w14:paraId="3D7272E1">
      <w:pPr>
        <w:numPr>
          <w:ilvl w:val="0"/>
          <w:numId w:val="16"/>
        </w:numPr>
        <w:spacing w:line="360" w:lineRule="auto"/>
        <w:rPr>
          <w:rFonts w:ascii="宋体" w:hAnsi="宋体" w:eastAsia="宋体" w:cs="宋体"/>
          <w:b/>
          <w:color w:val="000000"/>
          <w:sz w:val="24"/>
          <w:szCs w:val="24"/>
        </w:rPr>
      </w:pPr>
      <w:r>
        <w:rPr>
          <w:rFonts w:hint="eastAsia" w:ascii="宋体" w:hAnsi="宋体" w:eastAsia="宋体" w:cs="宋体"/>
          <w:b/>
          <w:color w:val="000000"/>
          <w:sz w:val="24"/>
          <w:szCs w:val="24"/>
        </w:rPr>
        <w:t>商务标评审：商务条款相应确认→价格澄清→商务标评审；评审期间产生的商务价格澄清均由投标人在重汽</w:t>
      </w:r>
      <w:r>
        <w:rPr>
          <w:rFonts w:ascii="宋体" w:hAnsi="宋体" w:eastAsia="宋体" w:cs="宋体"/>
          <w:b/>
          <w:color w:val="000000"/>
          <w:sz w:val="24"/>
          <w:szCs w:val="24"/>
        </w:rPr>
        <w:t>e采通平台限时内完成提交；</w:t>
      </w:r>
    </w:p>
    <w:p w14:paraId="09AD19BC">
      <w:pPr>
        <w:pStyle w:val="52"/>
        <w:ind w:firstLine="420" w:firstLineChars="0"/>
        <w:rPr>
          <w:rFonts w:ascii="宋体" w:hAnsi="宋体" w:eastAsia="宋体" w:cs="宋体"/>
          <w:b/>
          <w:color w:val="000000"/>
          <w:kern w:val="2"/>
          <w:sz w:val="24"/>
          <w:szCs w:val="24"/>
          <w:lang w:val="en-US" w:eastAsia="zh-CN" w:bidi="ar-SA"/>
        </w:rPr>
      </w:pPr>
      <w:r>
        <w:rPr>
          <w:rFonts w:ascii="宋体" w:hAnsi="宋体" w:eastAsia="宋体" w:cs="宋体"/>
          <w:b/>
          <w:color w:val="000000"/>
          <w:kern w:val="2"/>
          <w:sz w:val="24"/>
          <w:szCs w:val="24"/>
          <w:lang w:val="en-US" w:eastAsia="zh-CN" w:bidi="ar-SA"/>
        </w:rPr>
        <w:t>商务标评审采用多轮报价，除开标唱标为公开报价方式外，后续多轮澄清报价均为非公开的方式，在重汽e采通进行提报。商务标开标后，评审期间产生的商务价格澄清均由投标人在重汽e采通平台内限时完成提交，根据招标人需求与投标人进行多轮竞价谈判，按照</w:t>
      </w:r>
      <w:r>
        <w:rPr>
          <w:rFonts w:hint="eastAsia" w:ascii="宋体" w:hAnsi="宋体" w:eastAsia="宋体" w:cs="宋体"/>
          <w:b/>
          <w:color w:val="000000"/>
          <w:kern w:val="2"/>
          <w:sz w:val="24"/>
          <w:szCs w:val="24"/>
          <w:lang w:val="en-US" w:eastAsia="zh-CN" w:bidi="ar-SA"/>
        </w:rPr>
        <w:t>综合评分法</w:t>
      </w:r>
      <w:r>
        <w:rPr>
          <w:rFonts w:ascii="宋体" w:hAnsi="宋体" w:eastAsia="宋体" w:cs="宋体"/>
          <w:b/>
          <w:color w:val="000000"/>
          <w:kern w:val="2"/>
          <w:sz w:val="24"/>
          <w:szCs w:val="24"/>
          <w:lang w:val="en-US" w:eastAsia="zh-CN" w:bidi="ar-SA"/>
        </w:rPr>
        <w:t xml:space="preserve">推荐中标人，对未入围候选中标人不做任何解释。 </w:t>
      </w:r>
    </w:p>
    <w:p w14:paraId="33871A46">
      <w:pPr>
        <w:pStyle w:val="52"/>
        <w:ind w:firstLine="420" w:firstLineChars="0"/>
        <w:rPr>
          <w:rFonts w:ascii="宋体" w:hAnsi="宋体" w:eastAsia="宋体" w:cs="宋体"/>
          <w:b/>
          <w:color w:val="000000"/>
          <w:kern w:val="2"/>
          <w:sz w:val="24"/>
          <w:szCs w:val="24"/>
          <w:lang w:val="en-US" w:eastAsia="zh-CN" w:bidi="ar-SA"/>
        </w:rPr>
      </w:pPr>
    </w:p>
    <w:p w14:paraId="1911E5E1">
      <w:pPr>
        <w:numPr>
          <w:ilvl w:val="0"/>
          <w:numId w:val="16"/>
        </w:numPr>
        <w:spacing w:line="360" w:lineRule="auto"/>
        <w:rPr>
          <w:rFonts w:ascii="宋体" w:hAnsi="宋体" w:eastAsia="宋体" w:cs="宋体"/>
          <w:b/>
          <w:color w:val="000000"/>
          <w:sz w:val="24"/>
          <w:szCs w:val="24"/>
        </w:rPr>
      </w:pPr>
      <w:r>
        <w:rPr>
          <w:rFonts w:hint="eastAsia" w:ascii="宋体" w:hAnsi="宋体" w:eastAsia="宋体" w:cs="宋体"/>
          <w:b/>
          <w:color w:val="000000"/>
          <w:sz w:val="24"/>
          <w:szCs w:val="24"/>
        </w:rPr>
        <w:t>注意：投标人均需要自带笔记本电脑在重汽</w:t>
      </w:r>
      <w:r>
        <w:rPr>
          <w:rFonts w:ascii="宋体" w:hAnsi="宋体" w:eastAsia="宋体" w:cs="宋体"/>
          <w:b/>
          <w:color w:val="000000"/>
          <w:sz w:val="24"/>
          <w:szCs w:val="24"/>
        </w:rPr>
        <w:t>e采通进行自主投标和提交澄清函；投标和提交澄清函均有时间限制，超时未提交的按无效处理。</w:t>
      </w:r>
    </w:p>
    <w:p w14:paraId="28F0AE0F">
      <w:pPr>
        <w:numPr>
          <w:ilvl w:val="0"/>
          <w:numId w:val="16"/>
        </w:numPr>
        <w:spacing w:line="360" w:lineRule="auto"/>
        <w:rPr>
          <w:rFonts w:ascii="宋体" w:hAnsi="宋体" w:eastAsia="宋体" w:cs="宋体"/>
          <w:b/>
          <w:sz w:val="24"/>
          <w:szCs w:val="24"/>
        </w:rPr>
      </w:pPr>
      <w:r>
        <w:rPr>
          <w:rFonts w:hint="eastAsia" w:ascii="宋体" w:hAnsi="宋体" w:eastAsia="宋体" w:cs="宋体"/>
          <w:b/>
          <w:color w:val="000000"/>
          <w:sz w:val="24"/>
          <w:szCs w:val="24"/>
        </w:rPr>
        <w:t>中标人确定：技术入围后，综合评分最高分中标。</w:t>
      </w:r>
      <w:r>
        <w:rPr>
          <w:rFonts w:ascii="宋体" w:hAnsi="宋体" w:eastAsia="宋体" w:cs="宋体"/>
          <w:b/>
          <w:sz w:val="24"/>
          <w:szCs w:val="24"/>
        </w:rPr>
        <w:t xml:space="preserve"> </w:t>
      </w:r>
    </w:p>
    <w:p w14:paraId="0E7E8A68">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本项目只产生一个中标人。中标人签订合同前须进行最终审查。最终审查的对象是投标项目的中标候选人。最终审查的内容是对中标候选人的经营状况、服务质量、资格、信誉以及招标人认为有必要了解的其它问题作进一步的考查及后审。最终审查的方式，根据需要采取问询或实地查证等方式。如审查结果不符合成交条件的，则本次评标作废或</w:t>
      </w:r>
      <w:r>
        <w:rPr>
          <w:rFonts w:hint="eastAsia" w:ascii="宋体" w:hAnsi="宋体" w:eastAsia="宋体" w:cs="宋体"/>
          <w:color w:val="000000"/>
          <w:sz w:val="24"/>
          <w:szCs w:val="24"/>
          <w:lang w:bidi="ar"/>
        </w:rPr>
        <w:t>变更意向中标人</w:t>
      </w:r>
      <w:r>
        <w:rPr>
          <w:rFonts w:hint="eastAsia" w:ascii="宋体" w:hAnsi="宋体" w:eastAsia="宋体" w:cs="宋体"/>
          <w:color w:val="000000"/>
          <w:sz w:val="24"/>
          <w:szCs w:val="24"/>
        </w:rPr>
        <w:t>。</w:t>
      </w:r>
    </w:p>
    <w:p w14:paraId="145EB68B">
      <w:pPr>
        <w:keepNext/>
        <w:keepLines/>
        <w:spacing w:line="360" w:lineRule="auto"/>
        <w:outlineLvl w:val="1"/>
        <w:rPr>
          <w:rFonts w:ascii="宋体" w:hAnsi="宋体" w:eastAsia="宋体" w:cs="宋体"/>
          <w:b/>
          <w:bCs/>
          <w:sz w:val="24"/>
          <w:szCs w:val="24"/>
        </w:rPr>
      </w:pPr>
      <w:r>
        <w:rPr>
          <w:rFonts w:hint="eastAsia" w:ascii="宋体" w:hAnsi="宋体" w:eastAsia="宋体" w:cs="宋体"/>
          <w:b/>
          <w:bCs/>
          <w:sz w:val="24"/>
          <w:szCs w:val="24"/>
        </w:rPr>
        <w:t>七、合同签订</w:t>
      </w:r>
    </w:p>
    <w:p w14:paraId="31397929">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1.招标人根据评标工作小组的评标结果确定中标人，并发送中标通知。</w:t>
      </w:r>
    </w:p>
    <w:p w14:paraId="19250788">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2.中标人应该在中标通知书规定的时间、地点与招标人签订采购合同，否则按照开标后撤回投标处理。</w:t>
      </w:r>
    </w:p>
    <w:p w14:paraId="3C40A07A">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3.中标人应当按照合同约定的履约责任，在保证质量的前提下完成中标项目，不得将中标项目转包或分包给他人，否则视为违约，招标人有权解除合同。</w:t>
      </w:r>
    </w:p>
    <w:p w14:paraId="3DDBA4EB">
      <w:pPr>
        <w:spacing w:line="360" w:lineRule="auto"/>
        <w:ind w:firstLine="482" w:firstLineChars="200"/>
        <w:rPr>
          <w:rFonts w:ascii="宋体" w:hAnsi="宋体" w:eastAsia="宋体" w:cs="宋体"/>
          <w:b/>
          <w:sz w:val="24"/>
          <w:szCs w:val="24"/>
        </w:rPr>
      </w:pPr>
      <w:r>
        <w:rPr>
          <w:rFonts w:hint="eastAsia" w:ascii="宋体" w:hAnsi="宋体" w:eastAsia="宋体" w:cs="宋体"/>
          <w:b/>
          <w:sz w:val="24"/>
          <w:szCs w:val="24"/>
        </w:rPr>
        <w:t>4.中标人由于履行义务的能力或信用有严重缺陷，招标人有权取消其中标资格，招标人将从中标候选单位中依序重新确定中标人，或重新组织招标；</w:t>
      </w:r>
    </w:p>
    <w:p w14:paraId="71FAE5AF">
      <w:pPr>
        <w:spacing w:line="360" w:lineRule="auto"/>
        <w:ind w:firstLine="482" w:firstLineChars="200"/>
        <w:rPr>
          <w:rFonts w:ascii="宋体" w:hAnsi="宋体" w:eastAsia="宋体" w:cs="宋体"/>
          <w:b/>
          <w:sz w:val="24"/>
          <w:szCs w:val="24"/>
        </w:rPr>
      </w:pPr>
      <w:r>
        <w:rPr>
          <w:rFonts w:hint="eastAsia" w:ascii="宋体" w:hAnsi="宋体" w:eastAsia="宋体" w:cs="宋体"/>
          <w:b/>
          <w:sz w:val="24"/>
          <w:szCs w:val="24"/>
        </w:rPr>
        <w:t>5.合同以双方最终签署的版本为准。</w:t>
      </w:r>
    </w:p>
    <w:p w14:paraId="4932A471">
      <w:pPr>
        <w:keepNext/>
        <w:keepLines/>
        <w:spacing w:line="360" w:lineRule="auto"/>
        <w:outlineLvl w:val="1"/>
        <w:rPr>
          <w:rFonts w:ascii="宋体" w:hAnsi="宋体" w:eastAsia="宋体" w:cs="宋体"/>
          <w:b/>
          <w:bCs/>
          <w:sz w:val="24"/>
          <w:szCs w:val="24"/>
        </w:rPr>
      </w:pPr>
      <w:r>
        <w:rPr>
          <w:rFonts w:hint="eastAsia" w:ascii="宋体" w:hAnsi="宋体" w:eastAsia="宋体" w:cs="宋体"/>
          <w:b/>
          <w:bCs/>
          <w:sz w:val="24"/>
          <w:szCs w:val="24"/>
        </w:rPr>
        <w:t>八、废标及终止招标</w:t>
      </w:r>
    </w:p>
    <w:p w14:paraId="19D505AC">
      <w:pPr>
        <w:spacing w:line="360" w:lineRule="auto"/>
        <w:ind w:right="2"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1.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03331626">
      <w:pPr>
        <w:spacing w:line="360" w:lineRule="auto"/>
        <w:ind w:right="2"/>
        <w:rPr>
          <w:rFonts w:ascii="宋体" w:hAnsi="宋体" w:eastAsia="宋体" w:cs="宋体"/>
          <w:color w:val="000000"/>
          <w:sz w:val="24"/>
          <w:szCs w:val="24"/>
        </w:rPr>
      </w:pPr>
      <w:r>
        <w:rPr>
          <w:rFonts w:hint="eastAsia" w:ascii="宋体" w:hAnsi="宋体" w:eastAsia="宋体" w:cs="宋体"/>
          <w:color w:val="000000"/>
          <w:sz w:val="24"/>
          <w:szCs w:val="24"/>
        </w:rPr>
        <w:t>（</w:t>
      </w:r>
      <w:r>
        <w:rPr>
          <w:rFonts w:ascii="宋体" w:hAnsi="宋体" w:eastAsia="宋体" w:cs="宋体"/>
          <w:color w:val="000000"/>
          <w:sz w:val="24"/>
          <w:szCs w:val="24"/>
        </w:rPr>
        <w:t>1）投标人提供的有关资格、资质证明文件不合格、不真实或提供虚假投标材料；</w:t>
      </w:r>
    </w:p>
    <w:p w14:paraId="108C4B61">
      <w:pPr>
        <w:spacing w:line="360" w:lineRule="auto"/>
        <w:ind w:right="2"/>
        <w:rPr>
          <w:rFonts w:ascii="宋体" w:hAnsi="宋体" w:eastAsia="宋体" w:cs="宋体"/>
          <w:color w:val="000000"/>
          <w:sz w:val="24"/>
          <w:szCs w:val="24"/>
        </w:rPr>
      </w:pPr>
      <w:r>
        <w:rPr>
          <w:rFonts w:hint="eastAsia" w:ascii="宋体" w:hAnsi="宋体" w:eastAsia="宋体" w:cs="宋体"/>
          <w:color w:val="000000"/>
          <w:sz w:val="24"/>
          <w:szCs w:val="24"/>
        </w:rPr>
        <w:t>（</w:t>
      </w:r>
      <w:r>
        <w:rPr>
          <w:rFonts w:ascii="宋体" w:hAnsi="宋体" w:eastAsia="宋体" w:cs="宋体"/>
          <w:color w:val="000000"/>
          <w:sz w:val="24"/>
          <w:szCs w:val="24"/>
        </w:rPr>
        <w:t>2）投标人在报价有效期内撤回投标；</w:t>
      </w:r>
    </w:p>
    <w:p w14:paraId="4366490B">
      <w:pPr>
        <w:spacing w:line="360" w:lineRule="auto"/>
        <w:ind w:right="2"/>
        <w:rPr>
          <w:rFonts w:ascii="宋体" w:hAnsi="宋体" w:eastAsia="宋体" w:cs="宋体"/>
          <w:color w:val="000000"/>
          <w:sz w:val="24"/>
          <w:szCs w:val="24"/>
        </w:rPr>
      </w:pPr>
      <w:r>
        <w:rPr>
          <w:rFonts w:hint="eastAsia" w:ascii="宋体" w:hAnsi="宋体" w:eastAsia="宋体" w:cs="宋体"/>
          <w:color w:val="000000"/>
          <w:sz w:val="24"/>
          <w:szCs w:val="24"/>
        </w:rPr>
        <w:t>（</w:t>
      </w:r>
      <w:r>
        <w:rPr>
          <w:rFonts w:ascii="宋体" w:hAnsi="宋体" w:eastAsia="宋体" w:cs="宋体"/>
          <w:color w:val="000000"/>
          <w:sz w:val="24"/>
          <w:szCs w:val="24"/>
        </w:rPr>
        <w:t>3）在整个评标过程中，投标人有企图影响评标结果公正性的任何活动；</w:t>
      </w:r>
    </w:p>
    <w:p w14:paraId="33528D32">
      <w:pPr>
        <w:spacing w:line="360" w:lineRule="auto"/>
        <w:ind w:right="2"/>
        <w:rPr>
          <w:rFonts w:ascii="宋体" w:hAnsi="宋体" w:eastAsia="宋体" w:cs="宋体"/>
          <w:color w:val="000000"/>
          <w:sz w:val="24"/>
          <w:szCs w:val="24"/>
        </w:rPr>
      </w:pPr>
      <w:r>
        <w:rPr>
          <w:rFonts w:hint="eastAsia" w:ascii="宋体" w:hAnsi="宋体" w:eastAsia="宋体" w:cs="宋体"/>
          <w:color w:val="000000"/>
          <w:sz w:val="24"/>
          <w:szCs w:val="24"/>
        </w:rPr>
        <w:t>（</w:t>
      </w:r>
      <w:r>
        <w:rPr>
          <w:rFonts w:ascii="宋体" w:hAnsi="宋体" w:eastAsia="宋体" w:cs="宋体"/>
          <w:color w:val="000000"/>
          <w:sz w:val="24"/>
          <w:szCs w:val="24"/>
        </w:rPr>
        <w:t>4）投标人以任何方式诋毁其他投标人；</w:t>
      </w:r>
    </w:p>
    <w:p w14:paraId="4CEF91DE">
      <w:pPr>
        <w:spacing w:line="360" w:lineRule="auto"/>
        <w:ind w:right="2"/>
        <w:rPr>
          <w:rFonts w:ascii="宋体" w:hAnsi="宋体" w:eastAsia="宋体" w:cs="宋体"/>
          <w:color w:val="000000"/>
          <w:sz w:val="24"/>
          <w:szCs w:val="24"/>
        </w:rPr>
      </w:pPr>
      <w:r>
        <w:rPr>
          <w:rFonts w:hint="eastAsia" w:ascii="宋体" w:hAnsi="宋体" w:eastAsia="宋体" w:cs="宋体"/>
          <w:color w:val="000000"/>
          <w:sz w:val="24"/>
          <w:szCs w:val="24"/>
        </w:rPr>
        <w:t>（</w:t>
      </w:r>
      <w:r>
        <w:rPr>
          <w:rFonts w:ascii="宋体" w:hAnsi="宋体" w:eastAsia="宋体" w:cs="宋体"/>
          <w:color w:val="000000"/>
          <w:sz w:val="24"/>
          <w:szCs w:val="24"/>
        </w:rPr>
        <w:t>5）投标人串通投标；</w:t>
      </w:r>
    </w:p>
    <w:p w14:paraId="5077B9F9">
      <w:pPr>
        <w:spacing w:line="360" w:lineRule="auto"/>
        <w:ind w:right="2"/>
        <w:rPr>
          <w:rFonts w:ascii="宋体" w:hAnsi="宋体" w:eastAsia="宋体" w:cs="宋体"/>
          <w:color w:val="000000"/>
          <w:sz w:val="24"/>
          <w:szCs w:val="24"/>
        </w:rPr>
      </w:pPr>
      <w:r>
        <w:rPr>
          <w:rFonts w:ascii="宋体" w:hAnsi="宋体" w:eastAsia="宋体" w:cs="宋体"/>
          <w:color w:val="000000"/>
          <w:sz w:val="24"/>
          <w:szCs w:val="24"/>
        </w:rPr>
        <w:t>（6）投标人被举报、检举，并经招标人查实无误的；</w:t>
      </w:r>
    </w:p>
    <w:p w14:paraId="29FC1023">
      <w:pPr>
        <w:spacing w:line="360" w:lineRule="auto"/>
        <w:ind w:right="2"/>
        <w:rPr>
          <w:rFonts w:ascii="宋体" w:hAnsi="宋体" w:eastAsia="宋体" w:cs="宋体"/>
          <w:color w:val="000000"/>
          <w:sz w:val="24"/>
          <w:szCs w:val="24"/>
        </w:rPr>
      </w:pPr>
      <w:r>
        <w:rPr>
          <w:rFonts w:hint="eastAsia" w:ascii="宋体" w:hAnsi="宋体" w:eastAsia="宋体" w:cs="宋体"/>
          <w:color w:val="000000"/>
          <w:sz w:val="24"/>
          <w:szCs w:val="24"/>
        </w:rPr>
        <w:t>（</w:t>
      </w:r>
      <w:r>
        <w:rPr>
          <w:rFonts w:ascii="宋体" w:hAnsi="宋体" w:eastAsia="宋体" w:cs="宋体"/>
          <w:color w:val="000000"/>
          <w:sz w:val="24"/>
          <w:szCs w:val="24"/>
        </w:rPr>
        <w:t>7）以他人名义投标或者以其他方式弄虚作假，骗取中标的；</w:t>
      </w:r>
    </w:p>
    <w:p w14:paraId="1EDFBF11">
      <w:pPr>
        <w:spacing w:line="360" w:lineRule="auto"/>
        <w:ind w:right="2"/>
        <w:rPr>
          <w:rFonts w:ascii="宋体" w:hAnsi="宋体" w:eastAsia="宋体" w:cs="宋体"/>
          <w:color w:val="000000"/>
          <w:sz w:val="24"/>
          <w:szCs w:val="24"/>
        </w:rPr>
      </w:pPr>
      <w:r>
        <w:rPr>
          <w:rFonts w:hint="eastAsia" w:ascii="宋体" w:hAnsi="宋体" w:eastAsia="宋体" w:cs="宋体"/>
          <w:color w:val="000000"/>
          <w:sz w:val="24"/>
          <w:szCs w:val="24"/>
        </w:rPr>
        <w:t>（</w:t>
      </w:r>
      <w:r>
        <w:rPr>
          <w:rFonts w:ascii="宋体" w:hAnsi="宋体" w:eastAsia="宋体" w:cs="宋体"/>
          <w:color w:val="000000"/>
          <w:sz w:val="24"/>
          <w:szCs w:val="24"/>
        </w:rPr>
        <w:t>8）投标人负责人为同一人或者存在控股、管理关系的不同单位；</w:t>
      </w:r>
    </w:p>
    <w:p w14:paraId="033532D9">
      <w:pPr>
        <w:spacing w:line="360" w:lineRule="auto"/>
        <w:ind w:right="2"/>
        <w:rPr>
          <w:rFonts w:ascii="宋体" w:hAnsi="宋体" w:eastAsia="宋体" w:cs="宋体"/>
          <w:color w:val="000000"/>
          <w:sz w:val="24"/>
          <w:szCs w:val="24"/>
        </w:rPr>
      </w:pPr>
      <w:r>
        <w:rPr>
          <w:rFonts w:hint="eastAsia" w:ascii="宋体" w:hAnsi="宋体" w:eastAsia="宋体" w:cs="宋体"/>
          <w:color w:val="000000"/>
          <w:sz w:val="24"/>
          <w:szCs w:val="24"/>
        </w:rPr>
        <w:t>（</w:t>
      </w:r>
      <w:r>
        <w:rPr>
          <w:rFonts w:ascii="宋体" w:hAnsi="宋体" w:eastAsia="宋体" w:cs="宋体"/>
          <w:color w:val="000000"/>
          <w:sz w:val="24"/>
          <w:szCs w:val="24"/>
        </w:rPr>
        <w:t>9）有效投标不足三家；</w:t>
      </w:r>
    </w:p>
    <w:p w14:paraId="7770F39D">
      <w:pPr>
        <w:spacing w:line="360" w:lineRule="auto"/>
        <w:ind w:right="2"/>
        <w:rPr>
          <w:rFonts w:ascii="宋体" w:hAnsi="宋体" w:eastAsia="宋体" w:cs="宋体"/>
          <w:color w:val="000000"/>
          <w:sz w:val="24"/>
          <w:szCs w:val="24"/>
        </w:rPr>
      </w:pPr>
      <w:r>
        <w:rPr>
          <w:rFonts w:hint="eastAsia" w:ascii="宋体" w:hAnsi="宋体" w:eastAsia="宋体" w:cs="宋体"/>
          <w:color w:val="000000"/>
          <w:sz w:val="24"/>
          <w:szCs w:val="24"/>
        </w:rPr>
        <w:t>（</w:t>
      </w:r>
      <w:r>
        <w:rPr>
          <w:rFonts w:ascii="宋体" w:hAnsi="宋体" w:eastAsia="宋体" w:cs="宋体"/>
          <w:color w:val="000000"/>
          <w:sz w:val="24"/>
          <w:szCs w:val="24"/>
        </w:rPr>
        <w:t>10）未按要求填报商务报价资料，对招标开展造成较大影响；</w:t>
      </w:r>
    </w:p>
    <w:p w14:paraId="00E17343">
      <w:pPr>
        <w:spacing w:line="360" w:lineRule="auto"/>
        <w:ind w:right="2"/>
        <w:rPr>
          <w:rFonts w:ascii="宋体" w:hAnsi="宋体" w:eastAsia="宋体" w:cs="宋体"/>
          <w:color w:val="000000"/>
          <w:sz w:val="24"/>
          <w:szCs w:val="24"/>
        </w:rPr>
      </w:pPr>
      <w:r>
        <w:rPr>
          <w:rFonts w:hint="eastAsia" w:ascii="宋体" w:hAnsi="宋体" w:eastAsia="宋体" w:cs="宋体"/>
          <w:color w:val="000000"/>
          <w:sz w:val="24"/>
          <w:szCs w:val="24"/>
        </w:rPr>
        <w:t>（</w:t>
      </w:r>
      <w:r>
        <w:rPr>
          <w:rFonts w:ascii="宋体" w:hAnsi="宋体" w:eastAsia="宋体" w:cs="宋体"/>
          <w:color w:val="000000"/>
          <w:sz w:val="24"/>
          <w:szCs w:val="24"/>
        </w:rPr>
        <w:t>11）未按照招标人规定的时间内在中国重汽e采通完成投标的；</w:t>
      </w:r>
    </w:p>
    <w:p w14:paraId="50962CCE">
      <w:pPr>
        <w:spacing w:line="360" w:lineRule="auto"/>
        <w:ind w:right="2"/>
        <w:rPr>
          <w:rFonts w:ascii="宋体" w:hAnsi="宋体" w:eastAsia="宋体" w:cs="宋体"/>
          <w:color w:val="000000"/>
          <w:sz w:val="24"/>
          <w:szCs w:val="24"/>
        </w:rPr>
      </w:pPr>
      <w:r>
        <w:rPr>
          <w:rFonts w:hint="eastAsia" w:ascii="宋体" w:hAnsi="宋体" w:eastAsia="宋体" w:cs="宋体"/>
          <w:color w:val="000000"/>
          <w:sz w:val="24"/>
          <w:szCs w:val="24"/>
        </w:rPr>
        <w:t>（</w:t>
      </w:r>
      <w:r>
        <w:rPr>
          <w:rFonts w:ascii="宋体" w:hAnsi="宋体" w:eastAsia="宋体" w:cs="宋体"/>
          <w:color w:val="000000"/>
          <w:sz w:val="24"/>
          <w:szCs w:val="24"/>
        </w:rPr>
        <w:t>12）不同投标人的投标文件异常一致；</w:t>
      </w:r>
    </w:p>
    <w:p w14:paraId="4FEAAD1B">
      <w:pPr>
        <w:spacing w:line="360" w:lineRule="auto"/>
        <w:ind w:right="2"/>
        <w:rPr>
          <w:rFonts w:ascii="宋体" w:hAnsi="宋体" w:eastAsia="宋体" w:cs="宋体"/>
          <w:color w:val="000000"/>
          <w:sz w:val="24"/>
          <w:szCs w:val="24"/>
        </w:rPr>
      </w:pPr>
      <w:r>
        <w:rPr>
          <w:rFonts w:hint="eastAsia" w:ascii="宋体" w:hAnsi="宋体" w:eastAsia="宋体" w:cs="宋体"/>
          <w:color w:val="000000"/>
          <w:sz w:val="24"/>
          <w:szCs w:val="24"/>
        </w:rPr>
        <w:t>（</w:t>
      </w:r>
      <w:r>
        <w:rPr>
          <w:rFonts w:ascii="宋体" w:hAnsi="宋体" w:eastAsia="宋体" w:cs="宋体"/>
          <w:color w:val="000000"/>
          <w:sz w:val="24"/>
          <w:szCs w:val="24"/>
        </w:rPr>
        <w:t>13）投标报价呈规律性差异的；</w:t>
      </w:r>
    </w:p>
    <w:p w14:paraId="0ED13134">
      <w:pPr>
        <w:spacing w:line="360" w:lineRule="auto"/>
        <w:ind w:right="2"/>
        <w:rPr>
          <w:rFonts w:ascii="宋体" w:hAnsi="宋体" w:eastAsia="宋体" w:cs="宋体"/>
          <w:color w:val="000000"/>
          <w:sz w:val="24"/>
          <w:szCs w:val="24"/>
        </w:rPr>
      </w:pPr>
      <w:r>
        <w:rPr>
          <w:rFonts w:hint="eastAsia" w:ascii="宋体" w:hAnsi="宋体" w:eastAsia="宋体" w:cs="宋体"/>
          <w:color w:val="000000"/>
          <w:sz w:val="24"/>
          <w:szCs w:val="24"/>
        </w:rPr>
        <w:t>（</w:t>
      </w:r>
      <w:r>
        <w:rPr>
          <w:rFonts w:ascii="宋体" w:hAnsi="宋体" w:eastAsia="宋体" w:cs="宋体"/>
          <w:color w:val="000000"/>
          <w:sz w:val="24"/>
          <w:szCs w:val="24"/>
        </w:rPr>
        <w:t>14）投标人报价均超过投标限价的；</w:t>
      </w:r>
    </w:p>
    <w:p w14:paraId="212F061F">
      <w:pPr>
        <w:spacing w:line="360" w:lineRule="auto"/>
        <w:ind w:right="2"/>
        <w:rPr>
          <w:rFonts w:hAnsi="宋体" w:eastAsia="宋体" w:cs="宋体"/>
          <w:color w:val="000000"/>
          <w:sz w:val="24"/>
          <w:szCs w:val="24"/>
        </w:rPr>
      </w:pPr>
      <w:r>
        <w:rPr>
          <w:rFonts w:hint="eastAsia" w:ascii="宋体" w:hAnsi="宋体" w:eastAsia="宋体" w:cs="宋体"/>
          <w:color w:val="000000"/>
          <w:sz w:val="24"/>
          <w:szCs w:val="24"/>
        </w:rPr>
        <w:t>（</w:t>
      </w:r>
      <w:r>
        <w:rPr>
          <w:rFonts w:ascii="宋体" w:hAnsi="宋体" w:eastAsia="宋体" w:cs="宋体"/>
          <w:color w:val="000000"/>
          <w:sz w:val="24"/>
          <w:szCs w:val="24"/>
        </w:rPr>
        <w:t>15）法律、法规规定的其他情况。</w:t>
      </w:r>
    </w:p>
    <w:p w14:paraId="30929CD5">
      <w:pPr>
        <w:spacing w:line="360" w:lineRule="auto"/>
        <w:ind w:right="2" w:firstLine="480" w:firstLineChars="200"/>
        <w:rPr>
          <w:rFonts w:ascii="宋体" w:hAnsi="宋体" w:eastAsia="宋体" w:cs="宋体"/>
          <w:sz w:val="24"/>
          <w:szCs w:val="24"/>
        </w:rPr>
      </w:pPr>
      <w:r>
        <w:rPr>
          <w:rFonts w:hint="eastAsia" w:ascii="宋体" w:hAnsi="宋体" w:eastAsia="宋体" w:cs="宋体"/>
          <w:sz w:val="24"/>
          <w:szCs w:val="24"/>
        </w:rPr>
        <w:t>2.出现下列情形之一，招标人有权否决所有投标人的投标，并终止招标。</w:t>
      </w:r>
    </w:p>
    <w:p w14:paraId="2B212D72">
      <w:pPr>
        <w:spacing w:line="360" w:lineRule="auto"/>
        <w:ind w:right="2" w:firstLine="480" w:firstLineChars="200"/>
        <w:rPr>
          <w:rFonts w:ascii="宋体" w:hAnsi="宋体" w:eastAsia="宋体" w:cs="宋体"/>
          <w:b/>
          <w:sz w:val="24"/>
          <w:szCs w:val="24"/>
        </w:rPr>
      </w:pPr>
      <w:r>
        <w:rPr>
          <w:rFonts w:hint="eastAsia" w:ascii="宋体" w:hAnsi="宋体" w:eastAsia="宋体" w:cs="宋体"/>
          <w:sz w:val="24"/>
          <w:szCs w:val="24"/>
        </w:rPr>
        <w:t>（1）符合条件的投标人或者对招标文件做实质响应的投标人不足三家的；</w:t>
      </w:r>
    </w:p>
    <w:p w14:paraId="60B7B902">
      <w:pPr>
        <w:spacing w:line="360" w:lineRule="auto"/>
        <w:ind w:right="2" w:firstLine="480" w:firstLineChars="200"/>
        <w:rPr>
          <w:rFonts w:ascii="宋体" w:hAnsi="宋体" w:eastAsia="宋体" w:cs="宋体"/>
          <w:sz w:val="24"/>
          <w:szCs w:val="24"/>
        </w:rPr>
      </w:pPr>
      <w:r>
        <w:rPr>
          <w:rFonts w:hint="eastAsia" w:ascii="宋体" w:hAnsi="宋体" w:eastAsia="宋体" w:cs="宋体"/>
          <w:sz w:val="24"/>
          <w:szCs w:val="24"/>
        </w:rPr>
        <w:t>（2）出现影响采购公正的违法、违规行为的；</w:t>
      </w:r>
    </w:p>
    <w:p w14:paraId="415B973D">
      <w:pPr>
        <w:spacing w:line="360" w:lineRule="auto"/>
        <w:ind w:right="2" w:firstLine="480" w:firstLineChars="200"/>
        <w:rPr>
          <w:rFonts w:ascii="宋体" w:hAnsi="宋体" w:eastAsia="宋体" w:cs="宋体"/>
          <w:bCs/>
          <w:sz w:val="24"/>
          <w:szCs w:val="24"/>
        </w:rPr>
      </w:pPr>
      <w:r>
        <w:rPr>
          <w:rFonts w:hint="eastAsia" w:ascii="宋体" w:hAnsi="宋体" w:eastAsia="宋体" w:cs="宋体"/>
          <w:bCs/>
          <w:sz w:val="24"/>
          <w:szCs w:val="24"/>
        </w:rPr>
        <w:t>（3）评标委员会经评审，认为所有投标都不符合招标文件要求的；</w:t>
      </w:r>
    </w:p>
    <w:p w14:paraId="3769103F">
      <w:pPr>
        <w:spacing w:line="360" w:lineRule="auto"/>
        <w:ind w:right="2" w:firstLine="480" w:firstLineChars="200"/>
        <w:rPr>
          <w:rFonts w:ascii="宋体" w:hAnsi="宋体" w:eastAsia="宋体" w:cs="宋体"/>
          <w:bCs/>
          <w:sz w:val="24"/>
          <w:szCs w:val="24"/>
        </w:rPr>
      </w:pPr>
      <w:r>
        <w:rPr>
          <w:rFonts w:hint="eastAsia" w:ascii="宋体" w:hAnsi="宋体" w:eastAsia="宋体" w:cs="宋体"/>
          <w:bCs/>
          <w:sz w:val="24"/>
          <w:szCs w:val="24"/>
        </w:rPr>
        <w:t>（4）因重大变故，采购任务取消的</w:t>
      </w:r>
      <w:bookmarkStart w:id="23" w:name="OLE_LINK27"/>
      <w:bookmarkStart w:id="24" w:name="OLE_LINK28"/>
      <w:bookmarkStart w:id="25" w:name="OLE_LINK25"/>
      <w:bookmarkStart w:id="26" w:name="OLE_LINK29"/>
      <w:bookmarkStart w:id="27" w:name="OLE_LINK26"/>
      <w:r>
        <w:rPr>
          <w:rFonts w:hint="eastAsia" w:ascii="宋体" w:hAnsi="宋体" w:eastAsia="宋体" w:cs="宋体"/>
          <w:bCs/>
          <w:sz w:val="24"/>
          <w:szCs w:val="24"/>
        </w:rPr>
        <w:t>；</w:t>
      </w:r>
      <w:bookmarkEnd w:id="23"/>
      <w:bookmarkEnd w:id="24"/>
      <w:bookmarkEnd w:id="25"/>
      <w:bookmarkEnd w:id="26"/>
      <w:bookmarkEnd w:id="27"/>
    </w:p>
    <w:p w14:paraId="6450B969">
      <w:pPr>
        <w:spacing w:line="360" w:lineRule="auto"/>
        <w:ind w:right="2" w:firstLine="480" w:firstLineChars="200"/>
        <w:rPr>
          <w:rFonts w:ascii="宋体" w:hAnsi="宋体" w:eastAsia="宋体" w:cs="宋体"/>
          <w:bCs/>
          <w:sz w:val="24"/>
          <w:szCs w:val="24"/>
        </w:rPr>
      </w:pPr>
      <w:r>
        <w:rPr>
          <w:rFonts w:hint="eastAsia" w:ascii="宋体" w:hAnsi="宋体" w:eastAsia="宋体" w:cs="宋体"/>
          <w:bCs/>
          <w:sz w:val="24"/>
          <w:szCs w:val="24"/>
        </w:rPr>
        <w:t>（5）投标人承诺同意由</w:t>
      </w:r>
      <w:r>
        <w:rPr>
          <w:rFonts w:hint="eastAsia" w:ascii="宋体" w:hAnsi="宋体" w:eastAsia="宋体" w:cs="宋体"/>
          <w:b w:val="0"/>
          <w:bCs/>
          <w:sz w:val="24"/>
          <w:szCs w:val="24"/>
        </w:rPr>
        <w:t>于招标</w:t>
      </w:r>
      <w:r>
        <w:rPr>
          <w:rFonts w:hint="eastAsia" w:ascii="宋体" w:hAnsi="宋体" w:eastAsia="宋体" w:cs="宋体"/>
          <w:bCs/>
          <w:sz w:val="24"/>
          <w:szCs w:val="24"/>
        </w:rPr>
        <w:t>人公司政策变化引起的随时终止项目的要求并承担由此带来的一切损失；</w:t>
      </w:r>
    </w:p>
    <w:p w14:paraId="458C3F8E">
      <w:pPr>
        <w:pStyle w:val="20"/>
        <w:spacing w:line="360" w:lineRule="auto"/>
        <w:ind w:firstLine="480" w:firstLineChars="200"/>
        <w:rPr>
          <w:rFonts w:hAnsi="宋体" w:eastAsia="宋体" w:cs="宋体"/>
          <w:bCs/>
          <w:sz w:val="24"/>
          <w:szCs w:val="24"/>
        </w:rPr>
      </w:pPr>
      <w:r>
        <w:rPr>
          <w:rFonts w:hint="eastAsia" w:hAnsi="宋体" w:eastAsia="宋体" w:cs="宋体"/>
          <w:bCs/>
          <w:sz w:val="24"/>
          <w:szCs w:val="24"/>
        </w:rPr>
        <w:t>（6）招标人认为其他应终止招标的情形。</w:t>
      </w:r>
    </w:p>
    <w:p w14:paraId="75DE4C59">
      <w:pPr>
        <w:spacing w:line="360" w:lineRule="auto"/>
        <w:ind w:right="2"/>
        <w:rPr>
          <w:rFonts w:ascii="宋体" w:hAnsi="宋体" w:eastAsia="宋体" w:cs="宋体"/>
          <w:color w:val="000000"/>
          <w:sz w:val="24"/>
          <w:szCs w:val="24"/>
        </w:rPr>
      </w:pPr>
      <w:r>
        <w:rPr>
          <w:rFonts w:hint="eastAsia" w:ascii="宋体" w:hAnsi="宋体" w:eastAsia="宋体" w:cs="宋体"/>
          <w:color w:val="000000"/>
          <w:sz w:val="24"/>
          <w:szCs w:val="24"/>
        </w:rPr>
        <w:t xml:space="preserve">    3.中标人瑕疵滞后发现的处理原则：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44D253E2">
      <w:pPr>
        <w:spacing w:line="360" w:lineRule="auto"/>
        <w:ind w:right="2" w:firstLine="482" w:firstLineChars="200"/>
        <w:outlineLvl w:val="1"/>
        <w:rPr>
          <w:rFonts w:ascii="宋体" w:hAnsi="宋体" w:eastAsia="宋体" w:cs="宋体"/>
          <w:b/>
          <w:color w:val="000000"/>
          <w:sz w:val="24"/>
          <w:szCs w:val="24"/>
        </w:rPr>
      </w:pPr>
      <w:r>
        <w:rPr>
          <w:rFonts w:hint="eastAsia" w:ascii="宋体" w:hAnsi="宋体" w:eastAsia="宋体" w:cs="宋体"/>
          <w:b/>
          <w:bCs/>
          <w:sz w:val="24"/>
          <w:szCs w:val="24"/>
        </w:rPr>
        <w:t>九、本次招标最终解释权</w:t>
      </w:r>
      <w:r>
        <w:rPr>
          <w:rFonts w:hint="eastAsia" w:ascii="宋体" w:hAnsi="宋体" w:eastAsia="宋体" w:cs="宋体"/>
          <w:b/>
          <w:color w:val="000000"/>
          <w:sz w:val="24"/>
          <w:szCs w:val="24"/>
        </w:rPr>
        <w:t>归中国重汽</w:t>
      </w:r>
      <w:r>
        <w:rPr>
          <w:rFonts w:hint="eastAsia" w:ascii="宋体" w:hAnsi="宋体" w:eastAsia="宋体" w:cs="宋体"/>
          <w:b/>
          <w:color w:val="000000"/>
          <w:sz w:val="24"/>
          <w:szCs w:val="24"/>
          <w:lang w:val="en-US" w:eastAsia="zh-CN"/>
        </w:rPr>
        <w:t>集团泰安五岳专用汽车</w:t>
      </w:r>
      <w:r>
        <w:rPr>
          <w:rFonts w:hint="eastAsia" w:ascii="宋体" w:hAnsi="宋体" w:eastAsia="宋体" w:cs="宋体"/>
          <w:b/>
          <w:color w:val="000000"/>
          <w:sz w:val="24"/>
          <w:szCs w:val="24"/>
        </w:rPr>
        <w:t>有限公司。</w:t>
      </w:r>
    </w:p>
    <w:p w14:paraId="14C1C082">
      <w:pPr>
        <w:pStyle w:val="20"/>
        <w:spacing w:line="360" w:lineRule="auto"/>
        <w:jc w:val="center"/>
        <w:rPr>
          <w:rFonts w:hAnsi="宋体" w:eastAsia="宋体" w:cs="宋体"/>
          <w:b/>
          <w:bCs/>
          <w:kern w:val="44"/>
          <w:sz w:val="24"/>
          <w:szCs w:val="24"/>
        </w:rPr>
        <w:sectPr>
          <w:footerReference r:id="rId9" w:type="default"/>
          <w:pgSz w:w="11907" w:h="16840"/>
          <w:pgMar w:top="1304" w:right="1418" w:bottom="1304" w:left="1418" w:header="724" w:footer="851" w:gutter="0"/>
          <w:cols w:space="720" w:num="1"/>
          <w:docGrid w:linePitch="290" w:charSpace="-3931"/>
        </w:sectPr>
      </w:pPr>
    </w:p>
    <w:p w14:paraId="18C616FE">
      <w:pPr>
        <w:pStyle w:val="20"/>
        <w:jc w:val="center"/>
        <w:outlineLvl w:val="0"/>
        <w:rPr>
          <w:rFonts w:eastAsia="黑体" w:asciiTheme="minorHAnsi" w:hAnsiTheme="minorHAnsi"/>
          <w:bCs/>
          <w:color w:val="000000"/>
          <w:kern w:val="44"/>
          <w:sz w:val="36"/>
          <w:szCs w:val="24"/>
        </w:rPr>
      </w:pPr>
      <w:bookmarkStart w:id="28" w:name="_Toc234572373"/>
      <w:r>
        <w:rPr>
          <w:rFonts w:hint="eastAsia" w:eastAsia="黑体" w:asciiTheme="minorHAnsi" w:hAnsiTheme="minorHAnsi"/>
          <w:bCs/>
          <w:color w:val="000000"/>
          <w:kern w:val="44"/>
          <w:sz w:val="36"/>
          <w:szCs w:val="24"/>
        </w:rPr>
        <w:t>第四部分 投标文件编制</w:t>
      </w:r>
      <w:bookmarkEnd w:id="28"/>
    </w:p>
    <w:p w14:paraId="33FA9F44">
      <w:pPr>
        <w:keepNext/>
        <w:keepLines/>
        <w:spacing w:line="360" w:lineRule="auto"/>
        <w:outlineLvl w:val="1"/>
        <w:rPr>
          <w:rFonts w:ascii="宋体" w:hAnsi="宋体" w:eastAsia="宋体" w:cs="宋体"/>
          <w:b/>
          <w:bCs/>
          <w:sz w:val="24"/>
          <w:szCs w:val="24"/>
        </w:rPr>
      </w:pPr>
      <w:r>
        <w:rPr>
          <w:rFonts w:hint="eastAsia" w:ascii="宋体" w:hAnsi="宋体" w:eastAsia="宋体" w:cs="宋体"/>
          <w:b/>
          <w:bCs/>
          <w:sz w:val="24"/>
          <w:szCs w:val="24"/>
        </w:rPr>
        <w:t>一、投标文件的编制</w:t>
      </w:r>
    </w:p>
    <w:p w14:paraId="630E2B9C">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1.投标人应认真阅读招标文件的所有内容，按招标文件的要求提供投标文件，并保证提供的全部资料的真实性，以使其投标对招标文件作出实质性响应，否则，其投标将被拒绝。</w:t>
      </w:r>
    </w:p>
    <w:p w14:paraId="742F382F">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2.投标文件和与投标有关的所有文件均应使用中文。</w:t>
      </w:r>
    </w:p>
    <w:p w14:paraId="769899B0">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3.除投标文件的技术规格中另有规定外，投标文件中所使用的计量单位应为中华人民共和国法定计量单位。</w:t>
      </w:r>
    </w:p>
    <w:p w14:paraId="6B0562DC">
      <w:pPr>
        <w:keepNext/>
        <w:keepLines/>
        <w:spacing w:line="360" w:lineRule="auto"/>
        <w:outlineLvl w:val="1"/>
        <w:rPr>
          <w:rFonts w:ascii="宋体" w:hAnsi="宋体" w:eastAsia="宋体" w:cs="宋体"/>
          <w:b/>
          <w:bCs/>
          <w:sz w:val="24"/>
          <w:szCs w:val="24"/>
        </w:rPr>
      </w:pPr>
      <w:r>
        <w:rPr>
          <w:rFonts w:hint="eastAsia" w:ascii="宋体" w:hAnsi="宋体" w:eastAsia="宋体" w:cs="宋体"/>
          <w:b/>
          <w:bCs/>
          <w:sz w:val="24"/>
          <w:szCs w:val="24"/>
        </w:rPr>
        <w:t>二、投标文件资料</w:t>
      </w:r>
    </w:p>
    <w:p w14:paraId="4861B078">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1.投标人所投标设备详细技术资料清单，在标书中列示说明；</w:t>
      </w:r>
    </w:p>
    <w:p w14:paraId="53B4DA52">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2.投标人完整的技术支持与售后服务实施方案，在标书中列示说明，包含但不限于以下内容：</w:t>
      </w:r>
    </w:p>
    <w:p w14:paraId="0DF2A21F">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A、除享受由本品牌生产厂家提供的正规的全球或全国联保三包服务之外，还能获得由本品牌生产厂家或经销商提供的何种免费支持、免费服务或其他对招标人有利的服务项目。</w:t>
      </w:r>
    </w:p>
    <w:p w14:paraId="0829E1AF">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B、售后服务机构或网点（名称、地址、联系人、电话）。</w:t>
      </w:r>
    </w:p>
    <w:p w14:paraId="212C0A6B">
      <w:pPr>
        <w:spacing w:line="360" w:lineRule="auto"/>
        <w:ind w:firstLine="480" w:firstLineChars="200"/>
        <w:rPr>
          <w:rFonts w:ascii="宋体" w:hAnsi="宋体" w:eastAsia="宋体" w:cs="宋体"/>
          <w:bCs/>
          <w:color w:val="000000"/>
          <w:sz w:val="24"/>
          <w:szCs w:val="24"/>
        </w:rPr>
      </w:pPr>
      <w:r>
        <w:rPr>
          <w:rFonts w:hint="eastAsia" w:ascii="宋体" w:hAnsi="宋体" w:eastAsia="宋体" w:cs="宋体"/>
          <w:bCs/>
          <w:color w:val="000000"/>
          <w:sz w:val="24"/>
          <w:szCs w:val="24"/>
        </w:rPr>
        <w:t>C、针对本项目的技术服务团队情况（人员数量、姓名、电话、专业资质等）。</w:t>
      </w:r>
    </w:p>
    <w:p w14:paraId="6ED7F211">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D、日常维护保养及故障排除措施保证。</w:t>
      </w:r>
    </w:p>
    <w:p w14:paraId="22F2C6F2">
      <w:pPr>
        <w:spacing w:line="360" w:lineRule="auto"/>
        <w:ind w:firstLine="480" w:firstLineChars="200"/>
        <w:rPr>
          <w:rFonts w:ascii="宋体" w:hAnsi="宋体" w:eastAsia="宋体" w:cs="宋体"/>
          <w:sz w:val="24"/>
          <w:szCs w:val="24"/>
        </w:rPr>
      </w:pPr>
      <w:r>
        <w:rPr>
          <w:rFonts w:hint="eastAsia" w:ascii="宋体" w:hAnsi="宋体" w:eastAsia="宋体" w:cs="宋体"/>
          <w:color w:val="000000"/>
          <w:sz w:val="24"/>
          <w:szCs w:val="24"/>
        </w:rPr>
        <w:t>3.投标人关于包装、检验、交付、安装、调试、培训等方案，均需在投标文件中列示说明。</w:t>
      </w:r>
    </w:p>
    <w:p w14:paraId="54DEF7FC">
      <w:pPr>
        <w:keepNext/>
        <w:keepLines/>
        <w:spacing w:line="360" w:lineRule="auto"/>
        <w:outlineLvl w:val="1"/>
        <w:rPr>
          <w:rFonts w:ascii="宋体" w:hAnsi="宋体" w:eastAsia="宋体" w:cs="宋体"/>
          <w:b/>
          <w:bCs/>
          <w:sz w:val="24"/>
          <w:szCs w:val="24"/>
        </w:rPr>
      </w:pPr>
      <w:r>
        <w:rPr>
          <w:rFonts w:hint="eastAsia" w:ascii="宋体" w:hAnsi="宋体" w:eastAsia="宋体" w:cs="宋体"/>
          <w:b/>
          <w:bCs/>
          <w:sz w:val="24"/>
          <w:szCs w:val="24"/>
        </w:rPr>
        <w:t>三、投标文件的组成</w:t>
      </w:r>
    </w:p>
    <w:p w14:paraId="23D10F3E">
      <w:pPr>
        <w:spacing w:line="360" w:lineRule="auto"/>
        <w:ind w:firstLine="480" w:firstLineChars="200"/>
        <w:rPr>
          <w:rFonts w:ascii="宋体" w:hAnsi="宋体" w:eastAsia="宋体" w:cs="宋体"/>
          <w:bCs/>
          <w:color w:val="000000"/>
          <w:sz w:val="24"/>
          <w:szCs w:val="24"/>
        </w:rPr>
      </w:pPr>
      <w:r>
        <w:rPr>
          <w:rFonts w:hint="eastAsia" w:ascii="宋体" w:hAnsi="宋体" w:eastAsia="宋体" w:cs="宋体"/>
          <w:bCs/>
          <w:sz w:val="24"/>
          <w:szCs w:val="24"/>
        </w:rPr>
        <w:t>本项目投标文件分为</w:t>
      </w:r>
      <w:r>
        <w:rPr>
          <w:rFonts w:hint="eastAsia" w:ascii="宋体" w:hAnsi="宋体" w:eastAsia="宋体" w:cs="宋体"/>
          <w:b/>
          <w:sz w:val="24"/>
          <w:szCs w:val="24"/>
        </w:rPr>
        <w:t>纸质版</w:t>
      </w:r>
      <w:r>
        <w:rPr>
          <w:rFonts w:hint="eastAsia" w:ascii="宋体" w:hAnsi="宋体" w:eastAsia="宋体" w:cs="宋体"/>
          <w:bCs/>
          <w:sz w:val="24"/>
          <w:szCs w:val="24"/>
        </w:rPr>
        <w:t>投标文件和</w:t>
      </w:r>
      <w:r>
        <w:rPr>
          <w:rFonts w:hint="eastAsia" w:ascii="宋体" w:hAnsi="宋体" w:eastAsia="宋体" w:cs="宋体"/>
          <w:b/>
          <w:sz w:val="24"/>
          <w:szCs w:val="24"/>
        </w:rPr>
        <w:t>电子版</w:t>
      </w:r>
      <w:r>
        <w:rPr>
          <w:rFonts w:hint="eastAsia" w:ascii="宋体" w:hAnsi="宋体" w:eastAsia="宋体" w:cs="宋体"/>
          <w:bCs/>
          <w:sz w:val="24"/>
          <w:szCs w:val="24"/>
        </w:rPr>
        <w:t>投标文件，均由</w:t>
      </w:r>
      <w:r>
        <w:rPr>
          <w:rFonts w:hint="eastAsia" w:ascii="宋体" w:hAnsi="宋体" w:eastAsia="宋体" w:cs="宋体"/>
          <w:b/>
          <w:sz w:val="24"/>
          <w:szCs w:val="24"/>
        </w:rPr>
        <w:t>《投标文件（资质标）》、《投标文件（技术标）》、《投标文件（商务标）》、《开标一览表》</w:t>
      </w:r>
      <w:r>
        <w:rPr>
          <w:rFonts w:hint="eastAsia" w:ascii="宋体" w:hAnsi="宋体" w:eastAsia="宋体" w:cs="宋体"/>
          <w:bCs/>
          <w:sz w:val="24"/>
          <w:szCs w:val="24"/>
        </w:rPr>
        <w:t>文件组成，共计</w:t>
      </w:r>
      <w:r>
        <w:rPr>
          <w:rFonts w:ascii="宋体" w:hAnsi="宋体" w:eastAsia="宋体" w:cs="宋体"/>
          <w:bCs/>
          <w:sz w:val="24"/>
          <w:szCs w:val="24"/>
        </w:rPr>
        <w:t>4</w:t>
      </w:r>
      <w:r>
        <w:rPr>
          <w:rFonts w:hint="eastAsia" w:ascii="宋体" w:hAnsi="宋体" w:eastAsia="宋体" w:cs="宋体"/>
          <w:bCs/>
          <w:color w:val="000000"/>
          <w:sz w:val="24"/>
          <w:szCs w:val="24"/>
        </w:rPr>
        <w:t>个文件。</w:t>
      </w:r>
    </w:p>
    <w:p w14:paraId="776BFC5C">
      <w:pPr>
        <w:spacing w:line="360" w:lineRule="auto"/>
        <w:ind w:firstLine="482" w:firstLineChars="200"/>
        <w:rPr>
          <w:rFonts w:ascii="宋体" w:hAnsi="宋体" w:eastAsia="宋体" w:cs="宋体"/>
          <w:bCs/>
          <w:color w:val="000000"/>
          <w:sz w:val="24"/>
          <w:szCs w:val="24"/>
        </w:rPr>
      </w:pPr>
      <w:r>
        <w:rPr>
          <w:rFonts w:hint="eastAsia" w:ascii="宋体" w:hAnsi="宋体" w:eastAsia="宋体" w:cs="宋体"/>
          <w:b/>
          <w:color w:val="000000"/>
          <w:sz w:val="24"/>
          <w:szCs w:val="24"/>
        </w:rPr>
        <w:t>投标文件的份数要求及投递方式</w:t>
      </w:r>
      <w:r>
        <w:rPr>
          <w:rFonts w:hint="eastAsia" w:ascii="宋体" w:hAnsi="宋体" w:eastAsia="宋体" w:cs="宋体"/>
          <w:bCs/>
          <w:color w:val="000000"/>
          <w:sz w:val="24"/>
          <w:szCs w:val="24"/>
        </w:rPr>
        <w:t>，见《投标须知前附表》第3条。</w:t>
      </w:r>
    </w:p>
    <w:p w14:paraId="23282959">
      <w:pPr>
        <w:spacing w:line="360" w:lineRule="auto"/>
        <w:ind w:firstLine="480" w:firstLineChars="200"/>
        <w:rPr>
          <w:rFonts w:ascii="宋体" w:hAnsi="宋体" w:eastAsia="宋体" w:cs="宋体"/>
          <w:bCs/>
          <w:color w:val="000000"/>
          <w:sz w:val="24"/>
          <w:szCs w:val="24"/>
        </w:rPr>
      </w:pPr>
      <w:r>
        <w:rPr>
          <w:rFonts w:hint="eastAsia" w:ascii="宋体" w:hAnsi="宋体" w:eastAsia="宋体" w:cs="宋体"/>
          <w:bCs/>
          <w:color w:val="000000"/>
          <w:sz w:val="24"/>
          <w:szCs w:val="24"/>
        </w:rPr>
        <w:t>详见附件格式1—13，其余未尽事宜请按各单位习惯制定即可。</w:t>
      </w:r>
    </w:p>
    <w:p w14:paraId="098F0361">
      <w:pPr>
        <w:spacing w:line="360" w:lineRule="auto"/>
        <w:ind w:firstLine="482" w:firstLineChars="200"/>
        <w:rPr>
          <w:rFonts w:ascii="宋体" w:hAnsi="宋体" w:eastAsia="宋体" w:cs="宋体"/>
          <w:color w:val="000000"/>
          <w:sz w:val="24"/>
          <w:szCs w:val="24"/>
        </w:rPr>
      </w:pPr>
      <w:r>
        <w:rPr>
          <w:rFonts w:hint="eastAsia" w:ascii="宋体" w:hAnsi="宋体" w:eastAsia="宋体" w:cs="宋体"/>
          <w:b/>
          <w:bCs/>
          <w:sz w:val="24"/>
          <w:szCs w:val="24"/>
        </w:rPr>
        <w:t>1.《投标文件（资质标）》包括</w:t>
      </w:r>
      <w:r>
        <w:rPr>
          <w:rFonts w:hint="eastAsia" w:ascii="宋体" w:hAnsi="宋体" w:eastAsia="宋体" w:cs="宋体"/>
          <w:color w:val="000000"/>
          <w:sz w:val="24"/>
          <w:szCs w:val="24"/>
        </w:rPr>
        <w:t>：</w:t>
      </w:r>
    </w:p>
    <w:p w14:paraId="11890282">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1.1营业执照副本复印件（需加盖公章）；</w:t>
      </w:r>
    </w:p>
    <w:p w14:paraId="24E1B4F9">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1.2投标函（附件1）；</w:t>
      </w:r>
    </w:p>
    <w:p w14:paraId="0D56C4E7">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1.3法定代表人授权书（附件2）；法定代表人参加投标的，提供法人身份证明文件即可；被授权人参加投标的，需提供法定代表人授权委托书</w:t>
      </w:r>
      <w:r>
        <w:rPr>
          <w:rFonts w:hint="eastAsia" w:ascii="宋体" w:hAnsi="宋体" w:eastAsia="宋体" w:cs="宋体"/>
          <w:b/>
          <w:color w:val="000000"/>
          <w:sz w:val="24"/>
          <w:szCs w:val="24"/>
        </w:rPr>
        <w:t>（含法人身份证和被授权人身份证正反面复印件）；</w:t>
      </w:r>
    </w:p>
    <w:p w14:paraId="5CC22F88">
      <w:pPr>
        <w:spacing w:line="360" w:lineRule="auto"/>
        <w:ind w:firstLine="480" w:firstLineChars="200"/>
        <w:rPr>
          <w:rFonts w:ascii="宋体" w:hAnsi="宋体" w:eastAsia="宋体" w:cs="宋体"/>
          <w:b/>
          <w:color w:val="000000"/>
          <w:sz w:val="24"/>
          <w:szCs w:val="24"/>
          <w:highlight w:val="yellow"/>
        </w:rPr>
      </w:pPr>
      <w:r>
        <w:rPr>
          <w:rFonts w:hint="eastAsia" w:ascii="宋体" w:hAnsi="宋体" w:eastAsia="宋体" w:cs="宋体"/>
          <w:color w:val="000000"/>
          <w:sz w:val="24"/>
          <w:szCs w:val="24"/>
        </w:rPr>
        <w:t>1.4近三年经第三方机构审计的财务报表（报告页、资产负债表、损益表、现金流量表）复印件（需加盖公章），必须连续，同时填写投标人基本情况表（附件3）</w:t>
      </w:r>
      <w:r>
        <w:rPr>
          <w:rFonts w:hint="eastAsia" w:ascii="宋体" w:hAnsi="宋体" w:eastAsia="宋体" w:cs="宋体"/>
          <w:b/>
          <w:color w:val="000000"/>
          <w:sz w:val="24"/>
          <w:szCs w:val="24"/>
        </w:rPr>
        <w:t>；</w:t>
      </w:r>
    </w:p>
    <w:p w14:paraId="567F7299">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1.5近三年内在经营活动中</w:t>
      </w:r>
      <w:r>
        <w:rPr>
          <w:rFonts w:hint="eastAsia" w:hAnsi="宋体" w:eastAsia="宋体" w:cs="宋体"/>
          <w:color w:val="000000"/>
          <w:sz w:val="24"/>
          <w:szCs w:val="24"/>
        </w:rPr>
        <w:t>无与本项目有关的违法及重大违规</w:t>
      </w:r>
      <w:r>
        <w:rPr>
          <w:rFonts w:hint="eastAsia" w:ascii="宋体" w:hAnsi="宋体" w:eastAsia="宋体" w:cs="宋体"/>
          <w:color w:val="000000"/>
          <w:sz w:val="24"/>
          <w:szCs w:val="24"/>
        </w:rPr>
        <w:t>行为的声明；</w:t>
      </w:r>
    </w:p>
    <w:p w14:paraId="5A1BAC07">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1.6投标人在国家企业信用信息公示系统中无与本项目有关的行政处罚、经营异常和失信信息的声明；</w:t>
      </w:r>
      <w:r>
        <w:rPr>
          <w:rFonts w:ascii="宋体" w:hAnsi="宋体" w:eastAsia="宋体" w:cs="宋体"/>
          <w:color w:val="000000"/>
          <w:sz w:val="24"/>
          <w:szCs w:val="24"/>
        </w:rPr>
        <w:t xml:space="preserve"> </w:t>
      </w:r>
    </w:p>
    <w:p w14:paraId="7916DDD2">
      <w:pPr>
        <w:spacing w:line="360" w:lineRule="auto"/>
        <w:ind w:firstLine="480" w:firstLineChars="200"/>
      </w:pPr>
      <w:r>
        <w:rPr>
          <w:rFonts w:hint="eastAsia" w:ascii="宋体" w:hAnsi="宋体" w:eastAsia="宋体" w:cs="宋体"/>
          <w:color w:val="000000"/>
          <w:sz w:val="24"/>
          <w:szCs w:val="24"/>
        </w:rPr>
        <w:t>1.7</w:t>
      </w:r>
      <w:r>
        <w:rPr>
          <w:rFonts w:ascii="宋体" w:hAnsi="宋体" w:eastAsia="宋体" w:cs="宋体"/>
          <w:sz w:val="24"/>
          <w:szCs w:val="24"/>
        </w:rPr>
        <w:t>企业对外担保说明（写明贵单位对外有无对外担保和质押业务，需加盖公章）</w:t>
      </w:r>
      <w:r>
        <w:rPr>
          <w:rFonts w:hint="eastAsia" w:ascii="宋体" w:hAnsi="宋体" w:eastAsia="宋体" w:cs="宋体"/>
          <w:color w:val="000000"/>
          <w:sz w:val="24"/>
          <w:szCs w:val="24"/>
        </w:rPr>
        <w:t>；</w:t>
      </w:r>
    </w:p>
    <w:p w14:paraId="33262EFE">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1.8企业信用证明材料（征信中心出具的信用报告）；</w:t>
      </w:r>
    </w:p>
    <w:p w14:paraId="068D13A7">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1.9企业最近半年的完税证明，并附</w:t>
      </w:r>
      <w:r>
        <w:rPr>
          <w:rFonts w:ascii="宋体" w:hAnsi="宋体" w:eastAsia="宋体" w:cs="宋体"/>
          <w:sz w:val="24"/>
          <w:szCs w:val="24"/>
        </w:rPr>
        <w:t>年度纳税信用评价信息（可从电子税务局查询截图，需加盖公章）</w:t>
      </w:r>
      <w:r>
        <w:rPr>
          <w:rFonts w:hint="eastAsia" w:ascii="宋体" w:hAnsi="宋体" w:eastAsia="宋体" w:cs="宋体"/>
          <w:color w:val="000000"/>
          <w:sz w:val="24"/>
          <w:szCs w:val="24"/>
        </w:rPr>
        <w:t>；</w:t>
      </w:r>
    </w:p>
    <w:p w14:paraId="6D939E3D">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1.1</w:t>
      </w:r>
      <w:r>
        <w:rPr>
          <w:rFonts w:hint="eastAsia" w:ascii="宋体" w:hAnsi="宋体" w:eastAsia="宋体" w:cs="宋体"/>
          <w:color w:val="000000"/>
          <w:sz w:val="24"/>
          <w:szCs w:val="24"/>
          <w:lang w:val="en-US" w:eastAsia="zh-CN"/>
        </w:rPr>
        <w:t>0</w:t>
      </w:r>
      <w:r>
        <w:rPr>
          <w:rFonts w:hint="eastAsia" w:ascii="宋体" w:hAnsi="宋体" w:eastAsia="宋体" w:cs="宋体"/>
          <w:color w:val="000000"/>
          <w:sz w:val="24"/>
          <w:szCs w:val="24"/>
        </w:rPr>
        <w:t>保密承诺函（附件4）；</w:t>
      </w:r>
    </w:p>
    <w:p w14:paraId="62FD338B">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1.1</w:t>
      </w:r>
      <w:r>
        <w:rPr>
          <w:rFonts w:hint="eastAsia" w:ascii="宋体" w:hAnsi="宋体" w:eastAsia="宋体" w:cs="宋体"/>
          <w:color w:val="000000"/>
          <w:sz w:val="24"/>
          <w:szCs w:val="24"/>
          <w:lang w:val="en-US" w:eastAsia="zh-CN"/>
        </w:rPr>
        <w:t>1</w:t>
      </w:r>
      <w:r>
        <w:rPr>
          <w:rFonts w:hint="eastAsia" w:ascii="宋体" w:hAnsi="宋体" w:eastAsia="宋体" w:cs="宋体"/>
          <w:color w:val="000000"/>
          <w:sz w:val="24"/>
          <w:szCs w:val="24"/>
        </w:rPr>
        <w:t>202</w:t>
      </w:r>
      <w:r>
        <w:rPr>
          <w:rFonts w:ascii="宋体" w:hAnsi="宋体" w:eastAsia="宋体" w:cs="宋体"/>
          <w:color w:val="000000"/>
          <w:sz w:val="24"/>
          <w:szCs w:val="24"/>
        </w:rPr>
        <w:t>1</w:t>
      </w:r>
      <w:r>
        <w:rPr>
          <w:rFonts w:hint="eastAsia" w:ascii="宋体" w:hAnsi="宋体" w:eastAsia="宋体" w:cs="宋体"/>
          <w:color w:val="000000"/>
          <w:sz w:val="24"/>
          <w:szCs w:val="24"/>
        </w:rPr>
        <w:t>年1月1日至今，企业近五年同类项目业绩证明，</w:t>
      </w:r>
      <w:r>
        <w:rPr>
          <w:rFonts w:ascii="宋体" w:hAnsi="宋体" w:eastAsia="宋体" w:cs="宋体"/>
          <w:sz w:val="24"/>
          <w:szCs w:val="24"/>
        </w:rPr>
        <w:t>须提供</w:t>
      </w:r>
      <w:r>
        <w:rPr>
          <w:rFonts w:hint="eastAsia" w:hAnsi="宋体" w:eastAsia="宋体" w:cs="宋体"/>
          <w:b/>
          <w:bCs/>
          <w:color w:val="000000"/>
          <w:kern w:val="0"/>
          <w:sz w:val="24"/>
          <w:szCs w:val="24"/>
        </w:rPr>
        <w:t>用户清单</w:t>
      </w:r>
      <w:r>
        <w:rPr>
          <w:rFonts w:ascii="宋体" w:hAnsi="宋体" w:eastAsia="宋体" w:cs="宋体"/>
          <w:sz w:val="24"/>
          <w:szCs w:val="24"/>
        </w:rPr>
        <w:t>、采购合同</w:t>
      </w:r>
      <w:r>
        <w:rPr>
          <w:rFonts w:hint="eastAsia" w:ascii="宋体" w:hAnsi="宋体" w:eastAsia="宋体" w:cs="宋体"/>
          <w:sz w:val="24"/>
          <w:szCs w:val="24"/>
        </w:rPr>
        <w:t>复印件</w:t>
      </w:r>
      <w:r>
        <w:rPr>
          <w:rFonts w:hint="eastAsia" w:ascii="宋体" w:hAnsi="宋体" w:eastAsia="宋体" w:cs="宋体"/>
          <w:color w:val="000000"/>
          <w:sz w:val="24"/>
          <w:szCs w:val="24"/>
        </w:rPr>
        <w:t>；</w:t>
      </w:r>
    </w:p>
    <w:p w14:paraId="03A30AF8">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1.13投标保证金缴纳凭证。</w:t>
      </w:r>
    </w:p>
    <w:p w14:paraId="1D1E1F66">
      <w:pPr>
        <w:spacing w:line="360" w:lineRule="auto"/>
        <w:ind w:firstLine="482" w:firstLineChars="200"/>
        <w:rPr>
          <w:rFonts w:ascii="宋体" w:hAnsi="宋体" w:eastAsia="宋体" w:cs="宋体"/>
          <w:b/>
          <w:bCs/>
          <w:sz w:val="24"/>
          <w:szCs w:val="24"/>
        </w:rPr>
      </w:pPr>
      <w:bookmarkStart w:id="29" w:name="_Toc212369515"/>
      <w:r>
        <w:rPr>
          <w:rFonts w:hint="eastAsia" w:ascii="宋体" w:hAnsi="宋体" w:eastAsia="宋体" w:cs="宋体"/>
          <w:b/>
          <w:bCs/>
          <w:sz w:val="24"/>
          <w:szCs w:val="24"/>
        </w:rPr>
        <w:t>2.</w:t>
      </w:r>
      <w:r>
        <w:rPr>
          <w:rFonts w:hint="eastAsia" w:ascii="宋体" w:hAnsi="宋体" w:eastAsia="宋体" w:cs="宋体"/>
          <w:b/>
          <w:sz w:val="24"/>
          <w:szCs w:val="24"/>
        </w:rPr>
        <w:t>《投标文件（技术标）》</w:t>
      </w:r>
      <w:r>
        <w:rPr>
          <w:rFonts w:hint="eastAsia" w:ascii="宋体" w:hAnsi="宋体" w:eastAsia="宋体" w:cs="宋体"/>
          <w:b/>
          <w:bCs/>
          <w:sz w:val="24"/>
          <w:szCs w:val="24"/>
        </w:rPr>
        <w:t>：</w:t>
      </w:r>
      <w:bookmarkEnd w:id="29"/>
    </w:p>
    <w:p w14:paraId="74A37B6C">
      <w:pPr>
        <w:spacing w:line="360" w:lineRule="auto"/>
        <w:ind w:firstLine="480" w:firstLineChars="200"/>
        <w:rPr>
          <w:rFonts w:ascii="宋体" w:hAnsi="宋体" w:eastAsia="宋体" w:cs="宋体"/>
          <w:b/>
          <w:color w:val="000000"/>
          <w:sz w:val="24"/>
          <w:szCs w:val="24"/>
        </w:rPr>
      </w:pPr>
      <w:r>
        <w:rPr>
          <w:rFonts w:hint="eastAsia" w:ascii="宋体" w:hAnsi="宋体" w:eastAsia="宋体" w:cs="宋体"/>
          <w:color w:val="000000"/>
          <w:sz w:val="24"/>
          <w:szCs w:val="24"/>
        </w:rPr>
        <w:t>2.1技术规格偏离表（附件5），</w:t>
      </w:r>
      <w:r>
        <w:rPr>
          <w:rFonts w:hint="eastAsia" w:ascii="宋体" w:hAnsi="宋体" w:eastAsia="宋体" w:cs="宋体"/>
          <w:b/>
          <w:color w:val="000000"/>
          <w:sz w:val="24"/>
          <w:szCs w:val="24"/>
        </w:rPr>
        <w:t>必须先进行两列要求一一对照，不允许直接写无偏离；</w:t>
      </w:r>
    </w:p>
    <w:p w14:paraId="7F0EB3E1">
      <w:pPr>
        <w:spacing w:line="360" w:lineRule="auto"/>
        <w:ind w:firstLine="480" w:firstLineChars="200"/>
        <w:rPr>
          <w:rFonts w:hAnsi="宋体" w:eastAsia="宋体" w:cs="宋体"/>
          <w:b/>
          <w:color w:val="000000"/>
          <w:sz w:val="24"/>
          <w:szCs w:val="24"/>
          <w:highlight w:val="yellow"/>
        </w:rPr>
      </w:pPr>
      <w:r>
        <w:rPr>
          <w:rFonts w:hint="eastAsia" w:ascii="宋体" w:hAnsi="宋体" w:eastAsia="宋体" w:cs="宋体"/>
          <w:bCs/>
          <w:color w:val="000000"/>
          <w:sz w:val="24"/>
          <w:szCs w:val="24"/>
        </w:rPr>
        <w:t>2.2</w:t>
      </w:r>
      <w:r>
        <w:rPr>
          <w:rFonts w:hint="eastAsia" w:hAnsi="宋体" w:eastAsia="宋体" w:cs="宋体"/>
          <w:color w:val="000000"/>
          <w:sz w:val="24"/>
          <w:szCs w:val="24"/>
        </w:rPr>
        <w:t>设备分项配置表（附件</w:t>
      </w:r>
      <w:r>
        <w:rPr>
          <w:rFonts w:hint="eastAsia" w:hAnsi="宋体" w:eastAsia="宋体" w:cs="宋体"/>
          <w:color w:val="000000"/>
          <w:sz w:val="24"/>
          <w:szCs w:val="24"/>
          <w:lang w:val="en-US" w:eastAsia="zh-CN"/>
        </w:rPr>
        <w:t>15</w:t>
      </w:r>
      <w:r>
        <w:rPr>
          <w:rFonts w:hint="eastAsia" w:hAnsi="宋体" w:eastAsia="宋体" w:cs="宋体"/>
          <w:color w:val="000000"/>
          <w:sz w:val="24"/>
          <w:szCs w:val="24"/>
        </w:rPr>
        <w:t>），列明项目设备分项配置规格型号、品牌等信息，但</w:t>
      </w:r>
      <w:r>
        <w:rPr>
          <w:rFonts w:hint="eastAsia" w:ascii="宋体" w:hAnsi="宋体" w:eastAsia="宋体" w:cs="宋体"/>
          <w:b/>
          <w:color w:val="000000"/>
          <w:sz w:val="24"/>
          <w:szCs w:val="24"/>
        </w:rPr>
        <w:t>注意：</w:t>
      </w:r>
      <w:r>
        <w:rPr>
          <w:rFonts w:hint="eastAsia" w:hAnsi="宋体" w:eastAsia="宋体" w:cs="宋体"/>
          <w:b/>
          <w:color w:val="000000"/>
          <w:sz w:val="24"/>
          <w:szCs w:val="24"/>
        </w:rPr>
        <w:t>此表在技术标书中，禁止出现任何分项价格及项目总价；</w:t>
      </w:r>
    </w:p>
    <w:p w14:paraId="23B492A8">
      <w:pPr>
        <w:spacing w:line="360" w:lineRule="auto"/>
        <w:ind w:firstLine="480" w:firstLineChars="200"/>
        <w:rPr>
          <w:rFonts w:ascii="宋体" w:hAnsi="宋体" w:eastAsia="宋体" w:cs="宋体"/>
          <w:b/>
          <w:color w:val="000000"/>
          <w:sz w:val="24"/>
          <w:szCs w:val="24"/>
        </w:rPr>
      </w:pPr>
      <w:r>
        <w:rPr>
          <w:rFonts w:hint="eastAsia" w:ascii="宋体" w:hAnsi="宋体" w:eastAsia="宋体" w:cs="宋体"/>
          <w:color w:val="000000"/>
          <w:sz w:val="24"/>
          <w:szCs w:val="24"/>
        </w:rPr>
        <w:t>2.3提供202</w:t>
      </w:r>
      <w:r>
        <w:rPr>
          <w:rFonts w:ascii="宋体" w:hAnsi="宋体" w:eastAsia="宋体" w:cs="宋体"/>
          <w:color w:val="000000"/>
          <w:sz w:val="24"/>
          <w:szCs w:val="24"/>
        </w:rPr>
        <w:t>1</w:t>
      </w:r>
      <w:r>
        <w:rPr>
          <w:rFonts w:hint="eastAsia" w:ascii="宋体" w:hAnsi="宋体" w:eastAsia="宋体" w:cs="宋体"/>
          <w:color w:val="000000"/>
          <w:sz w:val="24"/>
          <w:szCs w:val="24"/>
        </w:rPr>
        <w:t>年1月1日以来同类产品的制造销售业绩（用户名单、联系方式），并附合同复印件。该同类项目业绩一览表必</w:t>
      </w:r>
      <w:r>
        <w:rPr>
          <w:rFonts w:hint="eastAsia" w:ascii="宋体" w:hAnsi="宋体" w:eastAsia="宋体" w:cs="宋体"/>
          <w:b/>
          <w:bCs/>
          <w:color w:val="000000"/>
          <w:sz w:val="24"/>
          <w:szCs w:val="24"/>
        </w:rPr>
        <w:t>须如实填写，应全尽全</w:t>
      </w:r>
      <w:r>
        <w:rPr>
          <w:rFonts w:hint="eastAsia" w:ascii="宋体" w:hAnsi="宋体" w:eastAsia="宋体" w:cs="宋体"/>
          <w:color w:val="000000"/>
          <w:sz w:val="24"/>
          <w:szCs w:val="24"/>
        </w:rPr>
        <w:t>；</w:t>
      </w:r>
      <w:r>
        <w:rPr>
          <w:rFonts w:hint="eastAsia" w:ascii="宋体" w:hAnsi="宋体" w:eastAsia="宋体" w:cs="宋体"/>
          <w:b/>
          <w:bCs/>
          <w:color w:val="000000"/>
          <w:sz w:val="24"/>
          <w:szCs w:val="24"/>
        </w:rPr>
        <w:t>一览表最终的所有业绩合同汇总必填</w:t>
      </w:r>
      <w:r>
        <w:rPr>
          <w:rFonts w:hint="eastAsia" w:ascii="宋体" w:hAnsi="宋体" w:eastAsia="宋体" w:cs="宋体"/>
          <w:color w:val="000000"/>
          <w:sz w:val="24"/>
          <w:szCs w:val="24"/>
        </w:rPr>
        <w:t>，数据将影响现场评标专家组对投标单位的业绩考评。</w:t>
      </w:r>
      <w:r>
        <w:rPr>
          <w:rFonts w:hint="eastAsia" w:ascii="宋体" w:hAnsi="宋体" w:eastAsia="宋体" w:cs="宋体"/>
          <w:b/>
          <w:bCs/>
          <w:color w:val="000000"/>
          <w:sz w:val="24"/>
          <w:szCs w:val="24"/>
        </w:rPr>
        <w:t>若未提供相应业绩证明，根据技术标评分规则，将影响现场评标专家组对投标单位业绩判定打分</w:t>
      </w:r>
      <w:r>
        <w:rPr>
          <w:rFonts w:hint="eastAsia" w:ascii="宋体" w:hAnsi="宋体" w:eastAsia="宋体" w:cs="宋体"/>
          <w:b/>
          <w:color w:val="000000"/>
          <w:sz w:val="24"/>
          <w:szCs w:val="24"/>
        </w:rPr>
        <w:t>；</w:t>
      </w:r>
    </w:p>
    <w:p w14:paraId="00202A20">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2.4供货期及保证措施；</w:t>
      </w:r>
    </w:p>
    <w:p w14:paraId="6F758B2E">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2.5产品的技术服务和售后服务内容及措施；</w:t>
      </w:r>
    </w:p>
    <w:p w14:paraId="60C53FE3">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2.6交货进度及计划；</w:t>
      </w:r>
    </w:p>
    <w:p w14:paraId="66FEA66C">
      <w:pPr>
        <w:spacing w:line="360" w:lineRule="auto"/>
        <w:ind w:firstLine="480" w:firstLineChars="200"/>
        <w:rPr>
          <w:rFonts w:ascii="宋体" w:hAnsi="宋体" w:eastAsia="宋体" w:cs="宋体"/>
          <w:color w:val="000000"/>
          <w:sz w:val="24"/>
          <w:szCs w:val="24"/>
        </w:rPr>
      </w:pPr>
      <w:bookmarkStart w:id="30" w:name="_Toc536542319"/>
      <w:r>
        <w:rPr>
          <w:rFonts w:hint="eastAsia" w:ascii="宋体" w:hAnsi="宋体" w:eastAsia="宋体" w:cs="宋体"/>
          <w:color w:val="000000"/>
          <w:sz w:val="24"/>
          <w:szCs w:val="24"/>
        </w:rPr>
        <w:t>2.7投标产品技术支持材料</w:t>
      </w:r>
      <w:bookmarkEnd w:id="30"/>
      <w:r>
        <w:rPr>
          <w:rFonts w:hint="eastAsia" w:ascii="宋体" w:hAnsi="宋体" w:eastAsia="宋体" w:cs="宋体"/>
          <w:color w:val="000000"/>
          <w:sz w:val="24"/>
          <w:szCs w:val="24"/>
        </w:rPr>
        <w:t>；</w:t>
      </w:r>
    </w:p>
    <w:p w14:paraId="1FA1C80F">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2.8设备质量承诺函（附件7）；</w:t>
      </w:r>
    </w:p>
    <w:p w14:paraId="655CE6D7">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2.9投标人需提交的其它资料。</w:t>
      </w:r>
    </w:p>
    <w:p w14:paraId="2B902A48">
      <w:pPr>
        <w:spacing w:line="360" w:lineRule="auto"/>
        <w:ind w:firstLine="482" w:firstLineChars="200"/>
        <w:rPr>
          <w:rFonts w:ascii="宋体" w:hAnsi="宋体" w:eastAsia="宋体" w:cs="宋体"/>
          <w:b/>
          <w:bCs/>
          <w:sz w:val="24"/>
          <w:szCs w:val="24"/>
        </w:rPr>
      </w:pPr>
      <w:r>
        <w:rPr>
          <w:rFonts w:hint="eastAsia" w:ascii="宋体" w:hAnsi="宋体" w:eastAsia="宋体" w:cs="宋体"/>
          <w:b/>
          <w:bCs/>
          <w:sz w:val="24"/>
          <w:szCs w:val="24"/>
        </w:rPr>
        <w:t>3.</w:t>
      </w:r>
      <w:r>
        <w:rPr>
          <w:rFonts w:hint="eastAsia" w:ascii="宋体" w:hAnsi="宋体" w:eastAsia="宋体" w:cs="宋体"/>
          <w:b/>
          <w:sz w:val="24"/>
          <w:szCs w:val="24"/>
        </w:rPr>
        <w:t>《投标文件（商务标）》</w:t>
      </w:r>
      <w:r>
        <w:rPr>
          <w:rFonts w:hint="eastAsia" w:ascii="宋体" w:hAnsi="宋体" w:eastAsia="宋体" w:cs="宋体"/>
          <w:b/>
          <w:bCs/>
          <w:sz w:val="24"/>
          <w:szCs w:val="24"/>
        </w:rPr>
        <w:t>：</w:t>
      </w:r>
    </w:p>
    <w:p w14:paraId="4B94C938">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3.</w:t>
      </w:r>
      <w:r>
        <w:rPr>
          <w:rFonts w:ascii="宋体" w:hAnsi="宋体" w:eastAsia="宋体" w:cs="宋体"/>
          <w:color w:val="000000"/>
          <w:sz w:val="24"/>
          <w:szCs w:val="24"/>
        </w:rPr>
        <w:t>1</w:t>
      </w:r>
      <w:r>
        <w:rPr>
          <w:rFonts w:hint="eastAsia" w:ascii="宋体" w:hAnsi="宋体" w:eastAsia="宋体" w:cs="宋体"/>
          <w:color w:val="000000"/>
          <w:sz w:val="24"/>
          <w:szCs w:val="24"/>
        </w:rPr>
        <w:t>投标报价明细表（附件</w:t>
      </w:r>
      <w:r>
        <w:rPr>
          <w:rFonts w:hint="eastAsia" w:ascii="宋体" w:hAnsi="宋体" w:eastAsia="宋体" w:cs="宋体"/>
          <w:color w:val="000000"/>
          <w:sz w:val="24"/>
          <w:szCs w:val="24"/>
          <w:lang w:val="en-US" w:eastAsia="zh-CN"/>
        </w:rPr>
        <w:t>9</w:t>
      </w:r>
      <w:r>
        <w:rPr>
          <w:rFonts w:hint="eastAsia" w:ascii="宋体" w:hAnsi="宋体" w:eastAsia="宋体" w:cs="宋体"/>
          <w:color w:val="000000"/>
          <w:sz w:val="24"/>
          <w:szCs w:val="24"/>
        </w:rPr>
        <w:t>）</w:t>
      </w:r>
      <w:r>
        <w:rPr>
          <w:rFonts w:hint="eastAsia" w:ascii="宋体" w:hAnsi="宋体" w:eastAsia="宋体" w:cs="宋体"/>
          <w:b/>
          <w:color w:val="000000"/>
          <w:sz w:val="24"/>
          <w:szCs w:val="24"/>
        </w:rPr>
        <w:t>；</w:t>
      </w:r>
    </w:p>
    <w:p w14:paraId="797D5D41">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3.</w:t>
      </w:r>
      <w:r>
        <w:rPr>
          <w:rFonts w:ascii="宋体" w:hAnsi="宋体" w:eastAsia="宋体" w:cs="宋体"/>
          <w:color w:val="000000"/>
          <w:sz w:val="24"/>
          <w:szCs w:val="24"/>
        </w:rPr>
        <w:t>2</w:t>
      </w:r>
      <w:r>
        <w:rPr>
          <w:rFonts w:hint="eastAsia" w:ascii="宋体" w:hAnsi="宋体" w:eastAsia="宋体" w:cs="宋体"/>
          <w:color w:val="000000"/>
          <w:sz w:val="24"/>
          <w:szCs w:val="24"/>
        </w:rPr>
        <w:t>商务条款偏离表（附件10）</w:t>
      </w:r>
      <w:bookmarkStart w:id="31" w:name="OLE_LINK19"/>
      <w:bookmarkStart w:id="32" w:name="OLE_LINK18"/>
      <w:r>
        <w:rPr>
          <w:rFonts w:hint="eastAsia" w:ascii="宋体" w:hAnsi="宋体" w:eastAsia="宋体" w:cs="宋体"/>
          <w:b/>
          <w:color w:val="000000"/>
          <w:sz w:val="24"/>
          <w:szCs w:val="24"/>
        </w:rPr>
        <w:t>；</w:t>
      </w:r>
      <w:bookmarkEnd w:id="31"/>
      <w:bookmarkEnd w:id="32"/>
      <w:r>
        <w:rPr>
          <w:rFonts w:hint="eastAsia" w:ascii="宋体" w:hAnsi="宋体" w:eastAsia="宋体" w:cs="宋体"/>
          <w:color w:val="000000"/>
          <w:sz w:val="24"/>
          <w:szCs w:val="24"/>
        </w:rPr>
        <w:t xml:space="preserve"> </w:t>
      </w:r>
    </w:p>
    <w:p w14:paraId="17F9F33E">
      <w:pPr>
        <w:spacing w:line="360" w:lineRule="auto"/>
        <w:ind w:firstLine="480" w:firstLineChars="200"/>
        <w:rPr>
          <w:rFonts w:ascii="宋体" w:hAnsi="宋体" w:eastAsia="宋体" w:cs="宋体"/>
          <w:b/>
          <w:color w:val="000000"/>
          <w:sz w:val="24"/>
          <w:szCs w:val="24"/>
        </w:rPr>
      </w:pPr>
      <w:r>
        <w:rPr>
          <w:rFonts w:hint="eastAsia" w:ascii="宋体" w:hAnsi="宋体" w:eastAsia="宋体" w:cs="宋体"/>
          <w:color w:val="000000"/>
          <w:sz w:val="24"/>
          <w:szCs w:val="24"/>
        </w:rPr>
        <w:t>3.</w:t>
      </w:r>
      <w:r>
        <w:rPr>
          <w:rFonts w:ascii="宋体" w:hAnsi="宋体" w:eastAsia="宋体" w:cs="宋体"/>
          <w:color w:val="000000"/>
          <w:sz w:val="24"/>
          <w:szCs w:val="24"/>
        </w:rPr>
        <w:t>3</w:t>
      </w:r>
      <w:r>
        <w:rPr>
          <w:rFonts w:hint="eastAsia" w:ascii="宋体" w:hAnsi="宋体" w:eastAsia="宋体" w:cs="宋体"/>
          <w:color w:val="000000"/>
          <w:sz w:val="24"/>
          <w:szCs w:val="24"/>
        </w:rPr>
        <w:t>投标人承诺（附件11）</w:t>
      </w:r>
      <w:r>
        <w:rPr>
          <w:rFonts w:hint="eastAsia" w:ascii="宋体" w:hAnsi="宋体" w:eastAsia="宋体" w:cs="宋体"/>
          <w:b/>
          <w:color w:val="000000"/>
          <w:sz w:val="24"/>
          <w:szCs w:val="24"/>
        </w:rPr>
        <w:t>；</w:t>
      </w:r>
    </w:p>
    <w:p w14:paraId="32F2271E">
      <w:pPr>
        <w:spacing w:line="360" w:lineRule="auto"/>
        <w:ind w:firstLine="480" w:firstLineChars="200"/>
        <w:rPr>
          <w:rFonts w:ascii="宋体" w:hAnsi="宋体" w:eastAsia="宋体" w:cs="宋体"/>
          <w:b/>
          <w:color w:val="000000"/>
          <w:sz w:val="24"/>
          <w:szCs w:val="24"/>
        </w:rPr>
      </w:pPr>
      <w:r>
        <w:rPr>
          <w:rFonts w:hint="eastAsia" w:ascii="宋体" w:hAnsi="宋体" w:eastAsia="宋体" w:cs="宋体"/>
          <w:color w:val="000000"/>
          <w:sz w:val="24"/>
          <w:szCs w:val="24"/>
        </w:rPr>
        <w:t>3.</w:t>
      </w:r>
      <w:r>
        <w:rPr>
          <w:rFonts w:ascii="宋体" w:hAnsi="宋体" w:eastAsia="宋体" w:cs="宋体"/>
          <w:color w:val="000000"/>
          <w:sz w:val="24"/>
          <w:szCs w:val="24"/>
        </w:rPr>
        <w:t>4</w:t>
      </w:r>
      <w:r>
        <w:rPr>
          <w:rFonts w:hint="eastAsia" w:ascii="宋体" w:hAnsi="宋体" w:eastAsia="宋体" w:cs="宋体"/>
          <w:color w:val="000000"/>
          <w:sz w:val="24"/>
          <w:szCs w:val="24"/>
        </w:rPr>
        <w:t>服务承诺函（附件12），</w:t>
      </w:r>
      <w:r>
        <w:rPr>
          <w:rFonts w:hint="eastAsia" w:ascii="宋体" w:hAnsi="宋体" w:eastAsia="宋体" w:cs="宋体"/>
          <w:b/>
          <w:color w:val="000000"/>
          <w:sz w:val="24"/>
          <w:szCs w:val="24"/>
        </w:rPr>
        <w:t>需写明质保期以外服务费用情况</w:t>
      </w:r>
      <w:r>
        <w:rPr>
          <w:rFonts w:hint="eastAsia" w:ascii="宋体" w:hAnsi="宋体" w:eastAsia="宋体" w:cs="宋体"/>
          <w:color w:val="000000"/>
          <w:sz w:val="24"/>
          <w:szCs w:val="24"/>
        </w:rPr>
        <w:t>；</w:t>
      </w:r>
    </w:p>
    <w:p w14:paraId="0ABFD8A0">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3.</w:t>
      </w:r>
      <w:r>
        <w:rPr>
          <w:rFonts w:ascii="宋体" w:hAnsi="宋体" w:eastAsia="宋体" w:cs="宋体"/>
          <w:color w:val="000000"/>
          <w:sz w:val="24"/>
          <w:szCs w:val="24"/>
        </w:rPr>
        <w:t>5</w:t>
      </w:r>
      <w:r>
        <w:rPr>
          <w:rFonts w:hint="eastAsia" w:ascii="宋体" w:hAnsi="宋体" w:eastAsia="宋体" w:cs="宋体"/>
          <w:color w:val="000000"/>
          <w:sz w:val="24"/>
          <w:szCs w:val="24"/>
        </w:rPr>
        <w:t>按招标文件投标人须知和技术规格书中要求提供的有关文件。</w:t>
      </w:r>
    </w:p>
    <w:p w14:paraId="18AD7BFD">
      <w:pPr>
        <w:spacing w:line="360" w:lineRule="auto"/>
        <w:ind w:firstLine="482" w:firstLineChars="200"/>
        <w:rPr>
          <w:rFonts w:ascii="宋体" w:hAnsi="宋体" w:eastAsia="宋体" w:cs="宋体"/>
          <w:b/>
          <w:bCs/>
          <w:sz w:val="24"/>
          <w:szCs w:val="24"/>
        </w:rPr>
      </w:pPr>
      <w:r>
        <w:rPr>
          <w:rFonts w:hint="eastAsia" w:ascii="宋体" w:hAnsi="宋体" w:eastAsia="宋体" w:cs="宋体"/>
          <w:b/>
          <w:bCs/>
          <w:sz w:val="24"/>
          <w:szCs w:val="24"/>
        </w:rPr>
        <w:t>4</w:t>
      </w:r>
      <w:r>
        <w:rPr>
          <w:rFonts w:ascii="宋体" w:hAnsi="宋体" w:eastAsia="宋体" w:cs="宋体"/>
          <w:b/>
          <w:bCs/>
          <w:sz w:val="24"/>
          <w:szCs w:val="24"/>
        </w:rPr>
        <w:t>.</w:t>
      </w:r>
      <w:r>
        <w:rPr>
          <w:rFonts w:hint="eastAsia" w:ascii="宋体" w:hAnsi="宋体" w:eastAsia="宋体" w:cs="宋体"/>
          <w:b/>
          <w:bCs/>
          <w:sz w:val="24"/>
          <w:szCs w:val="24"/>
        </w:rPr>
        <w:t>《开标一览表》：</w:t>
      </w:r>
    </w:p>
    <w:p w14:paraId="3091550C">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4</w:t>
      </w:r>
      <w:r>
        <w:rPr>
          <w:rFonts w:ascii="宋体" w:hAnsi="宋体" w:eastAsia="宋体" w:cs="宋体"/>
          <w:color w:val="000000"/>
          <w:sz w:val="24"/>
          <w:szCs w:val="24"/>
        </w:rPr>
        <w:t>.1</w:t>
      </w:r>
      <w:r>
        <w:rPr>
          <w:rFonts w:hint="eastAsia" w:ascii="宋体" w:hAnsi="宋体" w:eastAsia="宋体" w:cs="宋体"/>
          <w:color w:val="000000"/>
          <w:sz w:val="24"/>
          <w:szCs w:val="24"/>
        </w:rPr>
        <w:t>开标一览表</w:t>
      </w:r>
      <w:r>
        <w:rPr>
          <w:rFonts w:hint="eastAsia" w:ascii="宋体" w:hAnsi="宋体" w:eastAsia="宋体" w:cs="宋体"/>
          <w:color w:val="000000"/>
          <w:sz w:val="24"/>
          <w:szCs w:val="24"/>
          <w:highlight w:val="none"/>
        </w:rPr>
        <w:t>（附件</w:t>
      </w:r>
      <w:r>
        <w:rPr>
          <w:rFonts w:hint="eastAsia" w:ascii="宋体" w:hAnsi="宋体" w:eastAsia="宋体" w:cs="宋体"/>
          <w:color w:val="000000"/>
          <w:sz w:val="24"/>
          <w:szCs w:val="24"/>
          <w:highlight w:val="none"/>
          <w:lang w:val="en-US" w:eastAsia="zh-CN"/>
        </w:rPr>
        <w:t>8</w:t>
      </w:r>
      <w:r>
        <w:rPr>
          <w:rFonts w:hint="eastAsia" w:ascii="宋体" w:hAnsi="宋体" w:eastAsia="宋体" w:cs="宋体"/>
          <w:color w:val="000000"/>
          <w:sz w:val="24"/>
          <w:szCs w:val="24"/>
          <w:highlight w:val="none"/>
        </w:rPr>
        <w:t>）</w:t>
      </w:r>
    </w:p>
    <w:p w14:paraId="3D9BDBC3">
      <w:pPr>
        <w:keepNext/>
        <w:keepLines/>
        <w:spacing w:line="360" w:lineRule="auto"/>
        <w:outlineLvl w:val="1"/>
        <w:rPr>
          <w:rFonts w:ascii="宋体" w:hAnsi="宋体" w:eastAsia="宋体" w:cs="宋体"/>
          <w:b/>
          <w:bCs/>
          <w:sz w:val="24"/>
          <w:szCs w:val="24"/>
        </w:rPr>
      </w:pPr>
      <w:r>
        <w:rPr>
          <w:rFonts w:hint="eastAsia" w:ascii="宋体" w:hAnsi="宋体" w:eastAsia="宋体" w:cs="宋体"/>
          <w:b/>
          <w:bCs/>
          <w:sz w:val="24"/>
          <w:szCs w:val="24"/>
        </w:rPr>
        <w:t>四、投标文件格式</w:t>
      </w:r>
    </w:p>
    <w:p w14:paraId="7EDEB998">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详见第六部分投标文件附件格式1—13，其余未尽事宜请按各单位习惯制定即可。</w:t>
      </w:r>
    </w:p>
    <w:p w14:paraId="1B499D0A">
      <w:pPr>
        <w:pStyle w:val="20"/>
        <w:jc w:val="center"/>
        <w:rPr>
          <w:rFonts w:ascii="Calibri" w:hAnsi="Calibri" w:eastAsia="宋体" w:cs="Times New Roman"/>
          <w:b/>
          <w:bCs/>
          <w:kern w:val="44"/>
          <w:sz w:val="36"/>
          <w:szCs w:val="44"/>
        </w:rPr>
        <w:sectPr>
          <w:pgSz w:w="11907" w:h="16840"/>
          <w:pgMar w:top="1304" w:right="1418" w:bottom="1304" w:left="1418" w:header="724" w:footer="851" w:gutter="0"/>
          <w:cols w:space="720" w:num="1"/>
          <w:docGrid w:linePitch="290" w:charSpace="-3931"/>
        </w:sectPr>
      </w:pPr>
    </w:p>
    <w:bookmarkEnd w:id="0"/>
    <w:bookmarkEnd w:id="1"/>
    <w:p w14:paraId="250C3E31">
      <w:pPr>
        <w:pStyle w:val="20"/>
        <w:numPr>
          <w:ilvl w:val="255"/>
          <w:numId w:val="0"/>
        </w:numPr>
        <w:jc w:val="center"/>
        <w:outlineLvl w:val="0"/>
        <w:rPr>
          <w:rFonts w:ascii="Calibri" w:hAnsi="Calibri" w:eastAsia="宋体" w:cs="Times New Roman"/>
          <w:b/>
          <w:bCs/>
          <w:kern w:val="44"/>
          <w:sz w:val="36"/>
          <w:szCs w:val="44"/>
        </w:rPr>
      </w:pPr>
      <w:bookmarkStart w:id="33" w:name="_Toc234572374"/>
      <w:r>
        <w:rPr>
          <w:rFonts w:hint="eastAsia" w:ascii="Calibri" w:hAnsi="Calibri" w:eastAsia="宋体" w:cs="Times New Roman"/>
          <w:b/>
          <w:bCs/>
          <w:kern w:val="44"/>
          <w:sz w:val="36"/>
          <w:szCs w:val="44"/>
        </w:rPr>
        <w:t>第五部分 技术标书</w:t>
      </w:r>
      <w:bookmarkEnd w:id="33"/>
    </w:p>
    <w:p w14:paraId="2FD020F6">
      <w:pPr>
        <w:jc w:val="center"/>
        <w:rPr>
          <w:rFonts w:ascii="宋体" w:hAnsi="Calibri" w:eastAsia="宋体" w:cs="Times New Roman"/>
          <w:sz w:val="30"/>
          <w:szCs w:val="30"/>
        </w:rPr>
      </w:pPr>
    </w:p>
    <w:p w14:paraId="6F99CB67">
      <w:pPr>
        <w:pStyle w:val="20"/>
      </w:pPr>
    </w:p>
    <w:p w14:paraId="69331A92">
      <w:pPr>
        <w:spacing w:line="360" w:lineRule="auto"/>
        <w:ind w:right="-48" w:rightChars="-23"/>
        <w:jc w:val="center"/>
        <w:rPr>
          <w:rFonts w:hint="eastAsia"/>
          <w:b/>
          <w:spacing w:val="4"/>
          <w:w w:val="90"/>
          <w:sz w:val="52"/>
          <w:szCs w:val="52"/>
        </w:rPr>
      </w:pPr>
      <w:r>
        <w:rPr>
          <w:rFonts w:hint="eastAsia"/>
          <w:b/>
          <w:spacing w:val="4"/>
          <w:w w:val="90"/>
          <w:sz w:val="52"/>
          <w:szCs w:val="52"/>
        </w:rPr>
        <w:t>中国重汽集团泰安五岳专用汽车有限公司</w:t>
      </w:r>
    </w:p>
    <w:p w14:paraId="5B24FD16">
      <w:pPr>
        <w:spacing w:line="360" w:lineRule="auto"/>
        <w:ind w:right="-48" w:rightChars="-23" w:firstLine="963"/>
        <w:jc w:val="center"/>
        <w:rPr>
          <w:rFonts w:hint="default" w:ascii="宋体" w:hAnsi="Courier New" w:eastAsia="宋体"/>
          <w:sz w:val="24"/>
          <w:lang w:val="en-US" w:eastAsia="zh-CN"/>
        </w:rPr>
      </w:pPr>
      <w:r>
        <w:rPr>
          <w:rFonts w:hint="eastAsia"/>
          <w:b/>
          <w:spacing w:val="4"/>
          <w:w w:val="90"/>
          <w:sz w:val="52"/>
          <w:szCs w:val="52"/>
        </w:rPr>
        <w:t>自卸车车箱抛丸清理设备项目</w:t>
      </w:r>
    </w:p>
    <w:p w14:paraId="4A48BD93">
      <w:pPr>
        <w:ind w:firstLine="1440" w:firstLineChars="200"/>
        <w:jc w:val="center"/>
        <w:rPr>
          <w:rFonts w:ascii="黑体" w:hAnsi="宋体" w:eastAsia="黑体" w:cs="Times New Roman"/>
          <w:color w:val="000000"/>
          <w:sz w:val="72"/>
          <w:szCs w:val="72"/>
        </w:rPr>
      </w:pPr>
      <w:r>
        <w:rPr>
          <w:rFonts w:hint="eastAsia" w:ascii="黑体" w:hAnsi="宋体" w:eastAsia="黑体" w:cs="Times New Roman"/>
          <w:color w:val="000000"/>
          <w:sz w:val="72"/>
          <w:szCs w:val="72"/>
        </w:rPr>
        <w:t>技</w:t>
      </w:r>
    </w:p>
    <w:p w14:paraId="1C962582">
      <w:pPr>
        <w:ind w:firstLine="1440" w:firstLineChars="200"/>
        <w:jc w:val="center"/>
        <w:rPr>
          <w:rFonts w:ascii="黑体" w:hAnsi="宋体" w:eastAsia="黑体" w:cs="Times New Roman"/>
          <w:color w:val="000000"/>
          <w:sz w:val="72"/>
          <w:szCs w:val="72"/>
        </w:rPr>
      </w:pPr>
      <w:r>
        <w:rPr>
          <w:rFonts w:hint="eastAsia" w:ascii="黑体" w:hAnsi="宋体" w:eastAsia="黑体" w:cs="Times New Roman"/>
          <w:color w:val="000000"/>
          <w:sz w:val="72"/>
          <w:szCs w:val="72"/>
        </w:rPr>
        <w:t>术</w:t>
      </w:r>
    </w:p>
    <w:p w14:paraId="77485039">
      <w:pPr>
        <w:ind w:firstLine="1440" w:firstLineChars="200"/>
        <w:jc w:val="center"/>
        <w:rPr>
          <w:rFonts w:ascii="黑体" w:hAnsi="宋体" w:eastAsia="黑体" w:cs="Times New Roman"/>
          <w:color w:val="000000"/>
          <w:sz w:val="72"/>
          <w:szCs w:val="72"/>
        </w:rPr>
      </w:pPr>
      <w:r>
        <w:rPr>
          <w:rFonts w:hint="eastAsia" w:ascii="黑体" w:hAnsi="宋体" w:eastAsia="黑体" w:cs="Times New Roman"/>
          <w:color w:val="000000"/>
          <w:sz w:val="72"/>
          <w:szCs w:val="72"/>
        </w:rPr>
        <w:t>标</w:t>
      </w:r>
    </w:p>
    <w:p w14:paraId="0C605C12">
      <w:pPr>
        <w:ind w:firstLine="1440" w:firstLineChars="200"/>
        <w:jc w:val="center"/>
        <w:rPr>
          <w:rFonts w:ascii="黑体" w:hAnsi="宋体" w:eastAsia="黑体" w:cs="Times New Roman"/>
          <w:color w:val="000000"/>
          <w:sz w:val="72"/>
          <w:szCs w:val="72"/>
        </w:rPr>
      </w:pPr>
      <w:r>
        <w:rPr>
          <w:rFonts w:hint="eastAsia" w:ascii="黑体" w:hAnsi="宋体" w:eastAsia="黑体" w:cs="Times New Roman"/>
          <w:color w:val="000000"/>
          <w:sz w:val="72"/>
          <w:szCs w:val="72"/>
        </w:rPr>
        <w:t>书</w:t>
      </w:r>
    </w:p>
    <w:p w14:paraId="27574744">
      <w:pPr>
        <w:ind w:firstLine="1440" w:firstLineChars="200"/>
        <w:rPr>
          <w:rFonts w:ascii="黑体" w:hAnsi="宋体" w:eastAsia="黑体" w:cs="Times New Roman"/>
          <w:color w:val="000000"/>
          <w:sz w:val="72"/>
          <w:szCs w:val="72"/>
        </w:rPr>
      </w:pPr>
    </w:p>
    <w:p w14:paraId="5480B5E7">
      <w:pPr>
        <w:spacing w:line="860" w:lineRule="exact"/>
        <w:ind w:firstLine="640" w:firstLineChars="200"/>
        <w:rPr>
          <w:rFonts w:ascii="华文仿宋" w:hAnsi="华文仿宋" w:eastAsia="华文仿宋"/>
          <w:b/>
          <w:bCs/>
          <w:sz w:val="32"/>
          <w:szCs w:val="28"/>
        </w:rPr>
      </w:pPr>
      <w:r>
        <w:rPr>
          <w:rFonts w:hint="eastAsia" w:ascii="华文仿宋" w:hAnsi="华文仿宋" w:eastAsia="华文仿宋"/>
          <w:sz w:val="32"/>
          <w:szCs w:val="28"/>
        </w:rPr>
        <w:t xml:space="preserve">                </w:t>
      </w:r>
      <w:r>
        <w:rPr>
          <w:rFonts w:hint="eastAsia" w:ascii="华文仿宋" w:hAnsi="华文仿宋" w:eastAsia="华文仿宋"/>
          <w:b/>
          <w:bCs/>
          <w:sz w:val="32"/>
          <w:szCs w:val="28"/>
        </w:rPr>
        <w:t xml:space="preserve"> 编制：             </w:t>
      </w:r>
    </w:p>
    <w:p w14:paraId="631A4414">
      <w:pPr>
        <w:spacing w:line="860" w:lineRule="exact"/>
        <w:ind w:firstLine="643" w:firstLineChars="200"/>
        <w:rPr>
          <w:rFonts w:ascii="华文仿宋" w:hAnsi="华文仿宋" w:eastAsia="华文仿宋"/>
          <w:b/>
          <w:bCs/>
          <w:sz w:val="32"/>
          <w:szCs w:val="28"/>
        </w:rPr>
      </w:pPr>
      <w:r>
        <w:rPr>
          <w:rFonts w:hint="eastAsia" w:ascii="华文仿宋" w:hAnsi="华文仿宋" w:eastAsia="华文仿宋"/>
          <w:b/>
          <w:bCs/>
          <w:sz w:val="32"/>
          <w:szCs w:val="28"/>
        </w:rPr>
        <w:t xml:space="preserve">                 审核：             </w:t>
      </w:r>
    </w:p>
    <w:p w14:paraId="6DCF1691">
      <w:pPr>
        <w:spacing w:line="860" w:lineRule="exact"/>
        <w:ind w:firstLine="643" w:firstLineChars="200"/>
        <w:rPr>
          <w:rFonts w:ascii="华文仿宋" w:hAnsi="华文仿宋" w:eastAsia="华文仿宋"/>
          <w:b/>
          <w:bCs/>
          <w:sz w:val="32"/>
          <w:szCs w:val="28"/>
        </w:rPr>
      </w:pPr>
      <w:r>
        <w:rPr>
          <w:rFonts w:hint="eastAsia" w:ascii="华文仿宋" w:hAnsi="华文仿宋" w:eastAsia="华文仿宋"/>
          <w:b/>
          <w:bCs/>
          <w:sz w:val="32"/>
          <w:szCs w:val="28"/>
        </w:rPr>
        <w:t xml:space="preserve">                 批准：     </w:t>
      </w:r>
    </w:p>
    <w:p w14:paraId="41F152CE">
      <w:pPr>
        <w:spacing w:line="440" w:lineRule="exact"/>
        <w:ind w:firstLine="482" w:firstLineChars="200"/>
        <w:rPr>
          <w:rFonts w:ascii="宋体" w:hAnsi="Courier New" w:eastAsia="宋体"/>
          <w:b/>
          <w:bCs/>
          <w:sz w:val="24"/>
        </w:rPr>
      </w:pPr>
    </w:p>
    <w:p w14:paraId="50085D65">
      <w:pPr>
        <w:spacing w:line="440" w:lineRule="exact"/>
        <w:ind w:firstLine="560" w:firstLineChars="200"/>
        <w:jc w:val="center"/>
        <w:rPr>
          <w:rFonts w:ascii="宋体" w:hAnsi="宋体" w:eastAsia="宋体" w:cs="Times New Roman"/>
          <w:color w:val="FF0000"/>
          <w:sz w:val="28"/>
          <w:szCs w:val="28"/>
        </w:rPr>
      </w:pPr>
      <w:r>
        <w:rPr>
          <w:rFonts w:hint="eastAsia" w:ascii="宋体" w:hAnsi="宋体" w:eastAsia="宋体" w:cs="Times New Roman"/>
          <w:color w:val="000000"/>
          <w:sz w:val="28"/>
          <w:szCs w:val="28"/>
        </w:rPr>
        <w:t>招</w:t>
      </w:r>
      <w:r>
        <w:rPr>
          <w:rFonts w:ascii="宋体" w:hAnsi="宋体" w:eastAsia="宋体" w:cs="Times New Roman"/>
          <w:color w:val="000000"/>
          <w:sz w:val="28"/>
          <w:szCs w:val="28"/>
        </w:rPr>
        <w:t xml:space="preserve"> </w:t>
      </w:r>
      <w:r>
        <w:rPr>
          <w:rFonts w:hint="eastAsia" w:ascii="宋体" w:hAnsi="宋体" w:eastAsia="宋体" w:cs="Times New Roman"/>
          <w:color w:val="000000"/>
          <w:sz w:val="28"/>
          <w:szCs w:val="28"/>
        </w:rPr>
        <w:t>标</w:t>
      </w:r>
      <w:r>
        <w:rPr>
          <w:rFonts w:ascii="宋体" w:hAnsi="宋体" w:eastAsia="宋体" w:cs="Times New Roman"/>
          <w:color w:val="000000"/>
          <w:sz w:val="28"/>
          <w:szCs w:val="28"/>
        </w:rPr>
        <w:t xml:space="preserve"> </w:t>
      </w:r>
      <w:r>
        <w:rPr>
          <w:rFonts w:hint="eastAsia" w:ascii="宋体" w:hAnsi="宋体" w:eastAsia="宋体" w:cs="Times New Roman"/>
          <w:color w:val="000000"/>
          <w:sz w:val="28"/>
          <w:szCs w:val="28"/>
        </w:rPr>
        <w:t>人：中国重汽集团</w:t>
      </w:r>
      <w:r>
        <w:rPr>
          <w:rFonts w:hint="eastAsia" w:ascii="宋体" w:hAnsi="宋体" w:eastAsia="宋体" w:cs="Times New Roman"/>
          <w:color w:val="000000"/>
          <w:sz w:val="28"/>
          <w:szCs w:val="28"/>
          <w:lang w:val="en-US" w:eastAsia="zh-CN"/>
        </w:rPr>
        <w:t>泰安五岳专用汽车</w:t>
      </w:r>
      <w:r>
        <w:rPr>
          <w:rFonts w:hint="eastAsia" w:ascii="宋体" w:hAnsi="宋体" w:eastAsia="宋体" w:cs="Times New Roman"/>
          <w:color w:val="000000"/>
          <w:sz w:val="28"/>
          <w:szCs w:val="28"/>
        </w:rPr>
        <w:t>有限公司</w:t>
      </w:r>
    </w:p>
    <w:p w14:paraId="7B2915CD">
      <w:pPr>
        <w:spacing w:line="440" w:lineRule="exact"/>
        <w:ind w:firstLine="560" w:firstLineChars="200"/>
        <w:jc w:val="center"/>
        <w:rPr>
          <w:rFonts w:ascii="Calibri" w:hAnsi="Calibri" w:eastAsia="宋体" w:cs="Times New Roman"/>
          <w:color w:val="000000"/>
          <w:sz w:val="28"/>
          <w:szCs w:val="28"/>
        </w:rPr>
      </w:pPr>
      <w:r>
        <w:rPr>
          <w:rFonts w:hint="eastAsia" w:ascii="Calibri" w:hAnsi="Calibri" w:eastAsia="宋体" w:cs="Times New Roman"/>
          <w:color w:val="000000"/>
          <w:sz w:val="28"/>
          <w:szCs w:val="28"/>
        </w:rPr>
        <w:t>2026年</w:t>
      </w:r>
      <w:r>
        <w:rPr>
          <w:rFonts w:hint="eastAsia" w:ascii="Calibri" w:hAnsi="Calibri" w:eastAsia="宋体" w:cs="Times New Roman"/>
          <w:color w:val="000000"/>
          <w:sz w:val="28"/>
          <w:szCs w:val="28"/>
          <w:lang w:val="en-US" w:eastAsia="zh-CN"/>
        </w:rPr>
        <w:t>9</w:t>
      </w:r>
      <w:r>
        <w:rPr>
          <w:rFonts w:hint="eastAsia" w:ascii="Calibri" w:hAnsi="Calibri" w:eastAsia="宋体" w:cs="Times New Roman"/>
          <w:color w:val="000000"/>
          <w:sz w:val="28"/>
          <w:szCs w:val="28"/>
        </w:rPr>
        <w:t>月</w:t>
      </w:r>
    </w:p>
    <w:p w14:paraId="6AB03229">
      <w:pPr>
        <w:spacing w:line="440" w:lineRule="exact"/>
        <w:ind w:firstLine="560" w:firstLineChars="200"/>
        <w:rPr>
          <w:rFonts w:ascii="Calibri" w:hAnsi="Calibri" w:eastAsia="宋体" w:cs="Times New Roman"/>
          <w:color w:val="000000"/>
          <w:sz w:val="28"/>
          <w:szCs w:val="28"/>
        </w:rPr>
      </w:pPr>
      <w:r>
        <w:rPr>
          <w:rFonts w:hint="eastAsia" w:ascii="Calibri" w:hAnsi="Calibri" w:eastAsia="宋体" w:cs="Times New Roman"/>
          <w:color w:val="000000"/>
          <w:sz w:val="28"/>
          <w:szCs w:val="28"/>
        </w:rPr>
        <w:br w:type="page"/>
      </w:r>
    </w:p>
    <w:p w14:paraId="1EEC7367">
      <w:pPr>
        <w:spacing w:line="440" w:lineRule="exact"/>
        <w:ind w:firstLine="480" w:firstLineChars="200"/>
        <w:jc w:val="center"/>
        <w:rPr>
          <w:rFonts w:ascii="宋体" w:hAnsi="宋体" w:eastAsia="宋体"/>
          <w:sz w:val="24"/>
          <w:szCs w:val="24"/>
        </w:rPr>
      </w:pPr>
    </w:p>
    <w:sdt>
      <w:sdtPr>
        <w:rPr>
          <w:rFonts w:ascii="宋体" w:hAnsi="宋体" w:eastAsia="宋体"/>
          <w:sz w:val="24"/>
          <w:szCs w:val="24"/>
        </w:rPr>
        <w:id w:val="-129167549"/>
        <w15:color w:val="DBDBDB"/>
        <w:docPartObj>
          <w:docPartGallery w:val="Table of Contents"/>
          <w:docPartUnique/>
        </w:docPartObj>
      </w:sdtPr>
      <w:sdtEndPr>
        <w:rPr>
          <w:rFonts w:ascii="宋体" w:hAnsi="宋体" w:eastAsia="宋体"/>
          <w:sz w:val="24"/>
          <w:szCs w:val="24"/>
        </w:rPr>
      </w:sdtEndPr>
      <w:sdtContent>
        <w:p w14:paraId="147B5866">
          <w:pPr>
            <w:spacing w:line="360" w:lineRule="auto"/>
            <w:ind w:firstLine="480" w:firstLineChars="200"/>
            <w:jc w:val="center"/>
            <w:rPr>
              <w:rFonts w:ascii="Times New Roman" w:hAnsi="Times New Roman" w:eastAsia="宋体"/>
              <w:sz w:val="24"/>
            </w:rPr>
          </w:pPr>
          <w:r>
            <w:rPr>
              <w:rFonts w:ascii="宋体" w:hAnsi="宋体" w:eastAsia="宋体"/>
              <w:b/>
              <w:bCs/>
              <w:sz w:val="32"/>
              <w:szCs w:val="32"/>
            </w:rPr>
            <w:t>目</w:t>
          </w:r>
          <w:r>
            <w:rPr>
              <w:rFonts w:hint="eastAsia" w:ascii="宋体" w:hAnsi="宋体" w:eastAsia="宋体"/>
              <w:b/>
              <w:bCs/>
              <w:sz w:val="32"/>
              <w:szCs w:val="32"/>
            </w:rPr>
            <w:t xml:space="preserve">  </w:t>
          </w:r>
          <w:r>
            <w:rPr>
              <w:rFonts w:ascii="宋体" w:hAnsi="宋体" w:eastAsia="宋体"/>
              <w:b/>
              <w:bCs/>
              <w:sz w:val="32"/>
              <w:szCs w:val="32"/>
            </w:rPr>
            <w:t>录</w:t>
          </w:r>
        </w:p>
        <w:p w14:paraId="094D4B98">
          <w:pPr>
            <w:tabs>
              <w:tab w:val="right" w:leader="dot" w:pos="8306"/>
            </w:tabs>
            <w:spacing w:line="360" w:lineRule="auto"/>
            <w:ind w:firstLine="482" w:firstLineChars="200"/>
            <w:jc w:val="left"/>
            <w:rPr>
              <w:rFonts w:ascii="宋体" w:hAnsi="宋体" w:eastAsia="宋体" w:cs="Times New Roman"/>
              <w:b/>
              <w:caps/>
              <w:sz w:val="24"/>
              <w:szCs w:val="21"/>
            </w:rPr>
          </w:pPr>
          <w:r>
            <w:rPr>
              <w:rFonts w:ascii="宋体" w:hAnsi="宋体" w:eastAsia="宋体" w:cs="Times New Roman"/>
              <w:b/>
              <w:caps/>
              <w:sz w:val="24"/>
              <w:szCs w:val="21"/>
            </w:rPr>
            <w:fldChar w:fldCharType="begin"/>
          </w:r>
          <w:r>
            <w:rPr>
              <w:rFonts w:ascii="宋体" w:hAnsi="宋体" w:eastAsia="宋体" w:cs="Times New Roman"/>
              <w:b/>
              <w:caps/>
              <w:sz w:val="24"/>
              <w:szCs w:val="21"/>
            </w:rPr>
            <w:instrText xml:space="preserve">TOC \o "1-2" \h \u </w:instrText>
          </w:r>
          <w:r>
            <w:rPr>
              <w:rFonts w:ascii="宋体" w:hAnsi="宋体" w:eastAsia="宋体" w:cs="Times New Roman"/>
              <w:b/>
              <w:caps/>
              <w:sz w:val="24"/>
              <w:szCs w:val="21"/>
            </w:rPr>
            <w:fldChar w:fldCharType="separate"/>
          </w:r>
        </w:p>
        <w:p w14:paraId="50898E5F">
          <w:pPr>
            <w:tabs>
              <w:tab w:val="right" w:leader="dot" w:pos="8306"/>
            </w:tabs>
            <w:spacing w:line="360" w:lineRule="auto"/>
            <w:ind w:firstLine="420" w:firstLineChars="200"/>
            <w:jc w:val="left"/>
            <w:rPr>
              <w:rFonts w:hint="eastAsia" w:ascii="宋体" w:hAnsi="宋体" w:eastAsia="宋体" w:cs="Times New Roman"/>
              <w:b/>
              <w:caps/>
              <w:sz w:val="24"/>
              <w:szCs w:val="21"/>
              <w:lang w:val="en-US" w:eastAsia="zh-CN"/>
            </w:rPr>
          </w:pPr>
          <w:r>
            <w:fldChar w:fldCharType="begin"/>
          </w:r>
          <w:r>
            <w:instrText xml:space="preserve"> HYPERLINK \l "_Toc12800" </w:instrText>
          </w:r>
          <w:r>
            <w:fldChar w:fldCharType="separate"/>
          </w:r>
          <w:r>
            <w:rPr>
              <w:rFonts w:hint="eastAsia" w:ascii="宋体" w:hAnsi="宋体" w:eastAsia="宋体" w:cs="宋体"/>
              <w:b/>
              <w:bCs/>
              <w:caps/>
              <w:sz w:val="24"/>
              <w:szCs w:val="24"/>
            </w:rPr>
            <w:t>第一章 总则</w:t>
          </w:r>
          <w:r>
            <w:rPr>
              <w:rFonts w:ascii="宋体" w:hAnsi="宋体" w:eastAsia="宋体" w:cs="Times New Roman"/>
              <w:b/>
              <w:caps/>
              <w:sz w:val="24"/>
              <w:szCs w:val="21"/>
            </w:rPr>
            <w:tab/>
          </w:r>
          <w:r>
            <w:rPr>
              <w:rFonts w:hint="eastAsia" w:ascii="宋体" w:hAnsi="宋体" w:eastAsia="宋体" w:cs="Times New Roman"/>
              <w:b/>
              <w:caps/>
              <w:sz w:val="24"/>
              <w:szCs w:val="21"/>
              <w:lang w:val="en-US" w:eastAsia="zh-CN"/>
            </w:rPr>
            <w:t>2</w:t>
          </w:r>
          <w:r>
            <w:rPr>
              <w:rFonts w:ascii="宋体" w:hAnsi="宋体" w:eastAsia="宋体" w:cs="Times New Roman"/>
              <w:b/>
              <w:caps/>
              <w:sz w:val="24"/>
              <w:szCs w:val="21"/>
            </w:rPr>
            <w:fldChar w:fldCharType="end"/>
          </w:r>
          <w:r>
            <w:rPr>
              <w:rFonts w:hint="eastAsia" w:ascii="宋体" w:hAnsi="宋体" w:eastAsia="宋体" w:cs="Times New Roman"/>
              <w:b/>
              <w:caps/>
              <w:sz w:val="24"/>
              <w:szCs w:val="21"/>
              <w:lang w:val="en-US" w:eastAsia="zh-CN"/>
            </w:rPr>
            <w:t>1</w:t>
          </w:r>
        </w:p>
        <w:p w14:paraId="57A7BC41">
          <w:pPr>
            <w:tabs>
              <w:tab w:val="right" w:leader="dot" w:pos="8306"/>
            </w:tabs>
            <w:spacing w:line="360" w:lineRule="auto"/>
            <w:ind w:left="420" w:leftChars="200" w:firstLine="420" w:firstLineChars="200"/>
            <w:rPr>
              <w:rFonts w:hint="default" w:ascii="Calibri" w:hAnsi="Calibri" w:eastAsia="宋体" w:cs="Times New Roman"/>
              <w:sz w:val="24"/>
              <w:szCs w:val="20"/>
              <w:lang w:val="en-US" w:eastAsia="zh-CN"/>
            </w:rPr>
          </w:pPr>
          <w:r>
            <w:fldChar w:fldCharType="begin"/>
          </w:r>
          <w:r>
            <w:instrText xml:space="preserve"> HYPERLINK \l "_Toc28238" </w:instrText>
          </w:r>
          <w:r>
            <w:fldChar w:fldCharType="separate"/>
          </w:r>
          <w:r>
            <w:rPr>
              <w:rFonts w:hint="eastAsia" w:ascii="宋体" w:hAnsi="宋体" w:eastAsia="宋体" w:cs="宋体"/>
              <w:sz w:val="24"/>
              <w:szCs w:val="20"/>
            </w:rPr>
            <w:t>（一）项目概述</w:t>
          </w:r>
          <w:r>
            <w:rPr>
              <w:rFonts w:ascii="Calibri" w:hAnsi="Calibri" w:eastAsia="宋体" w:cs="Times New Roman"/>
              <w:sz w:val="24"/>
              <w:szCs w:val="20"/>
            </w:rPr>
            <w:tab/>
          </w:r>
          <w:r>
            <w:rPr>
              <w:rFonts w:ascii="Calibri" w:hAnsi="Calibri" w:eastAsia="宋体" w:cs="Times New Roman"/>
              <w:sz w:val="24"/>
              <w:szCs w:val="20"/>
            </w:rPr>
            <w:fldChar w:fldCharType="end"/>
          </w:r>
          <w:r>
            <w:rPr>
              <w:rFonts w:hint="eastAsia" w:ascii="Calibri" w:hAnsi="Calibri" w:eastAsia="宋体" w:cs="Times New Roman"/>
              <w:sz w:val="24"/>
              <w:szCs w:val="20"/>
              <w:lang w:val="en-US" w:eastAsia="zh-CN"/>
            </w:rPr>
            <w:t>21</w:t>
          </w:r>
        </w:p>
        <w:p w14:paraId="3B76AE05">
          <w:pPr>
            <w:tabs>
              <w:tab w:val="right" w:leader="dot" w:pos="8306"/>
            </w:tabs>
            <w:spacing w:line="360" w:lineRule="auto"/>
            <w:ind w:left="420" w:leftChars="200" w:firstLine="420" w:firstLineChars="200"/>
            <w:rPr>
              <w:rFonts w:hint="eastAsia" w:ascii="Calibri" w:hAnsi="Calibri" w:eastAsia="宋体" w:cs="Times New Roman"/>
              <w:sz w:val="24"/>
              <w:szCs w:val="20"/>
              <w:lang w:val="en-US" w:eastAsia="zh-CN"/>
            </w:rPr>
          </w:pPr>
          <w:r>
            <w:fldChar w:fldCharType="begin"/>
          </w:r>
          <w:r>
            <w:instrText xml:space="preserve"> HYPERLINK \l "_Toc30465" </w:instrText>
          </w:r>
          <w:r>
            <w:fldChar w:fldCharType="separate"/>
          </w:r>
          <w:r>
            <w:rPr>
              <w:rFonts w:hint="eastAsia" w:ascii="宋体" w:hAnsi="宋体" w:eastAsia="宋体" w:cs="宋体"/>
              <w:sz w:val="24"/>
              <w:szCs w:val="20"/>
              <w:lang w:eastAsia="zh-CN"/>
            </w:rPr>
            <w:t>（</w:t>
          </w:r>
          <w:r>
            <w:rPr>
              <w:rFonts w:hint="eastAsia" w:ascii="宋体" w:hAnsi="宋体" w:eastAsia="宋体" w:cs="宋体"/>
              <w:sz w:val="24"/>
              <w:szCs w:val="20"/>
              <w:lang w:val="en-US" w:eastAsia="zh-CN"/>
            </w:rPr>
            <w:t>二</w:t>
          </w:r>
          <w:r>
            <w:rPr>
              <w:rFonts w:hint="eastAsia" w:ascii="宋体" w:hAnsi="宋体" w:eastAsia="宋体" w:cs="宋体"/>
              <w:sz w:val="24"/>
              <w:szCs w:val="20"/>
              <w:lang w:eastAsia="zh-CN"/>
            </w:rPr>
            <w:t>）</w:t>
          </w:r>
          <w:r>
            <w:rPr>
              <w:rFonts w:hint="eastAsia" w:ascii="宋体" w:hAnsi="宋体" w:eastAsia="宋体" w:cs="宋体"/>
              <w:sz w:val="24"/>
              <w:szCs w:val="20"/>
              <w:lang w:val="en-US" w:eastAsia="zh-CN"/>
            </w:rPr>
            <w:t>主要设计内容</w:t>
          </w:r>
          <w:r>
            <w:rPr>
              <w:rFonts w:ascii="Calibri" w:hAnsi="Calibri" w:eastAsia="宋体" w:cs="Times New Roman"/>
              <w:sz w:val="24"/>
              <w:szCs w:val="20"/>
            </w:rPr>
            <w:tab/>
          </w:r>
          <w:r>
            <w:rPr>
              <w:rFonts w:hint="eastAsia" w:ascii="Calibri" w:hAnsi="Calibri" w:eastAsia="宋体" w:cs="Times New Roman"/>
              <w:sz w:val="24"/>
              <w:szCs w:val="20"/>
              <w:lang w:val="en-US" w:eastAsia="zh-CN"/>
            </w:rPr>
            <w:t>2</w:t>
          </w:r>
          <w:r>
            <w:rPr>
              <w:rFonts w:ascii="Calibri" w:hAnsi="Calibri" w:eastAsia="宋体" w:cs="Times New Roman"/>
              <w:sz w:val="24"/>
              <w:szCs w:val="20"/>
            </w:rPr>
            <w:fldChar w:fldCharType="end"/>
          </w:r>
          <w:r>
            <w:rPr>
              <w:rFonts w:hint="eastAsia" w:ascii="Calibri" w:hAnsi="Calibri" w:eastAsia="宋体" w:cs="Times New Roman"/>
              <w:sz w:val="24"/>
              <w:szCs w:val="20"/>
              <w:lang w:val="en-US" w:eastAsia="zh-CN"/>
            </w:rPr>
            <w:t>1</w:t>
          </w:r>
        </w:p>
        <w:p w14:paraId="60D50079">
          <w:pPr>
            <w:tabs>
              <w:tab w:val="right" w:leader="dot" w:pos="8306"/>
            </w:tabs>
            <w:spacing w:line="360" w:lineRule="auto"/>
            <w:ind w:left="420" w:leftChars="200" w:firstLine="420" w:firstLineChars="200"/>
            <w:rPr>
              <w:rFonts w:hint="default" w:eastAsia="宋体"/>
              <w:lang w:val="en-US" w:eastAsia="zh-CN"/>
            </w:rPr>
          </w:pPr>
          <w:r>
            <w:rPr>
              <w:rFonts w:hint="eastAsia"/>
              <w:lang w:val="en-US" w:eastAsia="zh-CN"/>
            </w:rPr>
            <w:t>2.1抛丸机系统主要参数表</w:t>
          </w:r>
          <w:r>
            <w:rPr>
              <w:rFonts w:ascii="Calibri" w:hAnsi="Calibri" w:eastAsia="宋体" w:cs="Times New Roman"/>
              <w:sz w:val="24"/>
              <w:szCs w:val="20"/>
            </w:rPr>
            <w:tab/>
          </w:r>
          <w:r>
            <w:rPr>
              <w:rFonts w:hint="eastAsia" w:ascii="Calibri" w:hAnsi="Calibri" w:eastAsia="宋体" w:cs="Times New Roman"/>
              <w:sz w:val="24"/>
              <w:szCs w:val="20"/>
              <w:lang w:val="en-US" w:eastAsia="zh-CN"/>
            </w:rPr>
            <w:t>21</w:t>
          </w:r>
        </w:p>
        <w:p w14:paraId="7B78DCF1">
          <w:pPr>
            <w:tabs>
              <w:tab w:val="right" w:leader="dot" w:pos="8306"/>
            </w:tabs>
            <w:spacing w:line="360" w:lineRule="auto"/>
            <w:ind w:left="420" w:leftChars="200" w:firstLine="420" w:firstLineChars="200"/>
            <w:rPr>
              <w:rFonts w:hint="default" w:eastAsia="宋体"/>
              <w:lang w:val="en-US" w:eastAsia="zh-CN"/>
            </w:rPr>
          </w:pPr>
          <w:r>
            <w:rPr>
              <w:rFonts w:hint="eastAsia"/>
              <w:lang w:val="en-US" w:eastAsia="zh-CN"/>
            </w:rPr>
            <w:t>2.2环保系统主要参数表</w:t>
          </w:r>
          <w:r>
            <w:rPr>
              <w:rFonts w:ascii="Calibri" w:hAnsi="Calibri" w:eastAsia="宋体" w:cs="Times New Roman"/>
              <w:sz w:val="24"/>
              <w:szCs w:val="20"/>
            </w:rPr>
            <w:tab/>
          </w:r>
          <w:r>
            <w:rPr>
              <w:rFonts w:hint="eastAsia" w:ascii="Calibri" w:hAnsi="Calibri" w:eastAsia="宋体" w:cs="Times New Roman"/>
              <w:sz w:val="24"/>
              <w:szCs w:val="20"/>
              <w:lang w:val="en-US" w:eastAsia="zh-CN"/>
            </w:rPr>
            <w:t>23</w:t>
          </w:r>
        </w:p>
        <w:p w14:paraId="24B35F54">
          <w:pPr>
            <w:tabs>
              <w:tab w:val="right" w:leader="dot" w:pos="8306"/>
            </w:tabs>
            <w:spacing w:line="360" w:lineRule="auto"/>
            <w:ind w:left="420" w:leftChars="200" w:firstLine="420" w:firstLineChars="200"/>
            <w:rPr>
              <w:rFonts w:hint="default" w:ascii="Calibri" w:hAnsi="Calibri" w:eastAsia="宋体" w:cs="Times New Roman"/>
              <w:sz w:val="24"/>
              <w:szCs w:val="20"/>
              <w:lang w:val="en-US" w:eastAsia="zh-CN"/>
            </w:rPr>
          </w:pPr>
          <w:r>
            <w:rPr>
              <w:rFonts w:hint="eastAsia"/>
              <w:lang w:val="en-US" w:eastAsia="zh-CN"/>
            </w:rPr>
            <w:t>2.3车箱输送系统主要参数表</w:t>
          </w:r>
          <w:r>
            <w:rPr>
              <w:rFonts w:ascii="Calibri" w:hAnsi="Calibri" w:eastAsia="宋体" w:cs="Times New Roman"/>
              <w:sz w:val="24"/>
              <w:szCs w:val="20"/>
            </w:rPr>
            <w:tab/>
          </w:r>
          <w:r>
            <w:rPr>
              <w:rFonts w:hint="eastAsia" w:ascii="Calibri" w:hAnsi="Calibri" w:eastAsia="宋体" w:cs="Times New Roman"/>
              <w:sz w:val="24"/>
              <w:szCs w:val="20"/>
              <w:lang w:val="en-US" w:eastAsia="zh-CN"/>
            </w:rPr>
            <w:t>24</w:t>
          </w:r>
        </w:p>
        <w:p w14:paraId="5AFA7306">
          <w:pPr>
            <w:tabs>
              <w:tab w:val="right" w:leader="dot" w:pos="8306"/>
            </w:tabs>
            <w:spacing w:line="360" w:lineRule="auto"/>
            <w:ind w:left="420" w:leftChars="200" w:firstLine="420" w:firstLineChars="200"/>
            <w:rPr>
              <w:rFonts w:hint="eastAsia"/>
              <w:lang w:val="en-US" w:eastAsia="zh-CN"/>
            </w:rPr>
          </w:pPr>
          <w:r>
            <w:rPr>
              <w:rFonts w:hint="eastAsia"/>
              <w:lang w:val="en-US" w:eastAsia="zh-CN"/>
            </w:rPr>
            <w:t>2.4环保系统主要参数表</w:t>
          </w:r>
          <w:r>
            <w:rPr>
              <w:rFonts w:ascii="Calibri" w:hAnsi="Calibri" w:eastAsia="宋体" w:cs="Times New Roman"/>
              <w:sz w:val="24"/>
              <w:szCs w:val="20"/>
            </w:rPr>
            <w:tab/>
          </w:r>
          <w:r>
            <w:rPr>
              <w:rFonts w:hint="eastAsia" w:ascii="Calibri" w:hAnsi="Calibri" w:eastAsia="宋体" w:cs="Times New Roman"/>
              <w:sz w:val="24"/>
              <w:szCs w:val="20"/>
              <w:lang w:val="en-US" w:eastAsia="zh-CN"/>
            </w:rPr>
            <w:t>25</w:t>
          </w:r>
        </w:p>
        <w:p w14:paraId="6C4A7039">
          <w:pPr>
            <w:tabs>
              <w:tab w:val="right" w:leader="dot" w:pos="8306"/>
            </w:tabs>
            <w:spacing w:line="360" w:lineRule="auto"/>
            <w:ind w:left="420" w:leftChars="200" w:firstLine="420" w:firstLineChars="200"/>
            <w:rPr>
              <w:rFonts w:hint="default" w:ascii="Calibri" w:hAnsi="Calibri" w:eastAsia="宋体" w:cs="Times New Roman"/>
              <w:sz w:val="24"/>
              <w:szCs w:val="20"/>
              <w:lang w:val="en-US" w:eastAsia="zh-CN"/>
            </w:rPr>
          </w:pPr>
          <w:r>
            <w:rPr>
              <w:rFonts w:hint="eastAsia"/>
              <w:lang w:val="en-US" w:eastAsia="zh-CN"/>
            </w:rPr>
            <w:t>2.5甲乙方责任</w:t>
          </w:r>
          <w:r>
            <w:rPr>
              <w:rFonts w:ascii="Calibri" w:hAnsi="Calibri" w:eastAsia="宋体" w:cs="Times New Roman"/>
              <w:sz w:val="24"/>
              <w:szCs w:val="20"/>
            </w:rPr>
            <w:tab/>
          </w:r>
          <w:r>
            <w:rPr>
              <w:rFonts w:hint="eastAsia" w:ascii="Calibri" w:hAnsi="Calibri" w:eastAsia="宋体" w:cs="Times New Roman"/>
              <w:sz w:val="24"/>
              <w:szCs w:val="20"/>
              <w:lang w:val="en-US" w:eastAsia="zh-CN"/>
            </w:rPr>
            <w:t>26</w:t>
          </w:r>
        </w:p>
        <w:p w14:paraId="6CFE19F5">
          <w:pPr>
            <w:tabs>
              <w:tab w:val="right" w:leader="dot" w:pos="8306"/>
            </w:tabs>
            <w:spacing w:line="360" w:lineRule="auto"/>
            <w:ind w:left="420" w:leftChars="200" w:firstLine="420" w:firstLineChars="200"/>
            <w:rPr>
              <w:rFonts w:hint="eastAsia" w:ascii="Calibri" w:hAnsi="Calibri" w:eastAsia="宋体" w:cs="Times New Roman"/>
              <w:sz w:val="24"/>
              <w:szCs w:val="20"/>
              <w:lang w:val="en-US" w:eastAsia="zh-CN"/>
            </w:rPr>
          </w:pPr>
          <w:r>
            <w:fldChar w:fldCharType="begin"/>
          </w:r>
          <w:r>
            <w:instrText xml:space="preserve"> HYPERLINK \l "_Toc30465" </w:instrText>
          </w:r>
          <w:r>
            <w:fldChar w:fldCharType="separate"/>
          </w:r>
          <w:r>
            <w:rPr>
              <w:rFonts w:hint="eastAsia" w:ascii="宋体" w:hAnsi="宋体" w:eastAsia="宋体" w:cs="宋体"/>
              <w:sz w:val="24"/>
              <w:szCs w:val="20"/>
              <w:lang w:eastAsia="zh-CN"/>
            </w:rPr>
            <w:t>（</w:t>
          </w:r>
          <w:r>
            <w:rPr>
              <w:rFonts w:hint="eastAsia" w:ascii="宋体" w:hAnsi="宋体" w:eastAsia="宋体" w:cs="宋体"/>
              <w:sz w:val="24"/>
              <w:szCs w:val="20"/>
              <w:lang w:val="en-US" w:eastAsia="zh-CN"/>
            </w:rPr>
            <w:t>三</w:t>
          </w:r>
          <w:r>
            <w:rPr>
              <w:rFonts w:hint="eastAsia" w:ascii="宋体" w:hAnsi="宋体" w:eastAsia="宋体" w:cs="宋体"/>
              <w:sz w:val="24"/>
              <w:szCs w:val="20"/>
              <w:lang w:eastAsia="zh-CN"/>
            </w:rPr>
            <w:t>）</w:t>
          </w:r>
          <w:r>
            <w:rPr>
              <w:rFonts w:hint="eastAsia" w:ascii="宋体" w:hAnsi="宋体" w:eastAsia="宋体" w:cs="宋体"/>
              <w:sz w:val="24"/>
              <w:szCs w:val="20"/>
              <w:lang w:val="en-US" w:eastAsia="zh-CN"/>
            </w:rPr>
            <w:t>设备布置方案图</w:t>
          </w:r>
          <w:r>
            <w:rPr>
              <w:rFonts w:ascii="Calibri" w:hAnsi="Calibri" w:eastAsia="宋体" w:cs="Times New Roman"/>
              <w:sz w:val="24"/>
              <w:szCs w:val="20"/>
            </w:rPr>
            <w:tab/>
          </w:r>
          <w:r>
            <w:rPr>
              <w:rFonts w:hint="eastAsia" w:ascii="Calibri" w:hAnsi="Calibri" w:eastAsia="宋体" w:cs="Times New Roman"/>
              <w:sz w:val="24"/>
              <w:szCs w:val="20"/>
              <w:lang w:val="en-US" w:eastAsia="zh-CN"/>
            </w:rPr>
            <w:t>2</w:t>
          </w:r>
          <w:r>
            <w:rPr>
              <w:rFonts w:ascii="Calibri" w:hAnsi="Calibri" w:eastAsia="宋体" w:cs="Times New Roman"/>
              <w:sz w:val="24"/>
              <w:szCs w:val="20"/>
            </w:rPr>
            <w:fldChar w:fldCharType="end"/>
          </w:r>
          <w:r>
            <w:rPr>
              <w:rFonts w:hint="eastAsia" w:ascii="Calibri" w:hAnsi="Calibri" w:eastAsia="宋体" w:cs="Times New Roman"/>
              <w:sz w:val="24"/>
              <w:szCs w:val="20"/>
              <w:lang w:val="en-US" w:eastAsia="zh-CN"/>
            </w:rPr>
            <w:t>6</w:t>
          </w:r>
        </w:p>
        <w:p w14:paraId="5F750968">
          <w:pPr>
            <w:tabs>
              <w:tab w:val="right" w:leader="dot" w:pos="8306"/>
            </w:tabs>
            <w:spacing w:line="360" w:lineRule="auto"/>
            <w:ind w:left="420" w:leftChars="200" w:firstLine="420" w:firstLineChars="200"/>
            <w:rPr>
              <w:rFonts w:hint="eastAsia" w:eastAsia="宋体"/>
              <w:lang w:val="en-US" w:eastAsia="zh-CN"/>
            </w:rPr>
          </w:pPr>
          <w:r>
            <w:fldChar w:fldCharType="begin"/>
          </w:r>
          <w:r>
            <w:instrText xml:space="preserve"> HYPERLINK \l "_Toc30465" </w:instrText>
          </w:r>
          <w:r>
            <w:fldChar w:fldCharType="separate"/>
          </w:r>
          <w:r>
            <w:rPr>
              <w:rFonts w:hint="eastAsia" w:ascii="宋体" w:hAnsi="宋体" w:eastAsia="宋体" w:cs="宋体"/>
              <w:sz w:val="24"/>
              <w:szCs w:val="20"/>
              <w:lang w:eastAsia="zh-CN"/>
            </w:rPr>
            <w:t>（</w:t>
          </w:r>
          <w:r>
            <w:rPr>
              <w:rFonts w:hint="eastAsia" w:ascii="宋体" w:hAnsi="宋体" w:eastAsia="宋体" w:cs="宋体"/>
              <w:sz w:val="24"/>
              <w:szCs w:val="20"/>
              <w:lang w:val="en-US" w:eastAsia="zh-CN"/>
            </w:rPr>
            <w:t>四</w:t>
          </w:r>
          <w:r>
            <w:rPr>
              <w:rFonts w:hint="eastAsia" w:ascii="宋体" w:hAnsi="宋体" w:eastAsia="宋体" w:cs="宋体"/>
              <w:sz w:val="24"/>
              <w:szCs w:val="20"/>
              <w:lang w:eastAsia="zh-CN"/>
            </w:rPr>
            <w:t>）</w:t>
          </w:r>
          <w:r>
            <w:rPr>
              <w:rFonts w:hint="eastAsia" w:ascii="宋体" w:hAnsi="宋体" w:eastAsia="宋体" w:cs="宋体"/>
              <w:sz w:val="24"/>
              <w:szCs w:val="20"/>
              <w:lang w:val="en-US" w:eastAsia="zh-CN"/>
            </w:rPr>
            <w:t>节能</w:t>
          </w:r>
          <w:r>
            <w:rPr>
              <w:rFonts w:ascii="Calibri" w:hAnsi="Calibri" w:eastAsia="宋体" w:cs="Times New Roman"/>
              <w:sz w:val="24"/>
              <w:szCs w:val="20"/>
            </w:rPr>
            <w:tab/>
          </w:r>
          <w:r>
            <w:rPr>
              <w:rFonts w:hint="eastAsia" w:ascii="Calibri" w:hAnsi="Calibri" w:eastAsia="宋体" w:cs="Times New Roman"/>
              <w:sz w:val="24"/>
              <w:szCs w:val="20"/>
              <w:lang w:val="en-US" w:eastAsia="zh-CN"/>
            </w:rPr>
            <w:t>2</w:t>
          </w:r>
          <w:r>
            <w:rPr>
              <w:rFonts w:ascii="Calibri" w:hAnsi="Calibri" w:eastAsia="宋体" w:cs="Times New Roman"/>
              <w:sz w:val="24"/>
              <w:szCs w:val="20"/>
            </w:rPr>
            <w:fldChar w:fldCharType="end"/>
          </w:r>
          <w:r>
            <w:rPr>
              <w:rFonts w:hint="eastAsia" w:ascii="Calibri" w:hAnsi="Calibri" w:eastAsia="宋体" w:cs="Times New Roman"/>
              <w:sz w:val="24"/>
              <w:szCs w:val="20"/>
              <w:lang w:val="en-US" w:eastAsia="zh-CN"/>
            </w:rPr>
            <w:t>6</w:t>
          </w:r>
        </w:p>
        <w:p w14:paraId="42DF9D92">
          <w:pPr>
            <w:tabs>
              <w:tab w:val="right" w:leader="dot" w:pos="8306"/>
            </w:tabs>
            <w:spacing w:line="360" w:lineRule="auto"/>
            <w:ind w:firstLine="420" w:firstLineChars="200"/>
            <w:jc w:val="left"/>
            <w:rPr>
              <w:rFonts w:hint="eastAsia" w:ascii="宋体" w:hAnsi="宋体" w:eastAsia="宋体" w:cs="Times New Roman"/>
              <w:b/>
              <w:caps/>
              <w:sz w:val="24"/>
              <w:szCs w:val="21"/>
              <w:lang w:val="en-US" w:eastAsia="zh-CN"/>
            </w:rPr>
          </w:pPr>
          <w:r>
            <w:fldChar w:fldCharType="begin"/>
          </w:r>
          <w:r>
            <w:instrText xml:space="preserve"> HYPERLINK \l "_Toc18452" </w:instrText>
          </w:r>
          <w:r>
            <w:fldChar w:fldCharType="separate"/>
          </w:r>
          <w:r>
            <w:rPr>
              <w:rFonts w:hint="eastAsia" w:ascii="宋体" w:hAnsi="宋体" w:eastAsia="宋体" w:cs="宋体"/>
              <w:b/>
              <w:bCs/>
              <w:caps/>
              <w:sz w:val="24"/>
              <w:szCs w:val="24"/>
            </w:rPr>
            <w:t>第二章 订货内容及主要设备配置要求</w:t>
          </w:r>
          <w:r>
            <w:rPr>
              <w:rFonts w:ascii="宋体" w:hAnsi="宋体" w:eastAsia="宋体" w:cs="Times New Roman"/>
              <w:b/>
              <w:caps/>
              <w:sz w:val="24"/>
              <w:szCs w:val="21"/>
            </w:rPr>
            <w:tab/>
          </w:r>
          <w:r>
            <w:rPr>
              <w:rFonts w:hint="eastAsia" w:ascii="宋体" w:hAnsi="宋体" w:eastAsia="宋体" w:cs="Times New Roman"/>
              <w:b/>
              <w:caps/>
              <w:sz w:val="24"/>
              <w:szCs w:val="21"/>
              <w:lang w:val="en-US" w:eastAsia="zh-CN"/>
            </w:rPr>
            <w:t>2</w:t>
          </w:r>
          <w:r>
            <w:rPr>
              <w:rFonts w:ascii="宋体" w:hAnsi="宋体" w:eastAsia="宋体" w:cs="Times New Roman"/>
              <w:b/>
              <w:caps/>
              <w:sz w:val="24"/>
              <w:szCs w:val="21"/>
            </w:rPr>
            <w:fldChar w:fldCharType="end"/>
          </w:r>
          <w:r>
            <w:rPr>
              <w:rFonts w:hint="eastAsia" w:ascii="宋体" w:hAnsi="宋体" w:eastAsia="宋体" w:cs="Times New Roman"/>
              <w:b/>
              <w:caps/>
              <w:sz w:val="24"/>
              <w:szCs w:val="21"/>
              <w:lang w:val="en-US" w:eastAsia="zh-CN"/>
            </w:rPr>
            <w:t>6</w:t>
          </w:r>
        </w:p>
        <w:p w14:paraId="430F073F">
          <w:pPr>
            <w:tabs>
              <w:tab w:val="right" w:leader="dot" w:pos="8306"/>
            </w:tabs>
            <w:spacing w:line="360" w:lineRule="auto"/>
            <w:ind w:left="420" w:leftChars="200" w:firstLine="420" w:firstLineChars="200"/>
            <w:rPr>
              <w:rFonts w:hint="eastAsia" w:ascii="Calibri" w:hAnsi="Calibri" w:eastAsia="宋体" w:cs="Times New Roman"/>
              <w:sz w:val="24"/>
              <w:szCs w:val="20"/>
              <w:lang w:val="en-US" w:eastAsia="zh-CN"/>
            </w:rPr>
          </w:pPr>
          <w:r>
            <w:fldChar w:fldCharType="begin"/>
          </w:r>
          <w:r>
            <w:instrText xml:space="preserve"> HYPERLINK \l "_Toc18078" </w:instrText>
          </w:r>
          <w:r>
            <w:fldChar w:fldCharType="separate"/>
          </w:r>
          <w:r>
            <w:rPr>
              <w:rFonts w:hint="eastAsia"/>
              <w:lang w:val="en-US" w:eastAsia="zh-CN"/>
            </w:rPr>
            <w:t>订货内容</w:t>
          </w:r>
          <w:r>
            <w:rPr>
              <w:rFonts w:hint="eastAsia" w:ascii="宋体" w:hAnsi="宋体" w:eastAsia="宋体" w:cs="宋体"/>
              <w:sz w:val="24"/>
              <w:szCs w:val="20"/>
              <w:lang w:val="en-US" w:eastAsia="zh-CN"/>
            </w:rPr>
            <w:t>一览表</w:t>
          </w:r>
          <w:r>
            <w:rPr>
              <w:rFonts w:ascii="Calibri" w:hAnsi="Calibri" w:eastAsia="宋体" w:cs="Times New Roman"/>
              <w:sz w:val="24"/>
              <w:szCs w:val="20"/>
            </w:rPr>
            <w:tab/>
          </w:r>
          <w:r>
            <w:rPr>
              <w:rFonts w:hint="eastAsia" w:ascii="Calibri" w:hAnsi="Calibri" w:eastAsia="宋体" w:cs="Times New Roman"/>
              <w:sz w:val="24"/>
              <w:szCs w:val="20"/>
              <w:lang w:val="en-US" w:eastAsia="zh-CN"/>
            </w:rPr>
            <w:t>2</w:t>
          </w:r>
          <w:r>
            <w:rPr>
              <w:rFonts w:ascii="Calibri" w:hAnsi="Calibri" w:eastAsia="宋体" w:cs="Times New Roman"/>
              <w:sz w:val="24"/>
              <w:szCs w:val="20"/>
            </w:rPr>
            <w:fldChar w:fldCharType="end"/>
          </w:r>
          <w:r>
            <w:rPr>
              <w:rFonts w:hint="eastAsia" w:ascii="Calibri" w:hAnsi="Calibri" w:eastAsia="宋体" w:cs="Times New Roman"/>
              <w:sz w:val="24"/>
              <w:szCs w:val="20"/>
              <w:lang w:val="en-US" w:eastAsia="zh-CN"/>
            </w:rPr>
            <w:t>6</w:t>
          </w:r>
        </w:p>
        <w:p w14:paraId="7795D12A">
          <w:pPr>
            <w:tabs>
              <w:tab w:val="right" w:leader="dot" w:pos="8306"/>
            </w:tabs>
            <w:spacing w:line="360" w:lineRule="auto"/>
            <w:ind w:firstLine="420" w:firstLineChars="200"/>
            <w:jc w:val="left"/>
            <w:rPr>
              <w:rFonts w:hint="eastAsia" w:ascii="宋体" w:hAnsi="宋体" w:eastAsia="宋体" w:cs="Times New Roman"/>
              <w:b/>
              <w:caps/>
              <w:sz w:val="24"/>
              <w:szCs w:val="21"/>
              <w:lang w:val="en-US" w:eastAsia="zh-CN"/>
            </w:rPr>
          </w:pPr>
          <w:r>
            <w:fldChar w:fldCharType="begin"/>
          </w:r>
          <w:r>
            <w:instrText xml:space="preserve"> HYPERLINK \l "_Toc6623" </w:instrText>
          </w:r>
          <w:r>
            <w:fldChar w:fldCharType="separate"/>
          </w:r>
          <w:r>
            <w:rPr>
              <w:rFonts w:hint="eastAsia" w:ascii="宋体" w:hAnsi="宋体" w:eastAsia="宋体" w:cs="宋体"/>
              <w:b/>
              <w:bCs/>
              <w:caps/>
              <w:sz w:val="24"/>
              <w:szCs w:val="24"/>
            </w:rPr>
            <w:t>第</w:t>
          </w:r>
          <w:r>
            <w:rPr>
              <w:rFonts w:hint="eastAsia" w:ascii="宋体" w:hAnsi="宋体" w:eastAsia="宋体" w:cs="宋体"/>
              <w:b/>
              <w:bCs/>
              <w:caps/>
              <w:sz w:val="24"/>
              <w:szCs w:val="24"/>
              <w:lang w:val="en-US" w:eastAsia="zh-CN"/>
            </w:rPr>
            <w:t>三</w:t>
          </w:r>
          <w:r>
            <w:rPr>
              <w:rFonts w:hint="eastAsia" w:ascii="宋体" w:hAnsi="宋体" w:eastAsia="宋体" w:cs="宋体"/>
              <w:b/>
              <w:bCs/>
              <w:caps/>
              <w:sz w:val="24"/>
              <w:szCs w:val="24"/>
            </w:rPr>
            <w:t>章 执行标准和规范</w:t>
          </w:r>
          <w:r>
            <w:rPr>
              <w:rFonts w:ascii="宋体" w:hAnsi="宋体" w:eastAsia="宋体" w:cs="Times New Roman"/>
              <w:b/>
              <w:caps/>
              <w:sz w:val="24"/>
              <w:szCs w:val="21"/>
            </w:rPr>
            <w:tab/>
          </w:r>
          <w:r>
            <w:rPr>
              <w:rFonts w:hint="eastAsia" w:ascii="宋体" w:hAnsi="宋体" w:eastAsia="宋体" w:cs="Times New Roman"/>
              <w:b/>
              <w:caps/>
              <w:sz w:val="24"/>
              <w:szCs w:val="21"/>
              <w:lang w:val="en-US" w:eastAsia="zh-CN"/>
            </w:rPr>
            <w:t>2</w:t>
          </w:r>
          <w:r>
            <w:rPr>
              <w:rFonts w:ascii="宋体" w:hAnsi="宋体" w:eastAsia="宋体" w:cs="Times New Roman"/>
              <w:b/>
              <w:caps/>
              <w:sz w:val="24"/>
              <w:szCs w:val="21"/>
            </w:rPr>
            <w:fldChar w:fldCharType="end"/>
          </w:r>
          <w:r>
            <w:rPr>
              <w:rFonts w:hint="eastAsia" w:ascii="宋体" w:hAnsi="宋体" w:eastAsia="宋体" w:cs="Times New Roman"/>
              <w:b/>
              <w:caps/>
              <w:sz w:val="24"/>
              <w:szCs w:val="21"/>
              <w:lang w:val="en-US" w:eastAsia="zh-CN"/>
            </w:rPr>
            <w:t>7</w:t>
          </w:r>
        </w:p>
        <w:p w14:paraId="2578FAFB">
          <w:pPr>
            <w:tabs>
              <w:tab w:val="right" w:leader="dot" w:pos="8306"/>
            </w:tabs>
            <w:spacing w:line="360" w:lineRule="auto"/>
            <w:ind w:firstLine="420" w:firstLineChars="200"/>
            <w:jc w:val="left"/>
            <w:rPr>
              <w:rFonts w:hint="eastAsia" w:ascii="宋体" w:hAnsi="宋体" w:eastAsia="宋体" w:cs="Times New Roman"/>
              <w:b/>
              <w:caps/>
              <w:sz w:val="24"/>
              <w:szCs w:val="21"/>
              <w:lang w:val="en-US" w:eastAsia="zh-CN"/>
            </w:rPr>
          </w:pPr>
          <w:r>
            <w:fldChar w:fldCharType="begin"/>
          </w:r>
          <w:r>
            <w:instrText xml:space="preserve"> HYPERLINK \l "_Toc16821" </w:instrText>
          </w:r>
          <w:r>
            <w:fldChar w:fldCharType="separate"/>
          </w:r>
          <w:r>
            <w:rPr>
              <w:rFonts w:hint="eastAsia" w:ascii="宋体" w:hAnsi="宋体" w:eastAsia="宋体" w:cs="宋体"/>
              <w:b/>
              <w:bCs/>
              <w:caps/>
              <w:sz w:val="24"/>
              <w:szCs w:val="24"/>
            </w:rPr>
            <w:t>第</w:t>
          </w:r>
          <w:r>
            <w:rPr>
              <w:rFonts w:hint="eastAsia" w:ascii="宋体" w:hAnsi="宋体" w:eastAsia="宋体" w:cs="宋体"/>
              <w:b/>
              <w:bCs/>
              <w:caps/>
              <w:sz w:val="24"/>
              <w:szCs w:val="24"/>
              <w:lang w:val="en-US" w:eastAsia="zh-CN"/>
            </w:rPr>
            <w:t>四</w:t>
          </w:r>
          <w:r>
            <w:rPr>
              <w:rFonts w:hint="eastAsia" w:ascii="宋体" w:hAnsi="宋体" w:eastAsia="宋体" w:cs="宋体"/>
              <w:b/>
              <w:bCs/>
              <w:caps/>
              <w:sz w:val="24"/>
              <w:szCs w:val="24"/>
            </w:rPr>
            <w:t>章供货范围及供货方式</w:t>
          </w:r>
          <w:r>
            <w:rPr>
              <w:rFonts w:ascii="宋体" w:hAnsi="宋体" w:eastAsia="宋体" w:cs="Times New Roman"/>
              <w:b/>
              <w:caps/>
              <w:sz w:val="24"/>
              <w:szCs w:val="21"/>
            </w:rPr>
            <w:tab/>
          </w:r>
          <w:r>
            <w:rPr>
              <w:rFonts w:hint="eastAsia" w:ascii="宋体" w:hAnsi="宋体" w:eastAsia="宋体" w:cs="Times New Roman"/>
              <w:b/>
              <w:caps/>
              <w:sz w:val="24"/>
              <w:szCs w:val="21"/>
              <w:lang w:val="en-US" w:eastAsia="zh-CN"/>
            </w:rPr>
            <w:t>2</w:t>
          </w:r>
          <w:r>
            <w:rPr>
              <w:rFonts w:ascii="宋体" w:hAnsi="宋体" w:eastAsia="宋体" w:cs="Times New Roman"/>
              <w:b/>
              <w:caps/>
              <w:sz w:val="24"/>
              <w:szCs w:val="21"/>
            </w:rPr>
            <w:fldChar w:fldCharType="end"/>
          </w:r>
          <w:r>
            <w:rPr>
              <w:rFonts w:hint="eastAsia" w:ascii="宋体" w:hAnsi="宋体" w:eastAsia="宋体" w:cs="Times New Roman"/>
              <w:b/>
              <w:caps/>
              <w:sz w:val="24"/>
              <w:szCs w:val="21"/>
              <w:lang w:val="en-US" w:eastAsia="zh-CN"/>
            </w:rPr>
            <w:t>7</w:t>
          </w:r>
        </w:p>
        <w:p w14:paraId="57F5F09D">
          <w:pPr>
            <w:tabs>
              <w:tab w:val="right" w:leader="dot" w:pos="8306"/>
            </w:tabs>
            <w:spacing w:line="360" w:lineRule="auto"/>
            <w:ind w:left="420" w:leftChars="200" w:firstLine="420" w:firstLineChars="200"/>
            <w:rPr>
              <w:rFonts w:hint="eastAsia" w:ascii="Calibri" w:hAnsi="Calibri" w:eastAsia="宋体" w:cs="Times New Roman"/>
              <w:sz w:val="24"/>
              <w:szCs w:val="20"/>
              <w:lang w:val="en-US" w:eastAsia="zh-CN"/>
            </w:rPr>
          </w:pPr>
          <w:r>
            <w:fldChar w:fldCharType="begin"/>
          </w:r>
          <w:r>
            <w:instrText xml:space="preserve"> HYPERLINK \l "_Toc29560" </w:instrText>
          </w:r>
          <w:r>
            <w:fldChar w:fldCharType="separate"/>
          </w:r>
          <w:r>
            <w:rPr>
              <w:rFonts w:hint="eastAsia"/>
              <w:lang w:val="en-US" w:eastAsia="zh-CN"/>
            </w:rPr>
            <w:t>一、</w:t>
          </w:r>
          <w:r>
            <w:rPr>
              <w:rFonts w:hint="eastAsia" w:ascii="宋体" w:hAnsi="宋体" w:eastAsia="宋体" w:cs="宋体"/>
              <w:sz w:val="24"/>
              <w:szCs w:val="24"/>
            </w:rPr>
            <w:t>供货范围</w:t>
          </w:r>
          <w:r>
            <w:rPr>
              <w:rFonts w:ascii="Calibri" w:hAnsi="Calibri" w:eastAsia="宋体" w:cs="Times New Roman"/>
              <w:sz w:val="24"/>
              <w:szCs w:val="20"/>
            </w:rPr>
            <w:tab/>
          </w:r>
          <w:r>
            <w:rPr>
              <w:rFonts w:hint="eastAsia" w:ascii="Calibri" w:hAnsi="Calibri" w:eastAsia="宋体" w:cs="Times New Roman"/>
              <w:sz w:val="24"/>
              <w:szCs w:val="20"/>
              <w:lang w:val="en-US" w:eastAsia="zh-CN"/>
            </w:rPr>
            <w:t>2</w:t>
          </w:r>
          <w:r>
            <w:rPr>
              <w:rFonts w:ascii="Calibri" w:hAnsi="Calibri" w:eastAsia="宋体" w:cs="Times New Roman"/>
              <w:sz w:val="24"/>
              <w:szCs w:val="20"/>
            </w:rPr>
            <w:fldChar w:fldCharType="end"/>
          </w:r>
          <w:r>
            <w:rPr>
              <w:rFonts w:hint="eastAsia" w:ascii="Calibri" w:hAnsi="Calibri" w:eastAsia="宋体" w:cs="Times New Roman"/>
              <w:sz w:val="24"/>
              <w:szCs w:val="20"/>
              <w:lang w:val="en-US" w:eastAsia="zh-CN"/>
            </w:rPr>
            <w:t>8</w:t>
          </w:r>
        </w:p>
        <w:p w14:paraId="691CCE27">
          <w:pPr>
            <w:tabs>
              <w:tab w:val="right" w:leader="dot" w:pos="8306"/>
            </w:tabs>
            <w:spacing w:line="360" w:lineRule="auto"/>
            <w:ind w:left="420" w:leftChars="200" w:firstLine="420" w:firstLineChars="200"/>
          </w:pPr>
          <w:r>
            <w:fldChar w:fldCharType="begin"/>
          </w:r>
          <w:r>
            <w:instrText xml:space="preserve"> HYPERLINK \l "_Toc11919" </w:instrText>
          </w:r>
          <w:r>
            <w:fldChar w:fldCharType="separate"/>
          </w:r>
          <w:r>
            <w:rPr>
              <w:rFonts w:hint="eastAsia" w:ascii="宋体" w:hAnsi="宋体" w:eastAsia="宋体" w:cs="宋体"/>
              <w:sz w:val="24"/>
              <w:szCs w:val="24"/>
            </w:rPr>
            <w:t>二、技术资料及交付进度</w:t>
          </w:r>
          <w:r>
            <w:rPr>
              <w:rFonts w:ascii="Calibri" w:hAnsi="Calibri" w:eastAsia="宋体" w:cs="Times New Roman"/>
              <w:sz w:val="24"/>
              <w:szCs w:val="20"/>
            </w:rPr>
            <w:tab/>
          </w:r>
          <w:r>
            <w:rPr>
              <w:rFonts w:hint="eastAsia" w:ascii="Calibri" w:hAnsi="Calibri" w:eastAsia="宋体" w:cs="Times New Roman"/>
              <w:sz w:val="24"/>
              <w:szCs w:val="20"/>
              <w:lang w:val="en-US" w:eastAsia="zh-CN"/>
            </w:rPr>
            <w:t>2</w:t>
          </w:r>
          <w:r>
            <w:rPr>
              <w:rFonts w:ascii="Calibri" w:hAnsi="Calibri" w:eastAsia="宋体" w:cs="Times New Roman"/>
              <w:sz w:val="24"/>
              <w:szCs w:val="20"/>
            </w:rPr>
            <w:fldChar w:fldCharType="end"/>
          </w:r>
          <w:r>
            <w:rPr>
              <w:rFonts w:hint="eastAsia" w:ascii="Calibri" w:hAnsi="Calibri" w:eastAsia="宋体" w:cs="Times New Roman"/>
              <w:sz w:val="24"/>
              <w:szCs w:val="20"/>
              <w:lang w:val="en-US" w:eastAsia="zh-CN"/>
            </w:rPr>
            <w:t>9</w:t>
          </w:r>
        </w:p>
        <w:p w14:paraId="0D5C3186">
          <w:pPr>
            <w:tabs>
              <w:tab w:val="right" w:leader="dot" w:pos="8306"/>
            </w:tabs>
            <w:spacing w:line="360" w:lineRule="auto"/>
            <w:ind w:left="420" w:leftChars="200" w:firstLine="420" w:firstLineChars="200"/>
            <w:rPr>
              <w:rFonts w:hint="eastAsia" w:ascii="Calibri" w:hAnsi="Calibri" w:eastAsia="宋体" w:cs="Times New Roman"/>
              <w:sz w:val="24"/>
              <w:szCs w:val="20"/>
              <w:lang w:val="en-US" w:eastAsia="zh-CN"/>
            </w:rPr>
          </w:pPr>
          <w:r>
            <w:fldChar w:fldCharType="begin"/>
          </w:r>
          <w:r>
            <w:instrText xml:space="preserve"> HYPERLINK \l "_Toc11919" </w:instrText>
          </w:r>
          <w:r>
            <w:fldChar w:fldCharType="separate"/>
          </w:r>
          <w:r>
            <w:rPr>
              <w:rFonts w:hint="eastAsia" w:ascii="宋体" w:hAnsi="宋体" w:eastAsia="宋体" w:cs="宋体"/>
              <w:sz w:val="24"/>
              <w:szCs w:val="24"/>
            </w:rPr>
            <w:t>三、交货进度</w:t>
          </w:r>
          <w:r>
            <w:rPr>
              <w:rFonts w:ascii="Calibri" w:hAnsi="Calibri" w:eastAsia="宋体" w:cs="Times New Roman"/>
              <w:sz w:val="24"/>
              <w:szCs w:val="20"/>
            </w:rPr>
            <w:tab/>
          </w:r>
          <w:r>
            <w:rPr>
              <w:rFonts w:hint="eastAsia" w:ascii="Calibri" w:hAnsi="Calibri" w:eastAsia="宋体" w:cs="Times New Roman"/>
              <w:sz w:val="24"/>
              <w:szCs w:val="20"/>
              <w:lang w:val="en-US" w:eastAsia="zh-CN"/>
            </w:rPr>
            <w:t>3</w:t>
          </w:r>
          <w:r>
            <w:rPr>
              <w:rFonts w:ascii="Calibri" w:hAnsi="Calibri" w:eastAsia="宋体" w:cs="Times New Roman"/>
              <w:sz w:val="24"/>
              <w:szCs w:val="20"/>
            </w:rPr>
            <w:fldChar w:fldCharType="end"/>
          </w:r>
          <w:r>
            <w:rPr>
              <w:rFonts w:hint="eastAsia" w:ascii="Calibri" w:hAnsi="Calibri" w:eastAsia="宋体" w:cs="Times New Roman"/>
              <w:sz w:val="24"/>
              <w:szCs w:val="20"/>
              <w:lang w:val="en-US" w:eastAsia="zh-CN"/>
            </w:rPr>
            <w:t>0</w:t>
          </w:r>
        </w:p>
        <w:p w14:paraId="23AB0EB7">
          <w:pPr>
            <w:tabs>
              <w:tab w:val="right" w:leader="dot" w:pos="8306"/>
            </w:tabs>
            <w:spacing w:line="360" w:lineRule="auto"/>
            <w:ind w:left="420" w:leftChars="200" w:firstLine="420" w:firstLineChars="200"/>
            <w:rPr>
              <w:rFonts w:hint="eastAsia" w:ascii="Calibri" w:hAnsi="Calibri" w:eastAsia="宋体" w:cs="Times New Roman"/>
              <w:sz w:val="24"/>
              <w:szCs w:val="20"/>
              <w:lang w:val="en-US" w:eastAsia="zh-CN"/>
            </w:rPr>
          </w:pPr>
          <w:r>
            <w:fldChar w:fldCharType="begin"/>
          </w:r>
          <w:r>
            <w:instrText xml:space="preserve"> HYPERLINK \l "_Toc11919" </w:instrText>
          </w:r>
          <w:r>
            <w:fldChar w:fldCharType="separate"/>
          </w:r>
          <w:r>
            <w:rPr>
              <w:rFonts w:hint="eastAsia" w:ascii="宋体" w:hAnsi="宋体" w:eastAsia="宋体" w:cs="宋体"/>
              <w:sz w:val="24"/>
              <w:szCs w:val="24"/>
            </w:rPr>
            <w:t>四、检验、验收、试验、维保</w:t>
          </w:r>
          <w:r>
            <w:rPr>
              <w:rFonts w:ascii="Calibri" w:hAnsi="Calibri" w:eastAsia="宋体" w:cs="Times New Roman"/>
              <w:sz w:val="24"/>
              <w:szCs w:val="20"/>
            </w:rPr>
            <w:tab/>
          </w:r>
          <w:r>
            <w:rPr>
              <w:rFonts w:hint="eastAsia" w:ascii="Calibri" w:hAnsi="Calibri" w:eastAsia="宋体" w:cs="Times New Roman"/>
              <w:sz w:val="24"/>
              <w:szCs w:val="20"/>
              <w:lang w:val="en-US" w:eastAsia="zh-CN"/>
            </w:rPr>
            <w:t>3</w:t>
          </w:r>
          <w:r>
            <w:rPr>
              <w:rFonts w:ascii="Calibri" w:hAnsi="Calibri" w:eastAsia="宋体" w:cs="Times New Roman"/>
              <w:sz w:val="24"/>
              <w:szCs w:val="20"/>
            </w:rPr>
            <w:fldChar w:fldCharType="end"/>
          </w:r>
          <w:r>
            <w:rPr>
              <w:rFonts w:hint="eastAsia" w:ascii="Calibri" w:hAnsi="Calibri" w:eastAsia="宋体" w:cs="Times New Roman"/>
              <w:sz w:val="24"/>
              <w:szCs w:val="20"/>
              <w:lang w:val="en-US" w:eastAsia="zh-CN"/>
            </w:rPr>
            <w:t>0</w:t>
          </w:r>
        </w:p>
        <w:p w14:paraId="5A000B7B">
          <w:pPr>
            <w:tabs>
              <w:tab w:val="right" w:leader="dot" w:pos="8306"/>
            </w:tabs>
            <w:spacing w:line="360" w:lineRule="auto"/>
            <w:ind w:left="420" w:leftChars="200" w:firstLine="420" w:firstLineChars="200"/>
            <w:rPr>
              <w:rFonts w:hint="eastAsia" w:ascii="Calibri" w:hAnsi="Calibri" w:eastAsia="宋体" w:cs="Times New Roman"/>
              <w:sz w:val="24"/>
              <w:szCs w:val="20"/>
              <w:lang w:val="en-US" w:eastAsia="zh-CN"/>
            </w:rPr>
          </w:pPr>
          <w:r>
            <w:fldChar w:fldCharType="begin"/>
          </w:r>
          <w:r>
            <w:instrText xml:space="preserve"> HYPERLINK \l "_Toc11919" </w:instrText>
          </w:r>
          <w:r>
            <w:fldChar w:fldCharType="separate"/>
          </w:r>
          <w:r>
            <w:rPr>
              <w:rFonts w:hint="eastAsia" w:ascii="宋体" w:hAnsi="宋体" w:eastAsia="宋体" w:cs="宋体"/>
              <w:sz w:val="24"/>
              <w:szCs w:val="24"/>
            </w:rPr>
            <w:t>五、质量担保</w:t>
          </w:r>
          <w:r>
            <w:rPr>
              <w:rFonts w:ascii="Calibri" w:hAnsi="Calibri" w:eastAsia="宋体" w:cs="Times New Roman"/>
              <w:sz w:val="24"/>
              <w:szCs w:val="20"/>
            </w:rPr>
            <w:tab/>
          </w:r>
          <w:r>
            <w:rPr>
              <w:rFonts w:hint="eastAsia" w:ascii="Calibri" w:hAnsi="Calibri" w:eastAsia="宋体" w:cs="Times New Roman"/>
              <w:sz w:val="24"/>
              <w:szCs w:val="20"/>
              <w:lang w:val="en-US" w:eastAsia="zh-CN"/>
            </w:rPr>
            <w:t>3</w:t>
          </w:r>
          <w:r>
            <w:rPr>
              <w:rFonts w:ascii="Calibri" w:hAnsi="Calibri" w:eastAsia="宋体" w:cs="Times New Roman"/>
              <w:sz w:val="24"/>
              <w:szCs w:val="20"/>
            </w:rPr>
            <w:fldChar w:fldCharType="end"/>
          </w:r>
          <w:r>
            <w:rPr>
              <w:rFonts w:hint="eastAsia" w:ascii="Calibri" w:hAnsi="Calibri" w:eastAsia="宋体" w:cs="Times New Roman"/>
              <w:sz w:val="24"/>
              <w:szCs w:val="20"/>
              <w:lang w:val="en-US" w:eastAsia="zh-CN"/>
            </w:rPr>
            <w:t>1</w:t>
          </w:r>
        </w:p>
        <w:p w14:paraId="2C0820FD">
          <w:pPr>
            <w:spacing w:line="360" w:lineRule="auto"/>
            <w:ind w:firstLine="480" w:firstLineChars="200"/>
            <w:rPr>
              <w:rFonts w:ascii="Times New Roman" w:hAnsi="Times New Roman" w:eastAsia="宋体"/>
              <w:sz w:val="24"/>
            </w:rPr>
          </w:pPr>
          <w:r>
            <w:rPr>
              <w:rFonts w:ascii="Times New Roman" w:hAnsi="Times New Roman" w:eastAsia="宋体"/>
              <w:sz w:val="24"/>
            </w:rPr>
            <w:fldChar w:fldCharType="end"/>
          </w:r>
        </w:p>
      </w:sdtContent>
    </w:sdt>
    <w:p w14:paraId="0F8C120F">
      <w:pPr>
        <w:spacing w:line="440" w:lineRule="exact"/>
        <w:ind w:firstLine="480" w:firstLineChars="200"/>
        <w:rPr>
          <w:rFonts w:ascii="Times New Roman" w:hAnsi="Times New Roman" w:eastAsia="宋体"/>
          <w:sz w:val="24"/>
        </w:rPr>
      </w:pPr>
      <w:r>
        <w:rPr>
          <w:rFonts w:ascii="Times New Roman" w:hAnsi="Times New Roman" w:eastAsia="宋体"/>
          <w:sz w:val="24"/>
        </w:rPr>
        <w:br w:type="page"/>
      </w:r>
    </w:p>
    <w:p w14:paraId="5A103247">
      <w:pPr>
        <w:keepNext/>
        <w:keepLines/>
        <w:spacing w:line="440" w:lineRule="exact"/>
        <w:ind w:firstLine="723" w:firstLineChars="200"/>
        <w:jc w:val="center"/>
        <w:outlineLvl w:val="0"/>
        <w:rPr>
          <w:rFonts w:hint="eastAsia" w:ascii="Times New Roman" w:hAnsi="Times New Roman" w:eastAsia="宋体"/>
          <w:b/>
          <w:bCs/>
          <w:kern w:val="44"/>
          <w:sz w:val="36"/>
          <w:szCs w:val="44"/>
        </w:rPr>
      </w:pPr>
      <w:r>
        <w:rPr>
          <w:rFonts w:hint="eastAsia" w:ascii="Times New Roman" w:hAnsi="Times New Roman" w:eastAsia="宋体"/>
          <w:b/>
          <w:bCs/>
          <w:kern w:val="44"/>
          <w:sz w:val="36"/>
          <w:szCs w:val="44"/>
        </w:rPr>
        <w:t>第一章 总则</w:t>
      </w:r>
    </w:p>
    <w:p w14:paraId="012833AB">
      <w:pPr>
        <w:keepNext/>
        <w:keepLines/>
        <w:spacing w:line="360" w:lineRule="auto"/>
        <w:ind w:firstLine="482" w:firstLineChars="200"/>
        <w:outlineLvl w:val="1"/>
        <w:rPr>
          <w:rFonts w:ascii="宋体" w:hAnsi="宋体" w:eastAsia="宋体" w:cs="宋体"/>
          <w:b/>
          <w:bCs/>
          <w:sz w:val="24"/>
          <w:szCs w:val="32"/>
        </w:rPr>
      </w:pPr>
      <w:r>
        <w:rPr>
          <w:rFonts w:hint="eastAsia" w:ascii="宋体" w:hAnsi="宋体" w:eastAsia="宋体" w:cs="宋体"/>
          <w:b/>
          <w:bCs/>
          <w:sz w:val="24"/>
          <w:szCs w:val="32"/>
        </w:rPr>
        <w:t>（一）项目概述</w:t>
      </w:r>
    </w:p>
    <w:tbl>
      <w:tblPr>
        <w:tblStyle w:val="43"/>
        <w:tblW w:w="494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9"/>
        <w:gridCol w:w="1717"/>
        <w:gridCol w:w="6700"/>
      </w:tblGrid>
      <w:tr w14:paraId="68E62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3" w:type="pct"/>
            <w:vAlign w:val="center"/>
          </w:tcPr>
          <w:p w14:paraId="14CAD1C5">
            <w:pPr>
              <w:spacing w:line="440" w:lineRule="exact"/>
              <w:rPr>
                <w:rFonts w:ascii="宋体" w:hAnsi="宋体" w:eastAsia="宋体" w:cs="宋体"/>
                <w:b/>
                <w:bCs/>
                <w:sz w:val="24"/>
              </w:rPr>
            </w:pPr>
            <w:r>
              <w:rPr>
                <w:rFonts w:hint="eastAsia" w:ascii="宋体" w:hAnsi="宋体" w:eastAsia="宋体" w:cs="宋体"/>
                <w:b/>
                <w:bCs/>
                <w:sz w:val="24"/>
              </w:rPr>
              <w:t>序号</w:t>
            </w:r>
          </w:p>
        </w:tc>
        <w:tc>
          <w:tcPr>
            <w:tcW w:w="935" w:type="pct"/>
            <w:vAlign w:val="center"/>
          </w:tcPr>
          <w:p w14:paraId="54CDB7FB">
            <w:pPr>
              <w:spacing w:line="440" w:lineRule="exact"/>
              <w:rPr>
                <w:rFonts w:ascii="宋体" w:hAnsi="宋体" w:eastAsia="宋体" w:cs="宋体"/>
                <w:b/>
                <w:bCs/>
                <w:sz w:val="24"/>
              </w:rPr>
            </w:pPr>
            <w:r>
              <w:rPr>
                <w:rFonts w:hint="eastAsia" w:ascii="宋体" w:hAnsi="宋体" w:eastAsia="宋体" w:cs="宋体"/>
                <w:b/>
                <w:bCs/>
                <w:sz w:val="24"/>
              </w:rPr>
              <w:t>内容</w:t>
            </w:r>
          </w:p>
        </w:tc>
        <w:tc>
          <w:tcPr>
            <w:tcW w:w="3650" w:type="pct"/>
            <w:vAlign w:val="center"/>
          </w:tcPr>
          <w:p w14:paraId="5795B918">
            <w:pPr>
              <w:spacing w:line="440" w:lineRule="exact"/>
              <w:rPr>
                <w:rFonts w:ascii="宋体" w:hAnsi="宋体" w:eastAsia="宋体" w:cs="宋体"/>
                <w:b/>
                <w:bCs/>
                <w:sz w:val="24"/>
              </w:rPr>
            </w:pPr>
            <w:r>
              <w:rPr>
                <w:rFonts w:hint="eastAsia" w:ascii="宋体" w:hAnsi="宋体" w:eastAsia="宋体" w:cs="宋体"/>
                <w:b/>
                <w:bCs/>
                <w:sz w:val="24"/>
              </w:rPr>
              <w:t>产品参数</w:t>
            </w:r>
          </w:p>
        </w:tc>
      </w:tr>
      <w:tr w14:paraId="6E80A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13" w:type="pct"/>
            <w:vAlign w:val="center"/>
          </w:tcPr>
          <w:p w14:paraId="2E67E8CA">
            <w:pPr>
              <w:jc w:val="center"/>
            </w:pPr>
            <w:r>
              <w:rPr>
                <w:rFonts w:hint="eastAsia"/>
                <w:lang w:val="en-US" w:eastAsia="zh-CN"/>
              </w:rPr>
              <w:t>1</w:t>
            </w:r>
          </w:p>
        </w:tc>
        <w:tc>
          <w:tcPr>
            <w:tcW w:w="935" w:type="pct"/>
            <w:vAlign w:val="center"/>
          </w:tcPr>
          <w:p w14:paraId="78FF9BF1">
            <w:pPr>
              <w:spacing w:line="440" w:lineRule="exact"/>
              <w:rPr>
                <w:rFonts w:ascii="宋体" w:hAnsi="宋体" w:eastAsia="宋体" w:cs="宋体"/>
                <w:sz w:val="24"/>
              </w:rPr>
            </w:pPr>
            <w:r>
              <w:rPr>
                <w:rFonts w:hint="eastAsia" w:ascii="宋体" w:hAnsi="宋体" w:eastAsia="宋体" w:cs="宋体"/>
                <w:sz w:val="24"/>
              </w:rPr>
              <w:t>设备用途</w:t>
            </w:r>
          </w:p>
        </w:tc>
        <w:tc>
          <w:tcPr>
            <w:tcW w:w="3650" w:type="pct"/>
            <w:vAlign w:val="center"/>
          </w:tcPr>
          <w:p w14:paraId="36ADCBA4">
            <w:pPr>
              <w:spacing w:line="440" w:lineRule="exact"/>
              <w:textAlignment w:val="center"/>
              <w:rPr>
                <w:rFonts w:ascii="宋体" w:hAnsi="宋体" w:eastAsia="宋体" w:cs="宋体"/>
                <w:sz w:val="22"/>
              </w:rPr>
            </w:pPr>
            <w:r>
              <w:rPr>
                <w:rFonts w:hint="eastAsia" w:ascii="宋体" w:hAnsi="宋体" w:eastAsia="宋体" w:cs="宋体"/>
                <w:sz w:val="22"/>
              </w:rPr>
              <w:t>根据生产需要新增一台工件悬挂通过式专用于自卸车产品的整箱抛丸清理设备，适应于普通公路用自卸车车箱整箱抛丸清理作业。实现从自卸车车箱合拢线自动运转车箱至抛丸清理设备（以及从抛丸清理设备上料区直接上料），在完成抛丸清理作业厚，自动将车箱流转至喷漆车间。</w:t>
            </w:r>
          </w:p>
        </w:tc>
      </w:tr>
      <w:tr w14:paraId="787BF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3" w:type="pct"/>
            <w:vAlign w:val="center"/>
          </w:tcPr>
          <w:p w14:paraId="11332D1B">
            <w:pPr>
              <w:jc w:val="center"/>
            </w:pPr>
            <w:r>
              <w:rPr>
                <w:rFonts w:hint="eastAsia"/>
                <w:lang w:val="en-US" w:eastAsia="zh-CN"/>
              </w:rPr>
              <w:t>2</w:t>
            </w:r>
          </w:p>
        </w:tc>
        <w:tc>
          <w:tcPr>
            <w:tcW w:w="935" w:type="pct"/>
            <w:vAlign w:val="center"/>
          </w:tcPr>
          <w:p w14:paraId="05658E50">
            <w:pPr>
              <w:spacing w:before="74" w:line="219" w:lineRule="auto"/>
              <w:textAlignment w:val="center"/>
              <w:rPr>
                <w:rFonts w:ascii="宋体" w:hAnsi="宋体" w:eastAsia="宋体" w:cs="宋体"/>
                <w:sz w:val="22"/>
              </w:rPr>
            </w:pPr>
            <w:r>
              <w:rPr>
                <w:rFonts w:hint="eastAsia" w:ascii="宋体" w:hAnsi="宋体" w:eastAsia="宋体" w:cs="宋体"/>
                <w:spacing w:val="-2"/>
                <w:sz w:val="23"/>
                <w:szCs w:val="23"/>
                <w:lang w:eastAsia="en-US"/>
              </w:rPr>
              <w:t>产品</w:t>
            </w:r>
            <w:r>
              <w:rPr>
                <w:rFonts w:hint="eastAsia" w:ascii="宋体" w:hAnsi="宋体" w:eastAsia="宋体" w:cs="宋体"/>
                <w:spacing w:val="-2"/>
                <w:sz w:val="23"/>
                <w:szCs w:val="23"/>
              </w:rPr>
              <w:t>基本参数</w:t>
            </w:r>
          </w:p>
        </w:tc>
        <w:tc>
          <w:tcPr>
            <w:tcW w:w="3650" w:type="pct"/>
            <w:vAlign w:val="center"/>
          </w:tcPr>
          <w:p w14:paraId="6E1B14F5">
            <w:pPr>
              <w:spacing w:line="440" w:lineRule="exact"/>
              <w:textAlignment w:val="center"/>
              <w:rPr>
                <w:rFonts w:hint="eastAsia" w:ascii="宋体" w:hAnsi="宋体" w:eastAsia="宋体" w:cs="宋体"/>
                <w:sz w:val="22"/>
                <w:lang w:eastAsia="zh-CN"/>
              </w:rPr>
            </w:pPr>
            <w:r>
              <w:rPr>
                <w:rFonts w:hint="eastAsia" w:ascii="宋体" w:hAnsi="宋体" w:eastAsia="宋体" w:cs="宋体"/>
                <w:sz w:val="22"/>
              </w:rPr>
              <w:t>9800mm×2550mm×2900mm，16000kg（不含吊具和箱内遗落的钢砂）</w:t>
            </w:r>
            <w:r>
              <w:rPr>
                <w:rFonts w:hint="eastAsia" w:ascii="宋体" w:hAnsi="宋体" w:eastAsia="宋体" w:cs="宋体"/>
                <w:sz w:val="22"/>
                <w:lang w:eastAsia="zh-CN"/>
              </w:rPr>
              <w:t>。</w:t>
            </w:r>
          </w:p>
        </w:tc>
      </w:tr>
      <w:tr w14:paraId="3908C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3" w:type="pct"/>
            <w:vAlign w:val="center"/>
          </w:tcPr>
          <w:p w14:paraId="7BA79A78">
            <w:pPr>
              <w:jc w:val="center"/>
            </w:pPr>
            <w:r>
              <w:rPr>
                <w:rFonts w:hint="eastAsia"/>
                <w:lang w:val="en-US" w:eastAsia="zh-CN"/>
              </w:rPr>
              <w:t>3</w:t>
            </w:r>
          </w:p>
        </w:tc>
        <w:tc>
          <w:tcPr>
            <w:tcW w:w="935" w:type="pct"/>
            <w:vAlign w:val="center"/>
          </w:tcPr>
          <w:p w14:paraId="0DAFB336">
            <w:pPr>
              <w:spacing w:before="123" w:line="219" w:lineRule="auto"/>
              <w:textAlignment w:val="center"/>
              <w:rPr>
                <w:rFonts w:hint="eastAsia" w:ascii="宋体" w:hAnsi="宋体" w:eastAsia="宋体" w:cs="宋体"/>
                <w:sz w:val="22"/>
                <w:lang w:val="en-US" w:eastAsia="zh-CN"/>
              </w:rPr>
            </w:pPr>
            <w:r>
              <w:rPr>
                <w:rFonts w:hint="eastAsia" w:ascii="宋体" w:hAnsi="宋体" w:eastAsia="宋体" w:cs="宋体"/>
                <w:spacing w:val="-2"/>
                <w:sz w:val="23"/>
                <w:szCs w:val="23"/>
                <w:lang w:eastAsia="en-US"/>
              </w:rPr>
              <w:t>输</w:t>
            </w:r>
            <w:r>
              <w:rPr>
                <w:rFonts w:hint="eastAsia" w:ascii="宋体" w:hAnsi="宋体" w:eastAsia="宋体" w:cs="宋体"/>
                <w:spacing w:val="-2"/>
                <w:sz w:val="24"/>
                <w:szCs w:val="24"/>
                <w:lang w:eastAsia="en-US"/>
              </w:rPr>
              <w:t>送</w:t>
            </w:r>
            <w:r>
              <w:rPr>
                <w:rFonts w:hint="eastAsia" w:ascii="宋体" w:hAnsi="宋体" w:eastAsia="宋体" w:cs="宋体"/>
                <w:spacing w:val="-2"/>
                <w:sz w:val="24"/>
                <w:szCs w:val="24"/>
                <w:lang w:val="en-US" w:eastAsia="zh-CN"/>
              </w:rPr>
              <w:t>条件</w:t>
            </w:r>
          </w:p>
        </w:tc>
        <w:tc>
          <w:tcPr>
            <w:tcW w:w="3650" w:type="pct"/>
            <w:vAlign w:val="center"/>
          </w:tcPr>
          <w:p w14:paraId="49354238">
            <w:pPr>
              <w:spacing w:line="440" w:lineRule="exact"/>
              <w:textAlignment w:val="center"/>
              <w:rPr>
                <w:rFonts w:hint="eastAsia" w:ascii="宋体" w:hAnsi="宋体" w:eastAsia="宋体" w:cs="宋体"/>
                <w:sz w:val="22"/>
                <w:lang w:eastAsia="zh-CN"/>
              </w:rPr>
            </w:pPr>
            <w:r>
              <w:rPr>
                <w:rFonts w:hint="eastAsia" w:ascii="宋体" w:hAnsi="宋体" w:eastAsia="宋体" w:cs="宋体"/>
                <w:sz w:val="22"/>
              </w:rPr>
              <w:t>吊挂通过式</w:t>
            </w:r>
          </w:p>
        </w:tc>
      </w:tr>
      <w:tr w14:paraId="6C051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413" w:type="pct"/>
            <w:vAlign w:val="center"/>
          </w:tcPr>
          <w:p w14:paraId="586A29B6">
            <w:pPr>
              <w:jc w:val="center"/>
            </w:pPr>
            <w:r>
              <w:rPr>
                <w:rFonts w:hint="eastAsia"/>
                <w:lang w:val="en-US" w:eastAsia="zh-CN"/>
              </w:rPr>
              <w:t>4</w:t>
            </w:r>
          </w:p>
        </w:tc>
        <w:tc>
          <w:tcPr>
            <w:tcW w:w="935" w:type="pct"/>
            <w:vAlign w:val="center"/>
          </w:tcPr>
          <w:p w14:paraId="6DC975D6">
            <w:pPr>
              <w:spacing w:before="124" w:line="219" w:lineRule="auto"/>
              <w:textAlignment w:val="center"/>
              <w:rPr>
                <w:rFonts w:ascii="宋体" w:hAnsi="宋体" w:eastAsia="宋体" w:cs="宋体"/>
                <w:sz w:val="22"/>
              </w:rPr>
            </w:pPr>
            <w:r>
              <w:rPr>
                <w:rFonts w:hint="eastAsia" w:ascii="宋体" w:hAnsi="宋体" w:eastAsia="宋体" w:cs="宋体"/>
                <w:spacing w:val="2"/>
                <w:sz w:val="23"/>
                <w:szCs w:val="23"/>
                <w:lang w:eastAsia="en-US"/>
              </w:rPr>
              <w:t>设备距离地面的最高高度</w:t>
            </w:r>
          </w:p>
        </w:tc>
        <w:tc>
          <w:tcPr>
            <w:tcW w:w="3650" w:type="pct"/>
            <w:vAlign w:val="center"/>
          </w:tcPr>
          <w:p w14:paraId="3DA14F2C">
            <w:pPr>
              <w:spacing w:line="440" w:lineRule="exact"/>
              <w:textAlignment w:val="center"/>
              <w:rPr>
                <w:rFonts w:hint="eastAsia" w:ascii="宋体" w:hAnsi="宋体" w:eastAsia="宋体" w:cs="宋体"/>
                <w:sz w:val="22"/>
                <w:lang w:eastAsia="zh-CN"/>
              </w:rPr>
            </w:pPr>
            <w:r>
              <w:rPr>
                <w:rFonts w:hint="eastAsia" w:ascii="宋体" w:hAnsi="宋体" w:eastAsia="宋体" w:cs="宋体"/>
                <w:b w:val="0"/>
                <w:bCs w:val="0"/>
                <w:color w:val="auto"/>
                <w:sz w:val="22"/>
              </w:rPr>
              <w:t>≤10500mm（不含抛丸室顶部的检修桁架）</w:t>
            </w:r>
          </w:p>
        </w:tc>
      </w:tr>
      <w:tr w14:paraId="71108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3" w:type="pct"/>
            <w:vAlign w:val="center"/>
          </w:tcPr>
          <w:p w14:paraId="6DA652A4">
            <w:pPr>
              <w:jc w:val="center"/>
            </w:pPr>
            <w:r>
              <w:rPr>
                <w:rFonts w:hint="eastAsia"/>
                <w:lang w:val="en-US" w:eastAsia="zh-CN"/>
              </w:rPr>
              <w:t>5</w:t>
            </w:r>
          </w:p>
        </w:tc>
        <w:tc>
          <w:tcPr>
            <w:tcW w:w="935" w:type="pct"/>
            <w:vAlign w:val="center"/>
          </w:tcPr>
          <w:p w14:paraId="6547122E">
            <w:pPr>
              <w:spacing w:before="124" w:line="219" w:lineRule="auto"/>
              <w:textAlignment w:val="center"/>
              <w:rPr>
                <w:rFonts w:ascii="宋体" w:hAnsi="宋体" w:eastAsia="宋体" w:cs="宋体"/>
                <w:sz w:val="22"/>
              </w:rPr>
            </w:pPr>
            <w:r>
              <w:rPr>
                <w:rFonts w:hint="eastAsia" w:ascii="宋体" w:hAnsi="宋体" w:eastAsia="宋体" w:cs="宋体"/>
                <w:sz w:val="22"/>
              </w:rPr>
              <w:t>接口条件</w:t>
            </w:r>
          </w:p>
        </w:tc>
        <w:tc>
          <w:tcPr>
            <w:tcW w:w="3650" w:type="pct"/>
            <w:vAlign w:val="center"/>
          </w:tcPr>
          <w:p w14:paraId="4BF2BA8F">
            <w:pPr>
              <w:spacing w:line="440" w:lineRule="exact"/>
              <w:textAlignment w:val="center"/>
              <w:rPr>
                <w:rFonts w:hint="eastAsia" w:ascii="宋体" w:hAnsi="宋体" w:eastAsia="宋体" w:cs="宋体"/>
                <w:sz w:val="22"/>
              </w:rPr>
            </w:pPr>
            <w:r>
              <w:rPr>
                <w:rFonts w:hint="eastAsia" w:ascii="宋体" w:hAnsi="宋体" w:eastAsia="宋体" w:cs="宋体"/>
                <w:sz w:val="22"/>
              </w:rPr>
              <w:t>电源：380V±10%    50HZ±1HZ；</w:t>
            </w:r>
          </w:p>
          <w:p w14:paraId="3D4B5ECC">
            <w:pPr>
              <w:spacing w:line="440" w:lineRule="exact"/>
              <w:textAlignment w:val="center"/>
              <w:rPr>
                <w:rFonts w:ascii="宋体" w:hAnsi="宋体" w:eastAsia="宋体" w:cs="宋体"/>
                <w:sz w:val="22"/>
              </w:rPr>
            </w:pPr>
            <w:r>
              <w:rPr>
                <w:rFonts w:hint="eastAsia" w:ascii="宋体" w:hAnsi="宋体" w:eastAsia="宋体" w:cs="宋体"/>
                <w:sz w:val="22"/>
              </w:rPr>
              <w:t>压缩空气：压力0.5～0.7MPa，露点温度：6℃</w:t>
            </w:r>
          </w:p>
        </w:tc>
      </w:tr>
      <w:tr w14:paraId="0E102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3" w:type="pct"/>
            <w:vAlign w:val="center"/>
          </w:tcPr>
          <w:p w14:paraId="17EE32D4">
            <w:pPr>
              <w:jc w:val="center"/>
            </w:pPr>
            <w:r>
              <w:rPr>
                <w:rFonts w:hint="eastAsia"/>
                <w:lang w:val="en-US" w:eastAsia="zh-CN"/>
              </w:rPr>
              <w:t>6</w:t>
            </w:r>
          </w:p>
        </w:tc>
        <w:tc>
          <w:tcPr>
            <w:tcW w:w="935" w:type="pct"/>
            <w:vAlign w:val="center"/>
          </w:tcPr>
          <w:p w14:paraId="3EF1199D">
            <w:pPr>
              <w:spacing w:before="124" w:line="219" w:lineRule="auto"/>
              <w:textAlignment w:val="center"/>
              <w:rPr>
                <w:rFonts w:ascii="宋体" w:hAnsi="宋体" w:eastAsia="宋体" w:cs="宋体"/>
                <w:sz w:val="22"/>
              </w:rPr>
            </w:pPr>
            <w:r>
              <w:rPr>
                <w:rFonts w:hint="eastAsia" w:ascii="宋体" w:hAnsi="宋体" w:eastAsia="宋体" w:cs="宋体"/>
                <w:sz w:val="22"/>
              </w:rPr>
              <w:t>工作环境温度</w:t>
            </w:r>
          </w:p>
        </w:tc>
        <w:tc>
          <w:tcPr>
            <w:tcW w:w="3650" w:type="pct"/>
            <w:vAlign w:val="center"/>
          </w:tcPr>
          <w:p w14:paraId="7BE64DBE">
            <w:pPr>
              <w:spacing w:line="440" w:lineRule="exact"/>
              <w:textAlignment w:val="center"/>
              <w:rPr>
                <w:rFonts w:hint="eastAsia" w:ascii="宋体" w:hAnsi="宋体" w:eastAsia="宋体" w:cs="宋体"/>
                <w:sz w:val="22"/>
                <w:lang w:eastAsia="zh-CN"/>
              </w:rPr>
            </w:pPr>
            <w:r>
              <w:rPr>
                <w:rFonts w:hint="eastAsia" w:ascii="宋体" w:hAnsi="宋体" w:eastAsia="宋体" w:cs="宋体"/>
                <w:sz w:val="22"/>
              </w:rPr>
              <w:t>-10℃～45℃；工作环境湿度：≤90％</w:t>
            </w:r>
          </w:p>
        </w:tc>
      </w:tr>
      <w:tr w14:paraId="63E78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3" w:type="pct"/>
            <w:vAlign w:val="center"/>
          </w:tcPr>
          <w:p w14:paraId="515A8003">
            <w:pPr>
              <w:jc w:val="center"/>
            </w:pPr>
            <w:r>
              <w:rPr>
                <w:rFonts w:hint="eastAsia"/>
                <w:lang w:val="en-US" w:eastAsia="zh-CN"/>
              </w:rPr>
              <w:t>7</w:t>
            </w:r>
          </w:p>
        </w:tc>
        <w:tc>
          <w:tcPr>
            <w:tcW w:w="935" w:type="pct"/>
            <w:vAlign w:val="center"/>
          </w:tcPr>
          <w:p w14:paraId="4ACA968E">
            <w:pPr>
              <w:spacing w:before="126" w:line="220" w:lineRule="auto"/>
              <w:textAlignment w:val="center"/>
              <w:rPr>
                <w:rFonts w:ascii="宋体" w:hAnsi="宋体" w:eastAsia="宋体" w:cs="宋体"/>
                <w:sz w:val="22"/>
              </w:rPr>
            </w:pPr>
            <w:r>
              <w:rPr>
                <w:rFonts w:hint="eastAsia" w:ascii="宋体" w:hAnsi="宋体" w:eastAsia="宋体" w:cs="宋体"/>
                <w:spacing w:val="3"/>
                <w:sz w:val="23"/>
                <w:szCs w:val="23"/>
                <w:lang w:eastAsia="en-US"/>
              </w:rPr>
              <w:t>生产线安装位置</w:t>
            </w:r>
          </w:p>
        </w:tc>
        <w:tc>
          <w:tcPr>
            <w:tcW w:w="3650" w:type="pct"/>
            <w:vAlign w:val="center"/>
          </w:tcPr>
          <w:p w14:paraId="2004C292">
            <w:pPr>
              <w:spacing w:line="440" w:lineRule="exact"/>
              <w:textAlignment w:val="center"/>
              <w:rPr>
                <w:rFonts w:ascii="宋体" w:hAnsi="宋体" w:eastAsia="宋体" w:cs="宋体"/>
                <w:sz w:val="22"/>
              </w:rPr>
            </w:pPr>
            <w:r>
              <w:rPr>
                <w:rFonts w:hint="eastAsia" w:ascii="宋体" w:hAnsi="宋体" w:eastAsia="宋体" w:cs="宋体"/>
                <w:sz w:val="22"/>
              </w:rPr>
              <w:t>八联跨联合厂房，北三跨东侧，室内车间</w:t>
            </w:r>
          </w:p>
        </w:tc>
      </w:tr>
      <w:tr w14:paraId="7B581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3" w:type="pct"/>
            <w:vAlign w:val="center"/>
          </w:tcPr>
          <w:p w14:paraId="2D4A34A5">
            <w:pPr>
              <w:jc w:val="center"/>
            </w:pPr>
            <w:r>
              <w:rPr>
                <w:rFonts w:hint="eastAsia"/>
                <w:lang w:val="en-US" w:eastAsia="zh-CN"/>
              </w:rPr>
              <w:t>8</w:t>
            </w:r>
          </w:p>
        </w:tc>
        <w:tc>
          <w:tcPr>
            <w:tcW w:w="935" w:type="pct"/>
            <w:vAlign w:val="center"/>
          </w:tcPr>
          <w:p w14:paraId="3D2FE4EE">
            <w:pPr>
              <w:spacing w:before="126" w:line="220" w:lineRule="auto"/>
              <w:textAlignment w:val="center"/>
              <w:rPr>
                <w:rFonts w:ascii="宋体" w:hAnsi="宋体" w:eastAsia="宋体" w:cs="宋体"/>
                <w:sz w:val="22"/>
              </w:rPr>
            </w:pPr>
            <w:r>
              <w:rPr>
                <w:rFonts w:hint="eastAsia" w:ascii="宋体" w:hAnsi="宋体" w:eastAsia="宋体" w:cs="宋体"/>
                <w:spacing w:val="5"/>
                <w:sz w:val="23"/>
                <w:szCs w:val="23"/>
                <w:lang w:eastAsia="en-US"/>
              </w:rPr>
              <w:t>产线生产能力</w:t>
            </w:r>
          </w:p>
        </w:tc>
        <w:tc>
          <w:tcPr>
            <w:tcW w:w="3650" w:type="pct"/>
            <w:vAlign w:val="center"/>
          </w:tcPr>
          <w:p w14:paraId="35A027DD">
            <w:pPr>
              <w:spacing w:line="440" w:lineRule="exact"/>
              <w:textAlignment w:val="center"/>
              <w:rPr>
                <w:rFonts w:hint="eastAsia" w:ascii="宋体" w:hAnsi="宋体" w:eastAsia="宋体" w:cs="宋体"/>
                <w:sz w:val="22"/>
                <w:lang w:eastAsia="zh-CN"/>
              </w:rPr>
            </w:pPr>
            <w:r>
              <w:rPr>
                <w:rFonts w:hint="eastAsia" w:ascii="宋体" w:hAnsi="宋体" w:eastAsia="宋体" w:cs="宋体"/>
                <w:sz w:val="22"/>
              </w:rPr>
              <w:t>每天工作2个班，每班工作10小时，作业节拍10～15min</w:t>
            </w:r>
          </w:p>
        </w:tc>
      </w:tr>
      <w:tr w14:paraId="1B4CF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3" w:type="pct"/>
            <w:vAlign w:val="center"/>
          </w:tcPr>
          <w:p w14:paraId="16E8F977">
            <w:pPr>
              <w:jc w:val="center"/>
            </w:pPr>
            <w:r>
              <w:rPr>
                <w:rFonts w:hint="eastAsia"/>
                <w:lang w:val="en-US" w:eastAsia="zh-CN"/>
              </w:rPr>
              <w:t>9</w:t>
            </w:r>
          </w:p>
        </w:tc>
        <w:tc>
          <w:tcPr>
            <w:tcW w:w="935" w:type="pct"/>
            <w:vAlign w:val="center"/>
          </w:tcPr>
          <w:p w14:paraId="31B8312B">
            <w:pPr>
              <w:spacing w:before="126" w:line="219" w:lineRule="auto"/>
              <w:textAlignment w:val="center"/>
              <w:rPr>
                <w:rFonts w:ascii="宋体" w:hAnsi="宋体" w:eastAsia="宋体" w:cs="宋体"/>
                <w:sz w:val="22"/>
              </w:rPr>
            </w:pPr>
            <w:r>
              <w:rPr>
                <w:rFonts w:hint="eastAsia" w:ascii="宋体" w:hAnsi="宋体" w:eastAsia="宋体" w:cs="宋体"/>
                <w:spacing w:val="2"/>
                <w:sz w:val="23"/>
                <w:szCs w:val="23"/>
                <w:lang w:eastAsia="en-US"/>
              </w:rPr>
              <w:t>设备设计规范</w:t>
            </w:r>
          </w:p>
        </w:tc>
        <w:tc>
          <w:tcPr>
            <w:tcW w:w="3650" w:type="pct"/>
            <w:vAlign w:val="center"/>
          </w:tcPr>
          <w:p w14:paraId="16B94C04">
            <w:pPr>
              <w:spacing w:line="440" w:lineRule="exact"/>
              <w:textAlignment w:val="center"/>
              <w:rPr>
                <w:rFonts w:hint="eastAsia" w:ascii="宋体" w:hAnsi="宋体" w:eastAsia="宋体" w:cs="宋体"/>
                <w:sz w:val="22"/>
                <w:lang w:eastAsia="zh-CN"/>
              </w:rPr>
            </w:pPr>
            <w:r>
              <w:rPr>
                <w:rFonts w:hint="eastAsia" w:ascii="宋体" w:hAnsi="宋体" w:eastAsia="宋体" w:cs="宋体"/>
                <w:sz w:val="22"/>
              </w:rPr>
              <w:t>依据厂房结构、物流需要、工件尺寸及输送悬挂高度进行设备尺寸设计，设备的设计应符合安全、环保、职业卫生方面的法律、法规及国家强制标准，同时结构合理方便操作，外形美观</w:t>
            </w:r>
          </w:p>
        </w:tc>
      </w:tr>
      <w:tr w14:paraId="6BDB7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3" w:type="pct"/>
            <w:vAlign w:val="center"/>
          </w:tcPr>
          <w:p w14:paraId="2E7A8604">
            <w:pPr>
              <w:jc w:val="center"/>
            </w:pPr>
            <w:r>
              <w:rPr>
                <w:rFonts w:hint="eastAsia"/>
                <w:lang w:val="en-US" w:eastAsia="zh-CN"/>
              </w:rPr>
              <w:t>10</w:t>
            </w:r>
          </w:p>
        </w:tc>
        <w:tc>
          <w:tcPr>
            <w:tcW w:w="935" w:type="pct"/>
            <w:vAlign w:val="center"/>
          </w:tcPr>
          <w:p w14:paraId="4A800DB5">
            <w:pPr>
              <w:spacing w:before="75" w:line="219" w:lineRule="auto"/>
              <w:textAlignment w:val="center"/>
              <w:rPr>
                <w:rFonts w:ascii="宋体" w:hAnsi="宋体" w:eastAsia="宋体" w:cs="宋体"/>
                <w:sz w:val="22"/>
              </w:rPr>
            </w:pPr>
            <w:r>
              <w:rPr>
                <w:rFonts w:hint="eastAsia" w:ascii="宋体" w:hAnsi="宋体" w:eastAsia="宋体" w:cs="宋体"/>
                <w:spacing w:val="2"/>
                <w:sz w:val="23"/>
                <w:szCs w:val="23"/>
                <w:lang w:eastAsia="en-US"/>
              </w:rPr>
              <w:t>电机</w:t>
            </w:r>
          </w:p>
        </w:tc>
        <w:tc>
          <w:tcPr>
            <w:tcW w:w="3650" w:type="pct"/>
            <w:vAlign w:val="center"/>
          </w:tcPr>
          <w:p w14:paraId="28C0790E">
            <w:pPr>
              <w:spacing w:line="440" w:lineRule="exact"/>
              <w:textAlignment w:val="center"/>
              <w:rPr>
                <w:rFonts w:ascii="宋体" w:hAnsi="宋体" w:eastAsia="宋体" w:cs="宋体"/>
                <w:sz w:val="22"/>
              </w:rPr>
            </w:pPr>
            <w:r>
              <w:rPr>
                <w:rFonts w:hint="eastAsia" w:ascii="宋体" w:hAnsi="宋体" w:eastAsia="宋体" w:cs="宋体"/>
                <w:sz w:val="22"/>
              </w:rPr>
              <w:t>能效等级不低于国家现行标准一级能效且需提供能效标识</w:t>
            </w:r>
          </w:p>
        </w:tc>
      </w:tr>
    </w:tbl>
    <w:p w14:paraId="6B7EDAB0">
      <w:pPr>
        <w:keepNext/>
        <w:keepLines/>
        <w:spacing w:line="360" w:lineRule="auto"/>
        <w:ind w:firstLine="482" w:firstLineChars="200"/>
        <w:outlineLvl w:val="1"/>
        <w:rPr>
          <w:rFonts w:hint="eastAsia" w:ascii="宋体" w:hAnsi="宋体" w:eastAsia="宋体" w:cs="宋体"/>
          <w:b/>
          <w:bCs/>
          <w:sz w:val="24"/>
          <w:szCs w:val="32"/>
        </w:rPr>
      </w:pPr>
      <w:r>
        <w:rPr>
          <w:rFonts w:hint="eastAsia" w:ascii="宋体" w:hAnsi="宋体" w:eastAsia="宋体" w:cs="宋体"/>
          <w:b/>
          <w:bCs/>
          <w:sz w:val="24"/>
          <w:szCs w:val="32"/>
          <w:lang w:eastAsia="zh-CN"/>
        </w:rPr>
        <w:t>（</w:t>
      </w:r>
      <w:r>
        <w:rPr>
          <w:rFonts w:hint="eastAsia" w:ascii="宋体" w:hAnsi="宋体" w:eastAsia="宋体" w:cs="宋体"/>
          <w:b/>
          <w:bCs/>
          <w:sz w:val="24"/>
          <w:szCs w:val="32"/>
          <w:lang w:val="en-US" w:eastAsia="zh-CN"/>
        </w:rPr>
        <w:t>二</w:t>
      </w:r>
      <w:r>
        <w:rPr>
          <w:rFonts w:hint="eastAsia" w:ascii="宋体" w:hAnsi="宋体" w:eastAsia="宋体" w:cs="宋体"/>
          <w:b/>
          <w:bCs/>
          <w:sz w:val="24"/>
          <w:szCs w:val="32"/>
          <w:lang w:eastAsia="zh-CN"/>
        </w:rPr>
        <w:t>）</w:t>
      </w:r>
      <w:r>
        <w:rPr>
          <w:rFonts w:hint="eastAsia" w:ascii="宋体" w:hAnsi="宋体" w:eastAsia="宋体" w:cs="宋体"/>
          <w:b/>
          <w:bCs/>
          <w:sz w:val="24"/>
          <w:szCs w:val="32"/>
        </w:rPr>
        <w:t>主要设计内容</w:t>
      </w:r>
    </w:p>
    <w:p w14:paraId="6A2CDAC8">
      <w:pPr>
        <w:keepNext/>
        <w:keepLines/>
        <w:spacing w:line="360" w:lineRule="auto"/>
        <w:ind w:firstLine="482" w:firstLineChars="200"/>
        <w:outlineLvl w:val="1"/>
        <w:rPr>
          <w:rFonts w:hint="eastAsia" w:ascii="宋体" w:hAnsi="宋体" w:eastAsia="宋体" w:cs="宋体"/>
          <w:b/>
          <w:bCs/>
          <w:sz w:val="24"/>
          <w:szCs w:val="32"/>
        </w:rPr>
      </w:pPr>
      <w:r>
        <w:rPr>
          <w:rFonts w:hint="eastAsia" w:ascii="宋体" w:hAnsi="宋体" w:eastAsia="宋体" w:cs="宋体"/>
          <w:b/>
          <w:bCs/>
          <w:sz w:val="24"/>
          <w:szCs w:val="32"/>
        </w:rPr>
        <w:t xml:space="preserve">2.1抛丸机系统主要参数表 </w:t>
      </w:r>
    </w:p>
    <w:tbl>
      <w:tblPr>
        <w:tblStyle w:val="4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44"/>
        <w:gridCol w:w="1354"/>
        <w:gridCol w:w="1450"/>
        <w:gridCol w:w="5565"/>
      </w:tblGrid>
      <w:tr w14:paraId="2FCC41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jc w:val="center"/>
        </w:trPr>
        <w:tc>
          <w:tcPr>
            <w:tcW w:w="744" w:type="dxa"/>
            <w:vMerge w:val="restart"/>
            <w:noWrap w:val="0"/>
            <w:vAlign w:val="center"/>
          </w:tcPr>
          <w:p w14:paraId="769F8741">
            <w:pPr>
              <w:spacing w:line="440" w:lineRule="exact"/>
              <w:jc w:val="left"/>
              <w:rPr>
                <w:rFonts w:hint="eastAsia" w:ascii="宋体" w:hAnsi="宋体" w:eastAsia="宋体" w:cs="宋体"/>
                <w:b/>
                <w:bCs/>
                <w:sz w:val="24"/>
              </w:rPr>
            </w:pPr>
            <w:r>
              <w:rPr>
                <w:rFonts w:hint="eastAsia" w:ascii="宋体" w:hAnsi="宋体" w:eastAsia="宋体" w:cs="宋体"/>
                <w:b/>
                <w:bCs/>
                <w:sz w:val="24"/>
              </w:rPr>
              <w:t>序号</w:t>
            </w:r>
          </w:p>
        </w:tc>
        <w:tc>
          <w:tcPr>
            <w:tcW w:w="1354" w:type="dxa"/>
            <w:vMerge w:val="restart"/>
            <w:noWrap w:val="0"/>
            <w:vAlign w:val="center"/>
          </w:tcPr>
          <w:p w14:paraId="2831855D">
            <w:pPr>
              <w:spacing w:line="440" w:lineRule="exact"/>
              <w:jc w:val="left"/>
              <w:rPr>
                <w:rFonts w:hint="eastAsia" w:ascii="宋体" w:hAnsi="宋体" w:eastAsia="宋体" w:cs="宋体"/>
                <w:b/>
                <w:bCs/>
                <w:sz w:val="24"/>
              </w:rPr>
            </w:pPr>
            <w:r>
              <w:rPr>
                <w:rFonts w:hint="eastAsia" w:ascii="宋体" w:hAnsi="宋体" w:eastAsia="宋体" w:cs="宋体"/>
                <w:b/>
                <w:bCs/>
                <w:sz w:val="24"/>
              </w:rPr>
              <w:t>项  目</w:t>
            </w:r>
          </w:p>
        </w:tc>
        <w:tc>
          <w:tcPr>
            <w:tcW w:w="1450" w:type="dxa"/>
            <w:vMerge w:val="restart"/>
            <w:noWrap w:val="0"/>
            <w:vAlign w:val="center"/>
          </w:tcPr>
          <w:p w14:paraId="495AE4DE">
            <w:pPr>
              <w:spacing w:line="440" w:lineRule="exact"/>
              <w:jc w:val="left"/>
              <w:rPr>
                <w:rFonts w:hint="eastAsia" w:ascii="宋体" w:hAnsi="宋体" w:eastAsia="宋体" w:cs="宋体"/>
                <w:b/>
                <w:bCs/>
                <w:sz w:val="24"/>
              </w:rPr>
            </w:pPr>
            <w:r>
              <w:rPr>
                <w:rFonts w:hint="eastAsia" w:ascii="宋体" w:hAnsi="宋体" w:eastAsia="宋体" w:cs="宋体"/>
                <w:b/>
                <w:bCs/>
                <w:sz w:val="24"/>
              </w:rPr>
              <w:t>单位</w:t>
            </w:r>
          </w:p>
        </w:tc>
        <w:tc>
          <w:tcPr>
            <w:tcW w:w="5565" w:type="dxa"/>
            <w:vMerge w:val="restart"/>
            <w:noWrap w:val="0"/>
            <w:vAlign w:val="center"/>
          </w:tcPr>
          <w:p w14:paraId="080F2700">
            <w:pPr>
              <w:spacing w:line="440" w:lineRule="exact"/>
              <w:jc w:val="left"/>
              <w:rPr>
                <w:rFonts w:hint="eastAsia" w:ascii="宋体" w:hAnsi="宋体" w:eastAsia="宋体" w:cs="宋体"/>
                <w:b/>
                <w:bCs/>
                <w:sz w:val="24"/>
              </w:rPr>
            </w:pPr>
            <w:r>
              <w:rPr>
                <w:rFonts w:hint="eastAsia" w:ascii="宋体" w:hAnsi="宋体" w:eastAsia="宋体" w:cs="宋体"/>
                <w:b/>
                <w:bCs/>
                <w:sz w:val="24"/>
              </w:rPr>
              <w:t>具体参数</w:t>
            </w:r>
          </w:p>
        </w:tc>
      </w:tr>
      <w:tr w14:paraId="60DF0A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jc w:val="center"/>
        </w:trPr>
        <w:tc>
          <w:tcPr>
            <w:tcW w:w="744" w:type="dxa"/>
            <w:vMerge w:val="continue"/>
            <w:noWrap w:val="0"/>
            <w:vAlign w:val="center"/>
          </w:tcPr>
          <w:p w14:paraId="180FC80A">
            <w:pPr>
              <w:spacing w:line="240" w:lineRule="exact"/>
              <w:jc w:val="center"/>
              <w:rPr>
                <w:rFonts w:ascii="华文仿宋" w:hAnsi="华文仿宋" w:eastAsia="华文仿宋" w:cs="宋体"/>
                <w:color w:val="000000"/>
                <w:kern w:val="0"/>
                <w:sz w:val="22"/>
                <w:szCs w:val="22"/>
                <w:lang w:bidi="ar"/>
              </w:rPr>
            </w:pPr>
          </w:p>
        </w:tc>
        <w:tc>
          <w:tcPr>
            <w:tcW w:w="1354" w:type="dxa"/>
            <w:vMerge w:val="continue"/>
            <w:noWrap w:val="0"/>
            <w:vAlign w:val="center"/>
          </w:tcPr>
          <w:p w14:paraId="5F4E55EF">
            <w:pPr>
              <w:spacing w:line="240" w:lineRule="exact"/>
              <w:jc w:val="center"/>
              <w:rPr>
                <w:rFonts w:ascii="华文仿宋" w:hAnsi="华文仿宋" w:eastAsia="华文仿宋" w:cs="宋体"/>
                <w:color w:val="000000"/>
                <w:kern w:val="0"/>
                <w:sz w:val="22"/>
                <w:szCs w:val="22"/>
                <w:lang w:bidi="ar"/>
              </w:rPr>
            </w:pPr>
          </w:p>
        </w:tc>
        <w:tc>
          <w:tcPr>
            <w:tcW w:w="1450" w:type="dxa"/>
            <w:vMerge w:val="continue"/>
            <w:noWrap w:val="0"/>
            <w:vAlign w:val="center"/>
          </w:tcPr>
          <w:p w14:paraId="19B82B7B">
            <w:pPr>
              <w:spacing w:line="240" w:lineRule="exact"/>
              <w:jc w:val="center"/>
              <w:rPr>
                <w:rFonts w:ascii="华文仿宋" w:hAnsi="华文仿宋" w:eastAsia="华文仿宋" w:cs="宋体"/>
                <w:color w:val="000000"/>
                <w:kern w:val="0"/>
                <w:sz w:val="22"/>
                <w:szCs w:val="22"/>
                <w:lang w:bidi="ar"/>
              </w:rPr>
            </w:pPr>
          </w:p>
        </w:tc>
        <w:tc>
          <w:tcPr>
            <w:tcW w:w="5565" w:type="dxa"/>
            <w:vMerge w:val="continue"/>
            <w:noWrap w:val="0"/>
            <w:vAlign w:val="center"/>
          </w:tcPr>
          <w:p w14:paraId="779F15CE">
            <w:pPr>
              <w:spacing w:line="240" w:lineRule="exact"/>
              <w:jc w:val="center"/>
              <w:rPr>
                <w:rFonts w:ascii="华文仿宋" w:hAnsi="华文仿宋" w:eastAsia="华文仿宋" w:cs="宋体"/>
                <w:color w:val="000000"/>
                <w:kern w:val="0"/>
                <w:sz w:val="22"/>
                <w:szCs w:val="22"/>
                <w:lang w:bidi="ar"/>
              </w:rPr>
            </w:pPr>
          </w:p>
        </w:tc>
      </w:tr>
      <w:tr w14:paraId="186C7E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2" w:hRule="atLeast"/>
          <w:jc w:val="center"/>
        </w:trPr>
        <w:tc>
          <w:tcPr>
            <w:tcW w:w="744" w:type="dxa"/>
            <w:noWrap w:val="0"/>
            <w:vAlign w:val="center"/>
          </w:tcPr>
          <w:p w14:paraId="4E6E76D2">
            <w:pPr>
              <w:spacing w:line="440" w:lineRule="exact"/>
              <w:textAlignment w:val="center"/>
              <w:rPr>
                <w:rFonts w:hint="eastAsia" w:ascii="宋体" w:hAnsi="宋体" w:eastAsia="宋体" w:cs="宋体"/>
                <w:sz w:val="22"/>
              </w:rPr>
            </w:pPr>
            <w:r>
              <w:rPr>
                <w:rFonts w:hint="eastAsia" w:ascii="宋体" w:hAnsi="宋体" w:eastAsia="宋体" w:cs="宋体"/>
                <w:sz w:val="22"/>
              </w:rPr>
              <w:t>1</w:t>
            </w:r>
          </w:p>
        </w:tc>
        <w:tc>
          <w:tcPr>
            <w:tcW w:w="1354" w:type="dxa"/>
            <w:noWrap w:val="0"/>
            <w:vAlign w:val="center"/>
          </w:tcPr>
          <w:p w14:paraId="147AA6C9">
            <w:pPr>
              <w:spacing w:line="440" w:lineRule="exact"/>
              <w:textAlignment w:val="center"/>
              <w:rPr>
                <w:rFonts w:hint="eastAsia" w:ascii="宋体" w:hAnsi="宋体" w:eastAsia="宋体" w:cs="宋体"/>
                <w:sz w:val="22"/>
              </w:rPr>
            </w:pPr>
            <w:r>
              <w:rPr>
                <w:rFonts w:hint="eastAsia" w:ascii="宋体" w:hAnsi="宋体" w:eastAsia="宋体" w:cs="宋体"/>
                <w:sz w:val="22"/>
              </w:rPr>
              <w:t>前</w:t>
            </w:r>
            <w:r>
              <w:rPr>
                <w:rFonts w:hint="eastAsia" w:ascii="宋体" w:hAnsi="宋体" w:eastAsia="宋体" w:cs="宋体"/>
                <w:sz w:val="22"/>
                <w:lang w:val="en-US" w:eastAsia="zh-CN"/>
              </w:rPr>
              <w:t>密封</w:t>
            </w:r>
            <w:r>
              <w:rPr>
                <w:rFonts w:hint="eastAsia" w:ascii="宋体" w:hAnsi="宋体" w:eastAsia="宋体" w:cs="宋体"/>
                <w:sz w:val="22"/>
              </w:rPr>
              <w:t>室</w:t>
            </w:r>
          </w:p>
        </w:tc>
        <w:tc>
          <w:tcPr>
            <w:tcW w:w="1450" w:type="dxa"/>
            <w:noWrap w:val="0"/>
            <w:vAlign w:val="center"/>
          </w:tcPr>
          <w:p w14:paraId="1BE4F1BF">
            <w:pPr>
              <w:spacing w:line="440" w:lineRule="exact"/>
              <w:textAlignment w:val="center"/>
              <w:rPr>
                <w:rFonts w:hint="default" w:ascii="宋体" w:hAnsi="宋体" w:eastAsia="宋体" w:cs="宋体"/>
                <w:sz w:val="22"/>
                <w:lang w:val="en-US" w:eastAsia="zh-CN"/>
              </w:rPr>
            </w:pPr>
            <w:r>
              <w:rPr>
                <w:rFonts w:hint="eastAsia" w:ascii="宋体" w:hAnsi="宋体" w:eastAsia="宋体" w:cs="宋体"/>
                <w:sz w:val="22"/>
                <w:lang w:val="en-US" w:eastAsia="zh-CN"/>
              </w:rPr>
              <w:t>个</w:t>
            </w:r>
          </w:p>
        </w:tc>
        <w:tc>
          <w:tcPr>
            <w:tcW w:w="5565" w:type="dxa"/>
            <w:noWrap w:val="0"/>
            <w:vAlign w:val="center"/>
          </w:tcPr>
          <w:p w14:paraId="4101B9B1">
            <w:pPr>
              <w:keepNext w:val="0"/>
              <w:keepLines w:val="0"/>
              <w:widowControl/>
              <w:suppressLineNumbers w:val="0"/>
              <w:jc w:val="left"/>
              <w:rPr>
                <w:rFonts w:hint="eastAsia" w:ascii="宋体" w:hAnsi="宋体" w:eastAsia="宋体" w:cs="宋体"/>
                <w:sz w:val="22"/>
              </w:rPr>
            </w:pPr>
            <w:r>
              <w:rPr>
                <w:rFonts w:hint="eastAsia" w:ascii="宋体" w:hAnsi="宋体" w:eastAsia="宋体" w:cs="宋体"/>
                <w:sz w:val="22"/>
              </w:rPr>
              <w:t>1)室体尺寸</w:t>
            </w:r>
            <w:r>
              <w:rPr>
                <w:rFonts w:hint="eastAsia" w:ascii="宋体" w:hAnsi="宋体" w:eastAsia="宋体" w:cs="宋体"/>
                <w:sz w:val="22"/>
                <w:lang w:val="en-US" w:eastAsia="zh-CN"/>
              </w:rPr>
              <w:t>10000(L)×3200(B)×5600(H)</w:t>
            </w:r>
            <w:r>
              <w:rPr>
                <w:rFonts w:hint="eastAsia" w:ascii="宋体" w:hAnsi="宋体" w:eastAsia="宋体" w:cs="宋体"/>
                <w:sz w:val="22"/>
              </w:rPr>
              <w:t>；</w:t>
            </w:r>
          </w:p>
          <w:p w14:paraId="2409808C">
            <w:pPr>
              <w:spacing w:line="440" w:lineRule="exact"/>
              <w:textAlignment w:val="center"/>
              <w:rPr>
                <w:rFonts w:hint="eastAsia" w:ascii="宋体" w:hAnsi="宋体" w:eastAsia="宋体" w:cs="宋体"/>
                <w:sz w:val="22"/>
              </w:rPr>
            </w:pPr>
            <w:r>
              <w:rPr>
                <w:rFonts w:hint="eastAsia" w:ascii="宋体" w:hAnsi="宋体" w:eastAsia="宋体" w:cs="宋体"/>
                <w:sz w:val="22"/>
              </w:rPr>
              <w:t>2)主体骨架型材方管；</w:t>
            </w:r>
          </w:p>
          <w:p w14:paraId="2B039316">
            <w:pPr>
              <w:spacing w:line="440" w:lineRule="exact"/>
              <w:textAlignment w:val="center"/>
              <w:rPr>
                <w:rFonts w:hint="eastAsia" w:ascii="宋体" w:hAnsi="宋体" w:eastAsia="宋体" w:cs="宋体"/>
                <w:color w:val="auto"/>
                <w:sz w:val="22"/>
              </w:rPr>
            </w:pPr>
            <w:r>
              <w:rPr>
                <w:rFonts w:hint="eastAsia" w:ascii="宋体" w:hAnsi="宋体" w:eastAsia="宋体" w:cs="宋体"/>
                <w:sz w:val="22"/>
              </w:rPr>
              <w:t>3)主体壁板：靠近主抛</w:t>
            </w:r>
            <w:r>
              <w:rPr>
                <w:rFonts w:hint="eastAsia" w:ascii="宋体" w:hAnsi="宋体" w:eastAsia="宋体" w:cs="宋体"/>
                <w:color w:val="auto"/>
                <w:sz w:val="22"/>
              </w:rPr>
              <w:t>丸区3m范围内全覆盖厚高锰钢钢板等，其余耐磨防护板；</w:t>
            </w:r>
          </w:p>
          <w:p w14:paraId="11577D7C">
            <w:pPr>
              <w:spacing w:line="440" w:lineRule="exact"/>
              <w:textAlignment w:val="center"/>
              <w:rPr>
                <w:rFonts w:hint="eastAsia" w:ascii="宋体" w:hAnsi="宋体" w:eastAsia="宋体" w:cs="宋体"/>
                <w:sz w:val="22"/>
              </w:rPr>
            </w:pPr>
            <w:r>
              <w:rPr>
                <w:rFonts w:hint="eastAsia" w:ascii="宋体" w:hAnsi="宋体" w:eastAsia="宋体" w:cs="宋体"/>
                <w:color w:val="auto"/>
                <w:sz w:val="22"/>
              </w:rPr>
              <w:t>4)收集斗：靠近抛丸室3米范围内孔筛板上面铺设高锰钢铸孔板，对筛网及料斗进行防</w:t>
            </w:r>
            <w:r>
              <w:rPr>
                <w:rFonts w:hint="eastAsia" w:ascii="宋体" w:hAnsi="宋体" w:eastAsia="宋体" w:cs="宋体"/>
                <w:sz w:val="22"/>
              </w:rPr>
              <w:t>护；</w:t>
            </w:r>
          </w:p>
          <w:p w14:paraId="44364CD3">
            <w:pPr>
              <w:spacing w:line="440" w:lineRule="exact"/>
              <w:textAlignment w:val="center"/>
              <w:rPr>
                <w:rFonts w:hint="eastAsia" w:ascii="宋体" w:hAnsi="宋体" w:eastAsia="宋体" w:cs="宋体"/>
                <w:sz w:val="22"/>
              </w:rPr>
            </w:pPr>
            <w:r>
              <w:rPr>
                <w:rFonts w:hint="eastAsia" w:ascii="宋体" w:hAnsi="宋体" w:eastAsia="宋体" w:cs="宋体"/>
                <w:sz w:val="22"/>
              </w:rPr>
              <w:t>5)内衬防护板使用寿命：＞</w:t>
            </w:r>
            <w:r>
              <w:rPr>
                <w:rFonts w:hint="eastAsia" w:ascii="宋体" w:hAnsi="宋体" w:eastAsia="宋体" w:cs="宋体"/>
                <w:sz w:val="22"/>
                <w:lang w:val="en-US" w:eastAsia="zh-CN"/>
              </w:rPr>
              <w:t>15年</w:t>
            </w:r>
            <w:r>
              <w:rPr>
                <w:rFonts w:hint="eastAsia" w:ascii="宋体" w:hAnsi="宋体" w:eastAsia="宋体" w:cs="宋体"/>
                <w:sz w:val="22"/>
              </w:rPr>
              <w:t>；</w:t>
            </w:r>
          </w:p>
          <w:p w14:paraId="6F5D79CD">
            <w:pPr>
              <w:spacing w:line="440" w:lineRule="exact"/>
              <w:textAlignment w:val="center"/>
              <w:rPr>
                <w:rFonts w:hint="eastAsia" w:ascii="宋体" w:hAnsi="宋体" w:eastAsia="宋体" w:cs="宋体"/>
                <w:sz w:val="22"/>
              </w:rPr>
            </w:pPr>
            <w:r>
              <w:rPr>
                <w:rFonts w:hint="eastAsia" w:ascii="宋体" w:hAnsi="宋体" w:eastAsia="宋体" w:cs="宋体"/>
                <w:sz w:val="22"/>
              </w:rPr>
              <w:t>6)侧面设置安全检修门，检修门连锁停机；</w:t>
            </w:r>
          </w:p>
          <w:p w14:paraId="6D94A26F">
            <w:pPr>
              <w:spacing w:line="440" w:lineRule="exact"/>
              <w:textAlignment w:val="center"/>
              <w:rPr>
                <w:rFonts w:hint="eastAsia" w:ascii="宋体" w:hAnsi="宋体" w:eastAsia="宋体" w:cs="宋体"/>
                <w:sz w:val="22"/>
              </w:rPr>
            </w:pPr>
            <w:r>
              <w:rPr>
                <w:rFonts w:hint="eastAsia" w:ascii="宋体" w:hAnsi="宋体" w:eastAsia="宋体" w:cs="宋体"/>
                <w:sz w:val="22"/>
              </w:rPr>
              <w:t>7)自动开关大门；</w:t>
            </w:r>
          </w:p>
          <w:p w14:paraId="2D7C520C">
            <w:pPr>
              <w:spacing w:line="440" w:lineRule="exact"/>
              <w:textAlignment w:val="center"/>
              <w:rPr>
                <w:rFonts w:hint="eastAsia" w:ascii="宋体" w:hAnsi="宋体" w:eastAsia="宋体" w:cs="宋体"/>
                <w:sz w:val="22"/>
                <w:lang w:eastAsia="zh-CN"/>
              </w:rPr>
            </w:pPr>
            <w:r>
              <w:rPr>
                <w:rFonts w:hint="eastAsia" w:ascii="宋体" w:hAnsi="宋体" w:eastAsia="宋体" w:cs="宋体"/>
                <w:sz w:val="22"/>
                <w:lang w:val="en-US" w:eastAsia="zh-CN"/>
              </w:rPr>
              <w:t>8)</w:t>
            </w:r>
            <w:r>
              <w:rPr>
                <w:rFonts w:hint="eastAsia" w:ascii="宋体" w:hAnsi="宋体" w:eastAsia="宋体" w:cs="宋体"/>
                <w:sz w:val="22"/>
              </w:rPr>
              <w:t>室体顶部周边设有安全护栏</w:t>
            </w:r>
            <w:r>
              <w:rPr>
                <w:rFonts w:hint="eastAsia" w:ascii="宋体" w:hAnsi="宋体" w:eastAsia="宋体" w:cs="宋体"/>
                <w:sz w:val="22"/>
                <w:lang w:eastAsia="zh-CN"/>
              </w:rPr>
              <w:t>。</w:t>
            </w:r>
          </w:p>
        </w:tc>
      </w:tr>
      <w:tr w14:paraId="216BAB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2" w:hRule="atLeast"/>
          <w:jc w:val="center"/>
        </w:trPr>
        <w:tc>
          <w:tcPr>
            <w:tcW w:w="744" w:type="dxa"/>
            <w:noWrap w:val="0"/>
            <w:vAlign w:val="center"/>
          </w:tcPr>
          <w:p w14:paraId="38DB557F">
            <w:pPr>
              <w:spacing w:line="440" w:lineRule="exact"/>
              <w:textAlignment w:val="center"/>
              <w:rPr>
                <w:rFonts w:hint="eastAsia" w:ascii="宋体" w:hAnsi="宋体" w:eastAsia="宋体" w:cs="宋体"/>
                <w:sz w:val="22"/>
              </w:rPr>
            </w:pPr>
            <w:r>
              <w:rPr>
                <w:rFonts w:hint="eastAsia" w:ascii="宋体" w:hAnsi="宋体" w:eastAsia="宋体" w:cs="宋体"/>
                <w:sz w:val="22"/>
              </w:rPr>
              <w:t>2</w:t>
            </w:r>
          </w:p>
        </w:tc>
        <w:tc>
          <w:tcPr>
            <w:tcW w:w="1354" w:type="dxa"/>
            <w:noWrap w:val="0"/>
            <w:vAlign w:val="center"/>
          </w:tcPr>
          <w:p w14:paraId="722BADB6">
            <w:pPr>
              <w:spacing w:line="440" w:lineRule="exact"/>
              <w:textAlignment w:val="center"/>
              <w:rPr>
                <w:rFonts w:hint="eastAsia" w:ascii="宋体" w:hAnsi="宋体" w:eastAsia="宋体" w:cs="宋体"/>
                <w:sz w:val="22"/>
              </w:rPr>
            </w:pPr>
            <w:r>
              <w:rPr>
                <w:rFonts w:hint="eastAsia" w:ascii="宋体" w:hAnsi="宋体" w:eastAsia="宋体" w:cs="宋体"/>
                <w:sz w:val="22"/>
              </w:rPr>
              <w:t>抛丸室</w:t>
            </w:r>
          </w:p>
        </w:tc>
        <w:tc>
          <w:tcPr>
            <w:tcW w:w="1450" w:type="dxa"/>
            <w:noWrap w:val="0"/>
            <w:vAlign w:val="center"/>
          </w:tcPr>
          <w:p w14:paraId="2329A050">
            <w:pPr>
              <w:spacing w:line="440" w:lineRule="exact"/>
              <w:textAlignment w:val="center"/>
              <w:rPr>
                <w:rFonts w:hint="eastAsia" w:ascii="宋体" w:hAnsi="宋体" w:eastAsia="宋体" w:cs="宋体"/>
                <w:sz w:val="22"/>
                <w:lang w:val="en-US" w:eastAsia="zh-CN"/>
              </w:rPr>
            </w:pPr>
            <w:r>
              <w:rPr>
                <w:rFonts w:hint="eastAsia" w:ascii="宋体" w:hAnsi="宋体" w:eastAsia="宋体" w:cs="宋体"/>
                <w:sz w:val="22"/>
                <w:lang w:val="en-US" w:eastAsia="zh-CN"/>
              </w:rPr>
              <w:t>套</w:t>
            </w:r>
          </w:p>
        </w:tc>
        <w:tc>
          <w:tcPr>
            <w:tcW w:w="5565" w:type="dxa"/>
            <w:noWrap w:val="0"/>
            <w:vAlign w:val="center"/>
          </w:tcPr>
          <w:p w14:paraId="6BEF0E48">
            <w:pPr>
              <w:spacing w:line="440" w:lineRule="exact"/>
              <w:textAlignment w:val="center"/>
              <w:rPr>
                <w:rFonts w:hint="eastAsia" w:ascii="宋体" w:hAnsi="宋体" w:eastAsia="宋体" w:cs="宋体"/>
                <w:sz w:val="22"/>
              </w:rPr>
            </w:pPr>
            <w:r>
              <w:rPr>
                <w:rFonts w:hint="eastAsia" w:ascii="宋体" w:hAnsi="宋体" w:eastAsia="宋体" w:cs="宋体"/>
                <w:sz w:val="22"/>
              </w:rPr>
              <w:t>1)室体尺寸</w:t>
            </w:r>
            <w:r>
              <w:rPr>
                <w:rFonts w:hint="eastAsia" w:ascii="宋体" w:hAnsi="宋体" w:eastAsia="宋体" w:cs="宋体"/>
                <w:sz w:val="22"/>
                <w:lang w:val="en-US" w:eastAsia="zh-CN"/>
              </w:rPr>
              <w:t>3000(L)×4600(B)×5600(H)</w:t>
            </w:r>
            <w:r>
              <w:rPr>
                <w:rFonts w:hint="eastAsia" w:ascii="宋体" w:hAnsi="宋体" w:eastAsia="宋体" w:cs="宋体"/>
                <w:sz w:val="22"/>
              </w:rPr>
              <w:t>；</w:t>
            </w:r>
          </w:p>
          <w:p w14:paraId="509F23AE">
            <w:pPr>
              <w:spacing w:line="440" w:lineRule="exact"/>
              <w:textAlignment w:val="center"/>
              <w:rPr>
                <w:rFonts w:hint="eastAsia" w:ascii="宋体" w:hAnsi="宋体" w:eastAsia="宋体" w:cs="宋体"/>
                <w:sz w:val="22"/>
              </w:rPr>
            </w:pPr>
            <w:r>
              <w:rPr>
                <w:rFonts w:hint="eastAsia" w:ascii="宋体" w:hAnsi="宋体" w:eastAsia="宋体" w:cs="宋体"/>
                <w:sz w:val="22"/>
              </w:rPr>
              <w:t>2)主体骨架型材方管；</w:t>
            </w:r>
          </w:p>
          <w:p w14:paraId="75E2014B">
            <w:pPr>
              <w:spacing w:line="440" w:lineRule="exact"/>
              <w:textAlignment w:val="center"/>
              <w:rPr>
                <w:rFonts w:hint="eastAsia" w:ascii="宋体" w:hAnsi="宋体" w:eastAsia="宋体" w:cs="宋体"/>
                <w:sz w:val="22"/>
              </w:rPr>
            </w:pPr>
            <w:r>
              <w:rPr>
                <w:rFonts w:hint="eastAsia" w:ascii="宋体" w:hAnsi="宋体" w:eastAsia="宋体" w:cs="宋体"/>
                <w:sz w:val="22"/>
              </w:rPr>
              <w:t>3)主体壁板：双层板结构。内部全覆盖整体厚高锰钢防护板；</w:t>
            </w:r>
          </w:p>
          <w:p w14:paraId="2EE54D2A">
            <w:pPr>
              <w:spacing w:line="440" w:lineRule="exact"/>
              <w:textAlignment w:val="center"/>
              <w:rPr>
                <w:rFonts w:hint="eastAsia" w:ascii="宋体" w:hAnsi="宋体" w:eastAsia="宋体" w:cs="宋体"/>
                <w:sz w:val="22"/>
              </w:rPr>
            </w:pPr>
            <w:r>
              <w:rPr>
                <w:rFonts w:hint="eastAsia" w:ascii="宋体" w:hAnsi="宋体" w:eastAsia="宋体" w:cs="宋体"/>
                <w:sz w:val="22"/>
              </w:rPr>
              <w:t>4)收集斗：孔筛板上面铺设可换高锰钢铸孔板，对筛网及料斗进行防护；</w:t>
            </w:r>
          </w:p>
          <w:p w14:paraId="6EAEF530">
            <w:pPr>
              <w:spacing w:line="440" w:lineRule="exact"/>
              <w:textAlignment w:val="center"/>
              <w:rPr>
                <w:rFonts w:hint="eastAsia" w:ascii="宋体" w:hAnsi="宋体" w:eastAsia="宋体" w:cs="宋体"/>
                <w:sz w:val="22"/>
              </w:rPr>
            </w:pPr>
            <w:r>
              <w:rPr>
                <w:rFonts w:hint="eastAsia" w:ascii="宋体" w:hAnsi="宋体" w:eastAsia="宋体" w:cs="宋体"/>
                <w:sz w:val="22"/>
              </w:rPr>
              <w:t>5)内衬防护板使用寿命：＞</w:t>
            </w:r>
            <w:r>
              <w:rPr>
                <w:rFonts w:hint="eastAsia" w:ascii="宋体" w:hAnsi="宋体" w:eastAsia="宋体" w:cs="宋体"/>
                <w:sz w:val="22"/>
                <w:lang w:val="en-US" w:eastAsia="zh-CN"/>
              </w:rPr>
              <w:t>15年</w:t>
            </w:r>
            <w:r>
              <w:rPr>
                <w:rFonts w:hint="eastAsia" w:ascii="宋体" w:hAnsi="宋体" w:eastAsia="宋体" w:cs="宋体"/>
                <w:sz w:val="22"/>
              </w:rPr>
              <w:t>；</w:t>
            </w:r>
          </w:p>
          <w:p w14:paraId="47802E2D">
            <w:pPr>
              <w:spacing w:line="440" w:lineRule="exact"/>
              <w:textAlignment w:val="center"/>
              <w:rPr>
                <w:rFonts w:hint="eastAsia" w:ascii="宋体" w:hAnsi="宋体" w:eastAsia="宋体" w:cs="宋体"/>
                <w:sz w:val="22"/>
              </w:rPr>
            </w:pPr>
            <w:r>
              <w:rPr>
                <w:rFonts w:hint="eastAsia" w:ascii="宋体" w:hAnsi="宋体" w:eastAsia="宋体" w:cs="宋体"/>
                <w:sz w:val="22"/>
              </w:rPr>
              <w:t>6)抛丸器安装部位均设置检修平台，便于维修和更换抛丸器；</w:t>
            </w:r>
          </w:p>
          <w:p w14:paraId="313D7A3A">
            <w:pPr>
              <w:spacing w:line="440" w:lineRule="exact"/>
              <w:textAlignment w:val="center"/>
              <w:rPr>
                <w:rFonts w:hint="eastAsia" w:ascii="宋体" w:hAnsi="宋体" w:eastAsia="宋体" w:cs="宋体"/>
                <w:sz w:val="22"/>
              </w:rPr>
            </w:pPr>
            <w:r>
              <w:rPr>
                <w:rFonts w:hint="eastAsia" w:ascii="宋体" w:hAnsi="宋体" w:eastAsia="宋体" w:cs="宋体"/>
                <w:sz w:val="22"/>
              </w:rPr>
              <w:t>7)抛丸室外部噪音：≤85db；</w:t>
            </w:r>
          </w:p>
          <w:p w14:paraId="7928F41E">
            <w:pPr>
              <w:spacing w:line="440" w:lineRule="exact"/>
              <w:textAlignment w:val="center"/>
              <w:rPr>
                <w:rFonts w:hint="eastAsia" w:ascii="宋体" w:hAnsi="宋体" w:eastAsia="宋体" w:cs="宋体"/>
                <w:sz w:val="22"/>
              </w:rPr>
            </w:pPr>
            <w:r>
              <w:rPr>
                <w:rFonts w:hint="eastAsia" w:ascii="宋体" w:hAnsi="宋体" w:eastAsia="宋体" w:cs="宋体"/>
                <w:sz w:val="22"/>
              </w:rPr>
              <w:t>8)抛丸区大平</w:t>
            </w:r>
            <w:r>
              <w:rPr>
                <w:rFonts w:hint="eastAsia" w:ascii="宋体" w:hAnsi="宋体" w:eastAsia="宋体" w:cs="宋体"/>
                <w:color w:val="auto"/>
                <w:sz w:val="22"/>
              </w:rPr>
              <w:t>台顶部设置1台</w:t>
            </w:r>
            <w:r>
              <w:rPr>
                <w:rFonts w:hint="eastAsia" w:ascii="宋体" w:hAnsi="宋体" w:eastAsia="宋体" w:cs="宋体"/>
                <w:color w:val="auto"/>
                <w:sz w:val="22"/>
                <w:lang w:val="en-US" w:eastAsia="zh-CN"/>
              </w:rPr>
              <w:t>1000kg</w:t>
            </w:r>
            <w:r>
              <w:rPr>
                <w:rFonts w:hint="eastAsia" w:ascii="宋体" w:hAnsi="宋体" w:eastAsia="宋体" w:cs="宋体"/>
                <w:color w:val="auto"/>
                <w:sz w:val="22"/>
              </w:rPr>
              <w:t>的维修葫芦</w:t>
            </w:r>
            <w:r>
              <w:rPr>
                <w:rFonts w:hint="eastAsia" w:ascii="宋体" w:hAnsi="宋体" w:eastAsia="宋体" w:cs="宋体"/>
                <w:sz w:val="22"/>
              </w:rPr>
              <w:t>，可以纵、横向移动，方便抛丸器、提升机、分离器及螺旋输送器的起吊维修。</w:t>
            </w:r>
          </w:p>
          <w:p w14:paraId="7FCDB6D7">
            <w:pPr>
              <w:spacing w:line="440" w:lineRule="exact"/>
              <w:textAlignment w:val="center"/>
              <w:rPr>
                <w:rFonts w:hint="eastAsia" w:ascii="宋体" w:hAnsi="宋体" w:eastAsia="宋体" w:cs="宋体"/>
                <w:sz w:val="22"/>
              </w:rPr>
            </w:pPr>
            <w:r>
              <w:rPr>
                <w:rFonts w:hint="eastAsia" w:ascii="宋体" w:hAnsi="宋体" w:eastAsia="宋体" w:cs="宋体"/>
                <w:sz w:val="22"/>
                <w:lang w:val="en-US" w:eastAsia="zh-CN"/>
              </w:rPr>
              <w:t>9)</w:t>
            </w:r>
            <w:r>
              <w:rPr>
                <w:rFonts w:hint="eastAsia" w:ascii="宋体" w:hAnsi="宋体" w:eastAsia="宋体" w:cs="宋体"/>
                <w:sz w:val="22"/>
              </w:rPr>
              <w:t xml:space="preserve">室体顶部周边设有安全护栏； </w:t>
            </w:r>
          </w:p>
        </w:tc>
      </w:tr>
      <w:tr w14:paraId="410B5A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2" w:hRule="atLeast"/>
          <w:jc w:val="center"/>
        </w:trPr>
        <w:tc>
          <w:tcPr>
            <w:tcW w:w="744" w:type="dxa"/>
            <w:noWrap w:val="0"/>
            <w:vAlign w:val="center"/>
          </w:tcPr>
          <w:p w14:paraId="6424A20F">
            <w:pPr>
              <w:spacing w:line="440" w:lineRule="exact"/>
              <w:textAlignment w:val="center"/>
              <w:rPr>
                <w:rFonts w:hint="eastAsia" w:ascii="宋体" w:hAnsi="宋体" w:eastAsia="宋体" w:cs="宋体"/>
                <w:sz w:val="22"/>
              </w:rPr>
            </w:pPr>
            <w:r>
              <w:rPr>
                <w:rFonts w:hint="eastAsia" w:ascii="宋体" w:hAnsi="宋体" w:eastAsia="宋体" w:cs="宋体"/>
                <w:sz w:val="22"/>
              </w:rPr>
              <w:t>3</w:t>
            </w:r>
          </w:p>
        </w:tc>
        <w:tc>
          <w:tcPr>
            <w:tcW w:w="1354" w:type="dxa"/>
            <w:noWrap w:val="0"/>
            <w:vAlign w:val="center"/>
          </w:tcPr>
          <w:p w14:paraId="1E7FA399">
            <w:pPr>
              <w:spacing w:line="440" w:lineRule="exact"/>
              <w:textAlignment w:val="center"/>
              <w:rPr>
                <w:rFonts w:hint="eastAsia" w:ascii="宋体" w:hAnsi="宋体" w:eastAsia="宋体" w:cs="宋体"/>
                <w:sz w:val="22"/>
              </w:rPr>
            </w:pPr>
            <w:r>
              <w:rPr>
                <w:rFonts w:hint="eastAsia" w:ascii="宋体" w:hAnsi="宋体" w:eastAsia="宋体" w:cs="宋体"/>
                <w:sz w:val="22"/>
              </w:rPr>
              <w:t>后</w:t>
            </w:r>
            <w:r>
              <w:rPr>
                <w:rFonts w:hint="eastAsia" w:ascii="宋体" w:hAnsi="宋体" w:eastAsia="宋体" w:cs="宋体"/>
                <w:sz w:val="22"/>
                <w:lang w:val="en-US" w:eastAsia="zh-CN"/>
              </w:rPr>
              <w:t>密封</w:t>
            </w:r>
            <w:r>
              <w:rPr>
                <w:rFonts w:hint="eastAsia" w:ascii="宋体" w:hAnsi="宋体" w:eastAsia="宋体" w:cs="宋体"/>
                <w:sz w:val="22"/>
              </w:rPr>
              <w:t>室</w:t>
            </w:r>
          </w:p>
        </w:tc>
        <w:tc>
          <w:tcPr>
            <w:tcW w:w="1450" w:type="dxa"/>
            <w:noWrap w:val="0"/>
            <w:vAlign w:val="center"/>
          </w:tcPr>
          <w:p w14:paraId="3DB6F2B7">
            <w:pPr>
              <w:spacing w:line="440" w:lineRule="exact"/>
              <w:textAlignment w:val="center"/>
              <w:rPr>
                <w:rFonts w:hint="default" w:ascii="宋体" w:hAnsi="宋体" w:eastAsia="宋体" w:cs="宋体"/>
                <w:sz w:val="22"/>
                <w:lang w:val="en-US" w:eastAsia="zh-CN"/>
              </w:rPr>
            </w:pPr>
            <w:r>
              <w:rPr>
                <w:rFonts w:hint="eastAsia" w:ascii="宋体" w:hAnsi="宋体" w:eastAsia="宋体" w:cs="宋体"/>
                <w:sz w:val="22"/>
                <w:lang w:val="en-US" w:eastAsia="zh-CN"/>
              </w:rPr>
              <w:t>个</w:t>
            </w:r>
          </w:p>
        </w:tc>
        <w:tc>
          <w:tcPr>
            <w:tcW w:w="5565" w:type="dxa"/>
            <w:noWrap w:val="0"/>
            <w:vAlign w:val="center"/>
          </w:tcPr>
          <w:p w14:paraId="635F1B1F">
            <w:pPr>
              <w:numPr>
                <w:ilvl w:val="0"/>
                <w:numId w:val="0"/>
              </w:numPr>
              <w:spacing w:line="440" w:lineRule="exact"/>
              <w:textAlignment w:val="center"/>
              <w:rPr>
                <w:rFonts w:hint="eastAsia" w:ascii="宋体" w:hAnsi="宋体" w:eastAsia="宋体" w:cs="宋体"/>
                <w:sz w:val="22"/>
              </w:rPr>
            </w:pPr>
            <w:r>
              <w:rPr>
                <w:rFonts w:hint="eastAsia" w:ascii="宋体" w:hAnsi="宋体" w:eastAsia="宋体" w:cs="宋体"/>
                <w:sz w:val="22"/>
                <w:lang w:val="en-US" w:eastAsia="zh-CN"/>
              </w:rPr>
              <w:t>1)</w:t>
            </w:r>
            <w:r>
              <w:rPr>
                <w:rFonts w:hint="eastAsia" w:ascii="宋体" w:hAnsi="宋体" w:eastAsia="宋体" w:cs="宋体"/>
                <w:sz w:val="22"/>
              </w:rPr>
              <w:t>室体尺寸</w:t>
            </w:r>
            <w:r>
              <w:rPr>
                <w:rFonts w:hint="eastAsia" w:ascii="宋体" w:hAnsi="宋体" w:eastAsia="宋体" w:cs="宋体"/>
                <w:sz w:val="22"/>
                <w:lang w:val="en-US" w:eastAsia="zh-CN"/>
              </w:rPr>
              <w:t>10000(L)×3200(B)×5600(H)</w:t>
            </w:r>
            <w:r>
              <w:rPr>
                <w:rFonts w:hint="eastAsia" w:ascii="宋体" w:hAnsi="宋体" w:eastAsia="宋体" w:cs="宋体"/>
                <w:sz w:val="22"/>
              </w:rPr>
              <w:t>；</w:t>
            </w:r>
          </w:p>
          <w:p w14:paraId="78C68130">
            <w:pPr>
              <w:spacing w:line="440" w:lineRule="exact"/>
              <w:textAlignment w:val="center"/>
              <w:rPr>
                <w:rFonts w:hint="eastAsia" w:ascii="宋体" w:hAnsi="宋体" w:eastAsia="宋体" w:cs="宋体"/>
                <w:sz w:val="22"/>
              </w:rPr>
            </w:pPr>
            <w:r>
              <w:rPr>
                <w:rFonts w:hint="eastAsia" w:ascii="宋体" w:hAnsi="宋体" w:eastAsia="宋体" w:cs="宋体"/>
                <w:sz w:val="22"/>
              </w:rPr>
              <w:t>2)主体骨架型材方管；</w:t>
            </w:r>
          </w:p>
          <w:p w14:paraId="13C8AB54">
            <w:pPr>
              <w:spacing w:line="440" w:lineRule="exact"/>
              <w:textAlignment w:val="center"/>
              <w:rPr>
                <w:rFonts w:hint="eastAsia" w:ascii="宋体" w:hAnsi="宋体" w:eastAsia="宋体" w:cs="宋体"/>
                <w:color w:val="auto"/>
                <w:sz w:val="22"/>
              </w:rPr>
            </w:pPr>
            <w:r>
              <w:rPr>
                <w:rFonts w:hint="eastAsia" w:ascii="宋体" w:hAnsi="宋体" w:eastAsia="宋体" w:cs="宋体"/>
                <w:sz w:val="22"/>
              </w:rPr>
              <w:t>3)主体壁板：靠近主抛丸</w:t>
            </w:r>
            <w:r>
              <w:rPr>
                <w:rFonts w:hint="eastAsia" w:ascii="宋体" w:hAnsi="宋体" w:eastAsia="宋体" w:cs="宋体"/>
                <w:color w:val="auto"/>
                <w:sz w:val="22"/>
              </w:rPr>
              <w:t>区 3m范围内全覆盖厚高锰钢钢板等，其余耐磨防护板；</w:t>
            </w:r>
          </w:p>
          <w:p w14:paraId="7B471142">
            <w:pPr>
              <w:spacing w:line="440" w:lineRule="exact"/>
              <w:textAlignment w:val="center"/>
              <w:rPr>
                <w:rFonts w:hint="eastAsia" w:ascii="宋体" w:hAnsi="宋体" w:eastAsia="宋体" w:cs="宋体"/>
                <w:sz w:val="22"/>
              </w:rPr>
            </w:pPr>
            <w:r>
              <w:rPr>
                <w:rFonts w:hint="eastAsia" w:ascii="宋体" w:hAnsi="宋体" w:eastAsia="宋体" w:cs="宋体"/>
                <w:color w:val="auto"/>
                <w:sz w:val="22"/>
              </w:rPr>
              <w:t>4)收集斗：靠近抛丸室3米范围内孔筛板上面铺设高锰钢铸孔板，对筛网及料斗进行防护</w:t>
            </w:r>
            <w:r>
              <w:rPr>
                <w:rFonts w:hint="eastAsia" w:ascii="宋体" w:hAnsi="宋体" w:eastAsia="宋体" w:cs="宋体"/>
                <w:sz w:val="22"/>
              </w:rPr>
              <w:t>；</w:t>
            </w:r>
          </w:p>
          <w:p w14:paraId="5AFEEAFD">
            <w:pPr>
              <w:spacing w:line="440" w:lineRule="exact"/>
              <w:textAlignment w:val="center"/>
              <w:rPr>
                <w:rFonts w:hint="eastAsia" w:ascii="宋体" w:hAnsi="宋体" w:eastAsia="宋体" w:cs="宋体"/>
                <w:sz w:val="22"/>
              </w:rPr>
            </w:pPr>
            <w:r>
              <w:rPr>
                <w:rFonts w:hint="eastAsia" w:ascii="宋体" w:hAnsi="宋体" w:eastAsia="宋体" w:cs="宋体"/>
                <w:sz w:val="22"/>
              </w:rPr>
              <w:t>5)内衬防护板使用寿命：＞</w:t>
            </w:r>
            <w:r>
              <w:rPr>
                <w:rFonts w:hint="eastAsia" w:ascii="宋体" w:hAnsi="宋体" w:eastAsia="宋体" w:cs="宋体"/>
                <w:sz w:val="22"/>
                <w:lang w:val="en-US" w:eastAsia="zh-CN"/>
              </w:rPr>
              <w:t>15年</w:t>
            </w:r>
            <w:r>
              <w:rPr>
                <w:rFonts w:hint="eastAsia" w:ascii="宋体" w:hAnsi="宋体" w:eastAsia="宋体" w:cs="宋体"/>
                <w:sz w:val="22"/>
              </w:rPr>
              <w:t>；</w:t>
            </w:r>
          </w:p>
          <w:p w14:paraId="31050AA6">
            <w:pPr>
              <w:spacing w:line="440" w:lineRule="exact"/>
              <w:textAlignment w:val="center"/>
              <w:rPr>
                <w:rFonts w:hint="eastAsia" w:ascii="宋体" w:hAnsi="宋体" w:eastAsia="宋体" w:cs="宋体"/>
                <w:sz w:val="22"/>
              </w:rPr>
            </w:pPr>
            <w:r>
              <w:rPr>
                <w:rFonts w:hint="eastAsia" w:ascii="宋体" w:hAnsi="宋体" w:eastAsia="宋体" w:cs="宋体"/>
                <w:sz w:val="22"/>
              </w:rPr>
              <w:t>6)侧面设置安全检修门，检修门连锁停机；</w:t>
            </w:r>
          </w:p>
          <w:p w14:paraId="17930310">
            <w:pPr>
              <w:spacing w:line="440" w:lineRule="exact"/>
              <w:textAlignment w:val="center"/>
              <w:rPr>
                <w:rFonts w:hint="eastAsia" w:ascii="宋体" w:hAnsi="宋体" w:eastAsia="宋体" w:cs="宋体"/>
                <w:sz w:val="22"/>
              </w:rPr>
            </w:pPr>
            <w:r>
              <w:rPr>
                <w:rFonts w:hint="eastAsia" w:ascii="宋体" w:hAnsi="宋体" w:eastAsia="宋体" w:cs="宋体"/>
                <w:sz w:val="22"/>
              </w:rPr>
              <w:t xml:space="preserve">7)自动开关大门； </w:t>
            </w:r>
          </w:p>
          <w:p w14:paraId="2BA51FCF">
            <w:pPr>
              <w:spacing w:line="440" w:lineRule="exact"/>
              <w:textAlignment w:val="center"/>
              <w:rPr>
                <w:rFonts w:hint="eastAsia" w:ascii="宋体" w:hAnsi="宋体" w:eastAsia="宋体" w:cs="宋体"/>
                <w:sz w:val="22"/>
                <w:lang w:eastAsia="zh-CN"/>
              </w:rPr>
            </w:pPr>
            <w:r>
              <w:rPr>
                <w:rFonts w:hint="eastAsia" w:ascii="宋体" w:hAnsi="宋体" w:eastAsia="宋体" w:cs="宋体"/>
                <w:sz w:val="22"/>
                <w:lang w:val="en-US" w:eastAsia="zh-CN"/>
              </w:rPr>
              <w:t>8)</w:t>
            </w:r>
            <w:r>
              <w:rPr>
                <w:rFonts w:hint="eastAsia" w:ascii="宋体" w:hAnsi="宋体" w:eastAsia="宋体" w:cs="宋体"/>
                <w:sz w:val="22"/>
              </w:rPr>
              <w:t>室体顶部周边均设有安全护栏</w:t>
            </w:r>
            <w:r>
              <w:rPr>
                <w:rFonts w:hint="eastAsia" w:ascii="宋体" w:hAnsi="宋体" w:eastAsia="宋体" w:cs="宋体"/>
                <w:sz w:val="22"/>
                <w:lang w:eastAsia="zh-CN"/>
              </w:rPr>
              <w:t>。</w:t>
            </w:r>
          </w:p>
        </w:tc>
      </w:tr>
      <w:tr w14:paraId="779464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44" w:type="dxa"/>
            <w:noWrap w:val="0"/>
            <w:vAlign w:val="center"/>
          </w:tcPr>
          <w:p w14:paraId="454EC0FA">
            <w:pPr>
              <w:spacing w:line="440" w:lineRule="exact"/>
              <w:textAlignment w:val="center"/>
              <w:rPr>
                <w:rFonts w:hint="eastAsia" w:ascii="宋体" w:hAnsi="宋体" w:eastAsia="宋体" w:cs="宋体"/>
                <w:sz w:val="22"/>
              </w:rPr>
            </w:pPr>
            <w:r>
              <w:rPr>
                <w:rFonts w:hint="eastAsia" w:ascii="宋体" w:hAnsi="宋体" w:eastAsia="宋体" w:cs="宋体"/>
                <w:sz w:val="22"/>
              </w:rPr>
              <w:t>4</w:t>
            </w:r>
          </w:p>
        </w:tc>
        <w:tc>
          <w:tcPr>
            <w:tcW w:w="1354" w:type="dxa"/>
            <w:noWrap w:val="0"/>
            <w:vAlign w:val="center"/>
          </w:tcPr>
          <w:p w14:paraId="6EC2428A">
            <w:pPr>
              <w:keepNext w:val="0"/>
              <w:keepLines w:val="0"/>
              <w:widowControl/>
              <w:suppressLineNumbers w:val="0"/>
              <w:jc w:val="left"/>
              <w:rPr>
                <w:rFonts w:hint="eastAsia" w:ascii="宋体" w:hAnsi="宋体" w:eastAsia="宋体" w:cs="宋体"/>
                <w:sz w:val="22"/>
              </w:rPr>
            </w:pPr>
            <w:r>
              <w:rPr>
                <w:rFonts w:hint="eastAsia" w:ascii="宋体" w:hAnsi="宋体" w:eastAsia="宋体" w:cs="宋体"/>
                <w:color w:val="000000"/>
                <w:kern w:val="0"/>
                <w:sz w:val="24"/>
                <w:szCs w:val="24"/>
                <w:lang w:val="en-US" w:eastAsia="zh-CN" w:bidi="ar"/>
              </w:rPr>
              <w:t>倒砂（补喷）室</w:t>
            </w:r>
          </w:p>
        </w:tc>
        <w:tc>
          <w:tcPr>
            <w:tcW w:w="1450" w:type="dxa"/>
            <w:noWrap w:val="0"/>
            <w:vAlign w:val="center"/>
          </w:tcPr>
          <w:p w14:paraId="4A70C586">
            <w:pPr>
              <w:spacing w:line="440" w:lineRule="exact"/>
              <w:textAlignment w:val="center"/>
              <w:rPr>
                <w:rFonts w:hint="default" w:ascii="宋体" w:hAnsi="宋体" w:eastAsia="宋体" w:cs="宋体"/>
                <w:sz w:val="22"/>
                <w:lang w:val="en-US" w:eastAsia="zh-CN"/>
              </w:rPr>
            </w:pPr>
            <w:r>
              <w:rPr>
                <w:rFonts w:hint="eastAsia" w:ascii="宋体" w:hAnsi="宋体" w:eastAsia="宋体" w:cs="宋体"/>
                <w:sz w:val="22"/>
                <w:lang w:val="en-US" w:eastAsia="zh-CN"/>
              </w:rPr>
              <w:t>个</w:t>
            </w:r>
          </w:p>
        </w:tc>
        <w:tc>
          <w:tcPr>
            <w:tcW w:w="5565" w:type="dxa"/>
            <w:noWrap w:val="0"/>
            <w:vAlign w:val="center"/>
          </w:tcPr>
          <w:p w14:paraId="707CE305">
            <w:pPr>
              <w:keepNext w:val="0"/>
              <w:keepLines w:val="0"/>
              <w:widowControl/>
              <w:suppressLineNumbers w:val="0"/>
              <w:jc w:val="left"/>
              <w:rPr>
                <w:rFonts w:hint="eastAsia"/>
              </w:rPr>
            </w:pPr>
            <w:r>
              <w:rPr>
                <w:rFonts w:hint="eastAsia"/>
                <w:lang w:val="en-US" w:eastAsia="zh-CN"/>
              </w:rPr>
              <w:t>1)</w:t>
            </w:r>
            <w:r>
              <w:rPr>
                <w:rFonts w:hint="eastAsia"/>
              </w:rPr>
              <w:t>室体尺寸</w:t>
            </w:r>
            <w:r>
              <w:rPr>
                <w:rFonts w:hint="eastAsia"/>
                <w:lang w:val="en-US" w:eastAsia="zh-CN"/>
              </w:rPr>
              <w:t>13000(L)×5400(B)</w:t>
            </w:r>
            <w:r>
              <w:rPr>
                <w:rFonts w:hint="default"/>
                <w:lang w:val="en-US" w:eastAsia="zh-CN"/>
              </w:rPr>
              <w:t>×</w:t>
            </w:r>
            <w:r>
              <w:rPr>
                <w:rFonts w:hint="eastAsia"/>
                <w:lang w:val="en-US" w:eastAsia="zh-CN"/>
              </w:rPr>
              <w:t>8500(H)</w:t>
            </w:r>
            <w:r>
              <w:rPr>
                <w:rFonts w:hint="eastAsia"/>
              </w:rPr>
              <w:t>；</w:t>
            </w:r>
          </w:p>
          <w:p w14:paraId="024F1B42">
            <w:pPr>
              <w:spacing w:line="440" w:lineRule="exact"/>
              <w:textAlignment w:val="center"/>
              <w:rPr>
                <w:rFonts w:hint="eastAsia"/>
              </w:rPr>
            </w:pPr>
            <w:r>
              <w:rPr>
                <w:rFonts w:hint="eastAsia"/>
              </w:rPr>
              <w:t>2)主体骨架型材方管；</w:t>
            </w:r>
          </w:p>
          <w:p w14:paraId="5BD3DB5C">
            <w:pPr>
              <w:spacing w:line="440" w:lineRule="exact"/>
              <w:textAlignment w:val="center"/>
              <w:rPr>
                <w:rFonts w:hint="eastAsia"/>
              </w:rPr>
            </w:pPr>
            <w:r>
              <w:rPr>
                <w:rFonts w:hint="eastAsia"/>
              </w:rPr>
              <w:t xml:space="preserve">3)主体壁板：单层锰钢钢材，使用寿命＞30年； </w:t>
            </w:r>
          </w:p>
          <w:p w14:paraId="4222AC37">
            <w:pPr>
              <w:spacing w:line="440" w:lineRule="exact"/>
              <w:textAlignment w:val="center"/>
              <w:rPr>
                <w:rFonts w:hint="eastAsia"/>
              </w:rPr>
            </w:pPr>
            <w:r>
              <w:rPr>
                <w:rFonts w:hint="eastAsia"/>
              </w:rPr>
              <w:t>4)室体顶部</w:t>
            </w:r>
            <w:r>
              <w:rPr>
                <w:rFonts w:hint="eastAsia"/>
                <w:lang w:eastAsia="zh-CN"/>
              </w:rPr>
              <w:t>、</w:t>
            </w:r>
            <w:r>
              <w:rPr>
                <w:rFonts w:hint="eastAsia"/>
              </w:rPr>
              <w:t>侧面外部</w:t>
            </w:r>
            <w:r>
              <w:rPr>
                <w:rFonts w:hint="eastAsia"/>
                <w:lang w:val="en-US" w:eastAsia="zh-CN"/>
              </w:rPr>
              <w:t>及地坑</w:t>
            </w:r>
            <w:r>
              <w:rPr>
                <w:rFonts w:hint="eastAsia"/>
              </w:rPr>
              <w:t>设有 LED 高亮度照明灯及照射窗口，亮度≥400Lx；</w:t>
            </w:r>
          </w:p>
          <w:p w14:paraId="2E0DD661">
            <w:pPr>
              <w:spacing w:line="440" w:lineRule="exact"/>
              <w:textAlignment w:val="center"/>
              <w:rPr>
                <w:rFonts w:hint="eastAsia"/>
              </w:rPr>
            </w:pPr>
            <w:r>
              <w:rPr>
                <w:rFonts w:hint="eastAsia"/>
              </w:rPr>
              <w:t>5)两侧设有工作平台用于清钢丸及钢灰</w:t>
            </w:r>
            <w:r>
              <w:rPr>
                <w:rFonts w:hint="eastAsia"/>
                <w:lang w:eastAsia="zh-CN"/>
              </w:rPr>
              <w:t>，</w:t>
            </w:r>
            <w:r>
              <w:rPr>
                <w:rFonts w:hint="eastAsia"/>
              </w:rPr>
              <w:t>平台按照国家标准设计制作，配置安全护栏，便于上下位置安全作业，爬梯采用斜爬梯；</w:t>
            </w:r>
          </w:p>
          <w:p w14:paraId="372A6832">
            <w:pPr>
              <w:spacing w:line="440" w:lineRule="exact"/>
              <w:textAlignment w:val="center"/>
              <w:rPr>
                <w:rFonts w:hint="eastAsia"/>
              </w:rPr>
            </w:pPr>
            <w:r>
              <w:rPr>
                <w:rFonts w:hint="eastAsia"/>
              </w:rPr>
              <w:t>6)地面铺设格栅板；</w:t>
            </w:r>
          </w:p>
          <w:p w14:paraId="44A78C43">
            <w:pPr>
              <w:spacing w:line="440" w:lineRule="exact"/>
              <w:textAlignment w:val="center"/>
              <w:rPr>
                <w:rFonts w:hint="eastAsia"/>
              </w:rPr>
            </w:pPr>
            <w:r>
              <w:rPr>
                <w:rFonts w:hint="eastAsia"/>
              </w:rPr>
              <w:t>7)自动开关大门；</w:t>
            </w:r>
          </w:p>
          <w:p w14:paraId="1EE94180">
            <w:pPr>
              <w:spacing w:line="440" w:lineRule="exact"/>
              <w:textAlignment w:val="center"/>
              <w:rPr>
                <w:rFonts w:hint="eastAsia"/>
              </w:rPr>
            </w:pPr>
            <w:r>
              <w:rPr>
                <w:rFonts w:hint="eastAsia"/>
              </w:rPr>
              <w:t>8)室体顶部周边均设有安全护栏；</w:t>
            </w:r>
          </w:p>
          <w:p w14:paraId="6C5AC3AB">
            <w:pPr>
              <w:spacing w:line="440" w:lineRule="exact"/>
              <w:textAlignment w:val="center"/>
              <w:rPr>
                <w:rFonts w:hint="eastAsia"/>
              </w:rPr>
            </w:pPr>
            <w:r>
              <w:rPr>
                <w:rFonts w:hint="eastAsia"/>
              </w:rPr>
              <w:t>9)配置清理钢丸、灰</w:t>
            </w:r>
            <w:r>
              <w:rPr>
                <w:rFonts w:hint="eastAsia"/>
                <w:lang w:eastAsia="zh-CN"/>
              </w:rPr>
              <w:t>、</w:t>
            </w:r>
            <w:r>
              <w:rPr>
                <w:rFonts w:hint="eastAsia"/>
              </w:rPr>
              <w:t>压缩空气。</w:t>
            </w:r>
          </w:p>
          <w:p w14:paraId="02014012">
            <w:pPr>
              <w:spacing w:line="440" w:lineRule="exact"/>
              <w:textAlignment w:val="center"/>
              <w:rPr>
                <w:rFonts w:hint="eastAsia"/>
              </w:rPr>
            </w:pPr>
            <w:r>
              <w:rPr>
                <w:rFonts w:hint="eastAsia"/>
              </w:rPr>
              <w:t>10)配置车箱前、后板补喷丸设备及配套。</w:t>
            </w:r>
          </w:p>
          <w:p w14:paraId="5490EF0F">
            <w:pPr>
              <w:spacing w:line="440" w:lineRule="exact"/>
              <w:textAlignment w:val="center"/>
              <w:rPr>
                <w:rFonts w:hint="eastAsia"/>
              </w:rPr>
            </w:pPr>
            <w:r>
              <w:rPr>
                <w:rFonts w:hint="eastAsia"/>
              </w:rPr>
              <w:t>11)侧面设置安全门（四门），与手动抛丸连锁。</w:t>
            </w:r>
          </w:p>
          <w:p w14:paraId="1F86EF2B">
            <w:pPr>
              <w:spacing w:line="440" w:lineRule="exact"/>
              <w:textAlignment w:val="center"/>
              <w:rPr>
                <w:rFonts w:hint="eastAsia"/>
              </w:rPr>
            </w:pPr>
            <w:r>
              <w:rPr>
                <w:rFonts w:hint="eastAsia"/>
                <w:lang w:val="en-US" w:eastAsia="zh-CN"/>
              </w:rPr>
              <w:t>12)</w:t>
            </w:r>
            <w:r>
              <w:rPr>
                <w:rFonts w:hint="eastAsia"/>
              </w:rPr>
              <w:t>设置标准观察口。</w:t>
            </w:r>
          </w:p>
          <w:p w14:paraId="1EB41E08">
            <w:pPr>
              <w:pStyle w:val="52"/>
              <w:jc w:val="both"/>
              <w:rPr>
                <w:rFonts w:hint="default" w:eastAsia="宋体"/>
                <w:lang w:val="en-US" w:eastAsia="zh-CN"/>
              </w:rPr>
            </w:pPr>
            <w:r>
              <w:rPr>
                <w:rFonts w:hint="eastAsia" w:ascii="宋体" w:hAnsi="宋体" w:eastAsia="宋体" w:cs="宋体"/>
                <w:sz w:val="22"/>
                <w:lang w:val="en-US" w:eastAsia="zh-CN"/>
              </w:rPr>
              <w:t>13）倒砂角度≥35°</w:t>
            </w:r>
          </w:p>
        </w:tc>
      </w:tr>
      <w:tr w14:paraId="7DE500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44" w:type="dxa"/>
            <w:noWrap w:val="0"/>
            <w:vAlign w:val="center"/>
          </w:tcPr>
          <w:p w14:paraId="7913BD0F">
            <w:pPr>
              <w:spacing w:line="440" w:lineRule="exact"/>
              <w:textAlignment w:val="center"/>
              <w:rPr>
                <w:rFonts w:hint="eastAsia" w:ascii="宋体" w:hAnsi="宋体" w:eastAsia="宋体" w:cs="宋体"/>
                <w:sz w:val="22"/>
              </w:rPr>
            </w:pPr>
            <w:r>
              <w:rPr>
                <w:rFonts w:hint="eastAsia" w:ascii="宋体" w:hAnsi="宋体" w:eastAsia="宋体" w:cs="宋体"/>
                <w:sz w:val="22"/>
              </w:rPr>
              <w:t>5</w:t>
            </w:r>
          </w:p>
        </w:tc>
        <w:tc>
          <w:tcPr>
            <w:tcW w:w="1354" w:type="dxa"/>
            <w:noWrap w:val="0"/>
            <w:vAlign w:val="center"/>
          </w:tcPr>
          <w:p w14:paraId="62B668EB">
            <w:pPr>
              <w:spacing w:line="440" w:lineRule="exact"/>
              <w:textAlignment w:val="center"/>
              <w:rPr>
                <w:rFonts w:hint="eastAsia" w:ascii="宋体" w:hAnsi="宋体" w:eastAsia="宋体" w:cs="宋体"/>
                <w:sz w:val="22"/>
              </w:rPr>
            </w:pPr>
            <w:r>
              <w:rPr>
                <w:rFonts w:hint="eastAsia" w:ascii="宋体" w:hAnsi="宋体" w:eastAsia="宋体" w:cs="宋体"/>
                <w:sz w:val="22"/>
              </w:rPr>
              <w:t>室体顶部密封</w:t>
            </w:r>
          </w:p>
        </w:tc>
        <w:tc>
          <w:tcPr>
            <w:tcW w:w="1450" w:type="dxa"/>
            <w:noWrap w:val="0"/>
            <w:vAlign w:val="center"/>
          </w:tcPr>
          <w:p w14:paraId="2E37829C">
            <w:pPr>
              <w:spacing w:line="440" w:lineRule="exact"/>
              <w:textAlignment w:val="center"/>
              <w:rPr>
                <w:rFonts w:hint="eastAsia" w:ascii="宋体" w:hAnsi="宋体" w:eastAsia="宋体" w:cs="宋体"/>
                <w:sz w:val="22"/>
                <w:lang w:eastAsia="zh-CN"/>
              </w:rPr>
            </w:pPr>
            <w:r>
              <w:rPr>
                <w:rFonts w:hint="eastAsia" w:ascii="宋体" w:hAnsi="宋体" w:eastAsia="宋体" w:cs="宋体"/>
                <w:sz w:val="22"/>
                <w:lang w:val="en-US" w:eastAsia="zh-CN"/>
              </w:rPr>
              <w:t>套</w:t>
            </w:r>
          </w:p>
        </w:tc>
        <w:tc>
          <w:tcPr>
            <w:tcW w:w="5565" w:type="dxa"/>
            <w:noWrap w:val="0"/>
            <w:vAlign w:val="center"/>
          </w:tcPr>
          <w:p w14:paraId="7F117591">
            <w:pPr>
              <w:spacing w:line="440" w:lineRule="exact"/>
              <w:textAlignment w:val="center"/>
              <w:rPr>
                <w:rFonts w:hint="eastAsia" w:ascii="宋体" w:hAnsi="宋体" w:eastAsia="宋体" w:cs="宋体"/>
                <w:sz w:val="22"/>
              </w:rPr>
            </w:pPr>
            <w:r>
              <w:rPr>
                <w:rFonts w:hint="eastAsia" w:ascii="宋体" w:hAnsi="宋体" w:eastAsia="宋体" w:cs="宋体"/>
                <w:sz w:val="22"/>
              </w:rPr>
              <w:t>1)采用迷宫式多层密封结构，由Mn13高锰钢、聚氨酯板、尼龙毛排等组成，防止丸料反弹出室体外；</w:t>
            </w:r>
          </w:p>
          <w:p w14:paraId="30F2E648">
            <w:pPr>
              <w:spacing w:line="440" w:lineRule="exact"/>
              <w:textAlignment w:val="center"/>
              <w:rPr>
                <w:rFonts w:hint="eastAsia" w:ascii="宋体" w:hAnsi="宋体" w:eastAsia="宋体" w:cs="宋体"/>
                <w:color w:val="auto"/>
                <w:sz w:val="22"/>
                <w:lang w:eastAsia="zh-CN"/>
              </w:rPr>
            </w:pPr>
            <w:r>
              <w:rPr>
                <w:rFonts w:hint="eastAsia" w:ascii="宋体" w:hAnsi="宋体" w:eastAsia="宋体" w:cs="宋体"/>
                <w:sz w:val="22"/>
              </w:rPr>
              <w:t>2</w:t>
            </w:r>
            <w:r>
              <w:rPr>
                <w:rFonts w:hint="eastAsia" w:ascii="宋体" w:hAnsi="宋体" w:eastAsia="宋体" w:cs="宋体"/>
                <w:color w:val="auto"/>
                <w:sz w:val="22"/>
              </w:rPr>
              <w:t>)护板寿命：＞30000小时；其它柔性密封件寿命：＞10000小时</w:t>
            </w:r>
            <w:r>
              <w:rPr>
                <w:rFonts w:hint="eastAsia" w:ascii="宋体" w:hAnsi="宋体" w:eastAsia="宋体" w:cs="宋体"/>
                <w:color w:val="auto"/>
                <w:sz w:val="22"/>
                <w:lang w:eastAsia="zh-CN"/>
              </w:rPr>
              <w:t>；</w:t>
            </w:r>
          </w:p>
          <w:p w14:paraId="11451C3D">
            <w:pPr>
              <w:spacing w:line="440" w:lineRule="exact"/>
              <w:textAlignment w:val="center"/>
              <w:rPr>
                <w:rFonts w:hint="eastAsia" w:ascii="宋体" w:hAnsi="宋体" w:eastAsia="宋体" w:cs="宋体"/>
                <w:sz w:val="22"/>
                <w:lang w:eastAsia="zh-CN"/>
              </w:rPr>
            </w:pPr>
            <w:r>
              <w:rPr>
                <w:rFonts w:hint="eastAsia" w:ascii="宋体" w:hAnsi="宋体" w:eastAsia="宋体" w:cs="宋体"/>
                <w:sz w:val="22"/>
                <w:lang w:val="en-US" w:eastAsia="zh-CN"/>
              </w:rPr>
              <w:t>3)</w:t>
            </w:r>
            <w:r>
              <w:rPr>
                <w:rFonts w:hint="eastAsia" w:ascii="宋体" w:hAnsi="宋体" w:eastAsia="宋体" w:cs="宋体"/>
                <w:sz w:val="22"/>
              </w:rPr>
              <w:t>需提供详细图纸方案</w:t>
            </w:r>
            <w:r>
              <w:rPr>
                <w:rFonts w:hint="eastAsia" w:ascii="宋体" w:hAnsi="宋体" w:eastAsia="宋体" w:cs="宋体"/>
                <w:sz w:val="22"/>
                <w:lang w:eastAsia="zh-CN"/>
              </w:rPr>
              <w:t>。</w:t>
            </w:r>
          </w:p>
        </w:tc>
      </w:tr>
      <w:tr w14:paraId="2B13AC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38" w:hRule="atLeast"/>
          <w:jc w:val="center"/>
        </w:trPr>
        <w:tc>
          <w:tcPr>
            <w:tcW w:w="744" w:type="dxa"/>
            <w:noWrap w:val="0"/>
            <w:vAlign w:val="center"/>
          </w:tcPr>
          <w:p w14:paraId="4CE97B24">
            <w:pPr>
              <w:spacing w:line="440" w:lineRule="exact"/>
              <w:textAlignment w:val="center"/>
              <w:rPr>
                <w:rFonts w:hint="eastAsia" w:ascii="宋体" w:hAnsi="宋体" w:eastAsia="宋体" w:cs="宋体"/>
                <w:sz w:val="22"/>
              </w:rPr>
            </w:pPr>
            <w:r>
              <w:rPr>
                <w:rFonts w:hint="eastAsia" w:ascii="宋体" w:hAnsi="宋体" w:eastAsia="宋体" w:cs="宋体"/>
                <w:sz w:val="22"/>
              </w:rPr>
              <w:t>6</w:t>
            </w:r>
          </w:p>
        </w:tc>
        <w:tc>
          <w:tcPr>
            <w:tcW w:w="1354" w:type="dxa"/>
            <w:noWrap w:val="0"/>
            <w:vAlign w:val="center"/>
          </w:tcPr>
          <w:p w14:paraId="30FBA23B">
            <w:pPr>
              <w:spacing w:line="440" w:lineRule="exact"/>
              <w:textAlignment w:val="center"/>
              <w:rPr>
                <w:rFonts w:hint="eastAsia" w:ascii="宋体" w:hAnsi="宋体" w:eastAsia="宋体" w:cs="宋体"/>
                <w:sz w:val="22"/>
                <w:lang w:val="en-US" w:eastAsia="zh-CN"/>
              </w:rPr>
            </w:pPr>
            <w:r>
              <w:rPr>
                <w:rFonts w:hint="eastAsia" w:ascii="宋体" w:hAnsi="宋体" w:eastAsia="宋体" w:cs="宋体"/>
                <w:sz w:val="22"/>
              </w:rPr>
              <w:t>抛丸器</w:t>
            </w:r>
            <w:r>
              <w:rPr>
                <w:rFonts w:hint="eastAsia" w:ascii="宋体" w:hAnsi="宋体" w:eastAsia="宋体" w:cs="宋体"/>
                <w:sz w:val="22"/>
                <w:lang w:val="en-US" w:eastAsia="zh-CN"/>
              </w:rPr>
              <w:t>总成</w:t>
            </w:r>
          </w:p>
        </w:tc>
        <w:tc>
          <w:tcPr>
            <w:tcW w:w="1450" w:type="dxa"/>
            <w:noWrap w:val="0"/>
            <w:vAlign w:val="center"/>
          </w:tcPr>
          <w:p w14:paraId="74D4CA2D">
            <w:pPr>
              <w:spacing w:line="440" w:lineRule="exact"/>
              <w:textAlignment w:val="center"/>
              <w:rPr>
                <w:rFonts w:hint="eastAsia" w:ascii="宋体" w:hAnsi="宋体" w:eastAsia="宋体" w:cs="宋体"/>
                <w:sz w:val="22"/>
                <w:lang w:val="en-US" w:eastAsia="zh-CN"/>
              </w:rPr>
            </w:pPr>
            <w:r>
              <w:rPr>
                <w:rFonts w:hint="eastAsia" w:ascii="宋体" w:hAnsi="宋体" w:eastAsia="宋体" w:cs="宋体"/>
                <w:sz w:val="22"/>
                <w:lang w:val="en-US" w:eastAsia="zh-CN"/>
              </w:rPr>
              <w:t>套</w:t>
            </w:r>
          </w:p>
        </w:tc>
        <w:tc>
          <w:tcPr>
            <w:tcW w:w="5565" w:type="dxa"/>
            <w:noWrap w:val="0"/>
            <w:vAlign w:val="center"/>
          </w:tcPr>
          <w:p w14:paraId="678F9AD0">
            <w:pPr>
              <w:spacing w:line="440" w:lineRule="exact"/>
              <w:textAlignment w:val="center"/>
              <w:rPr>
                <w:rFonts w:hint="eastAsia" w:ascii="宋体" w:hAnsi="宋体" w:eastAsia="宋体" w:cs="宋体"/>
                <w:sz w:val="22"/>
              </w:rPr>
            </w:pPr>
            <w:r>
              <w:rPr>
                <w:rFonts w:hint="eastAsia" w:ascii="宋体" w:hAnsi="宋体" w:eastAsia="宋体" w:cs="宋体"/>
                <w:sz w:val="22"/>
              </w:rPr>
              <w:t>1)传动方式：直连（带联轴器）</w:t>
            </w:r>
            <w:r>
              <w:rPr>
                <w:rFonts w:hint="eastAsia" w:ascii="宋体" w:hAnsi="宋体" w:eastAsia="宋体" w:cs="宋体"/>
                <w:sz w:val="22"/>
                <w:lang w:eastAsia="zh-CN"/>
              </w:rPr>
              <w:t>，</w:t>
            </w:r>
            <w:r>
              <w:rPr>
                <w:rFonts w:hint="eastAsia" w:ascii="宋体" w:hAnsi="宋体" w:eastAsia="宋体" w:cs="宋体"/>
                <w:sz w:val="22"/>
                <w:lang w:val="en-US" w:eastAsia="zh-CN"/>
              </w:rPr>
              <w:t>功率≥15KW，共16个</w:t>
            </w:r>
            <w:r>
              <w:rPr>
                <w:rFonts w:hint="eastAsia" w:ascii="宋体" w:hAnsi="宋体" w:eastAsia="宋体" w:cs="宋体"/>
                <w:sz w:val="22"/>
              </w:rPr>
              <w:t>;</w:t>
            </w:r>
          </w:p>
          <w:p w14:paraId="238A14D0">
            <w:pPr>
              <w:spacing w:line="440" w:lineRule="exact"/>
              <w:textAlignment w:val="center"/>
              <w:rPr>
                <w:rFonts w:hint="eastAsia" w:ascii="宋体" w:hAnsi="宋体" w:eastAsia="宋体" w:cs="宋体"/>
                <w:sz w:val="22"/>
                <w:lang w:eastAsia="zh-CN"/>
              </w:rPr>
            </w:pPr>
            <w:r>
              <w:rPr>
                <w:rFonts w:hint="eastAsia" w:ascii="宋体" w:hAnsi="宋体" w:eastAsia="宋体" w:cs="宋体"/>
                <w:sz w:val="22"/>
              </w:rPr>
              <w:t>2)抛丸量</w:t>
            </w:r>
            <w:r>
              <w:rPr>
                <w:rFonts w:hint="eastAsia" w:ascii="宋体" w:hAnsi="宋体" w:eastAsia="宋体" w:cs="宋体"/>
                <w:sz w:val="22"/>
                <w:lang w:val="en-US" w:eastAsia="zh-CN"/>
              </w:rPr>
              <w:t>≥300</w:t>
            </w:r>
            <w:r>
              <w:rPr>
                <w:rFonts w:hint="eastAsia" w:ascii="宋体" w:hAnsi="宋体" w:eastAsia="宋体" w:cs="宋体"/>
                <w:sz w:val="22"/>
              </w:rPr>
              <w:t>kg/min、抛射速度等参数进行匹配设计</w:t>
            </w:r>
            <w:r>
              <w:rPr>
                <w:rFonts w:hint="eastAsia" w:ascii="宋体" w:hAnsi="宋体" w:eastAsia="宋体" w:cs="宋体"/>
                <w:sz w:val="22"/>
                <w:lang w:eastAsia="zh-CN"/>
              </w:rPr>
              <w:t>；</w:t>
            </w:r>
          </w:p>
          <w:p w14:paraId="177AFC97">
            <w:pPr>
              <w:spacing w:line="440" w:lineRule="exact"/>
              <w:textAlignment w:val="center"/>
              <w:rPr>
                <w:rFonts w:hint="eastAsia" w:ascii="宋体" w:hAnsi="宋体" w:eastAsia="宋体" w:cs="宋体"/>
                <w:sz w:val="22"/>
              </w:rPr>
            </w:pPr>
            <w:r>
              <w:rPr>
                <w:rFonts w:hint="eastAsia" w:ascii="宋体" w:hAnsi="宋体" w:eastAsia="宋体" w:cs="宋体"/>
                <w:sz w:val="22"/>
              </w:rPr>
              <w:t xml:space="preserve">3)电机变频调速； </w:t>
            </w:r>
          </w:p>
          <w:p w14:paraId="5A6C133B">
            <w:pPr>
              <w:spacing w:line="440" w:lineRule="exact"/>
              <w:textAlignment w:val="center"/>
              <w:rPr>
                <w:rFonts w:hint="eastAsia" w:ascii="宋体" w:hAnsi="宋体" w:eastAsia="宋体" w:cs="宋体"/>
                <w:sz w:val="22"/>
              </w:rPr>
            </w:pPr>
            <w:r>
              <w:rPr>
                <w:rFonts w:hint="eastAsia" w:ascii="宋体" w:hAnsi="宋体" w:eastAsia="宋体" w:cs="宋体"/>
                <w:sz w:val="22"/>
              </w:rPr>
              <w:t>4)叶轮采用高铬耐磨材质，</w:t>
            </w:r>
            <w:r>
              <w:rPr>
                <w:rFonts w:hint="eastAsia" w:ascii="宋体" w:hAnsi="宋体" w:eastAsia="宋体" w:cs="宋体"/>
                <w:color w:val="auto"/>
                <w:sz w:val="22"/>
              </w:rPr>
              <w:t>使用寿命：≥8000小时</w:t>
            </w:r>
            <w:r>
              <w:rPr>
                <w:rFonts w:hint="eastAsia" w:ascii="宋体" w:hAnsi="宋体" w:eastAsia="宋体" w:cs="宋体"/>
                <w:sz w:val="22"/>
              </w:rPr>
              <w:t xml:space="preserve">； </w:t>
            </w:r>
          </w:p>
          <w:p w14:paraId="2CA92820">
            <w:pPr>
              <w:spacing w:line="440" w:lineRule="exact"/>
              <w:textAlignment w:val="center"/>
              <w:rPr>
                <w:rFonts w:hint="eastAsia" w:ascii="宋体" w:hAnsi="宋体" w:eastAsia="宋体" w:cs="宋体"/>
                <w:sz w:val="22"/>
              </w:rPr>
            </w:pPr>
            <w:r>
              <w:rPr>
                <w:rFonts w:hint="eastAsia" w:ascii="宋体" w:hAnsi="宋体" w:eastAsia="宋体" w:cs="宋体"/>
                <w:sz w:val="22"/>
              </w:rPr>
              <w:t>5)叶片采用高铬工具钢耐磨材质，热处理后表面硬度HRC60-65，使用寿命：</w:t>
            </w:r>
            <w:r>
              <w:rPr>
                <w:rFonts w:hint="eastAsia" w:ascii="宋体" w:hAnsi="宋体" w:eastAsia="宋体" w:cs="宋体"/>
                <w:color w:val="auto"/>
                <w:sz w:val="22"/>
              </w:rPr>
              <w:t>≥2000小时</w:t>
            </w:r>
            <w:r>
              <w:rPr>
                <w:rFonts w:hint="eastAsia" w:ascii="宋体" w:hAnsi="宋体" w:eastAsia="宋体" w:cs="宋体"/>
                <w:sz w:val="22"/>
              </w:rPr>
              <w:t>；需提供详细图纸，便于后期更换；</w:t>
            </w:r>
          </w:p>
          <w:p w14:paraId="73719BFA">
            <w:pPr>
              <w:spacing w:line="440" w:lineRule="exact"/>
              <w:textAlignment w:val="center"/>
              <w:rPr>
                <w:rFonts w:hint="eastAsia" w:ascii="宋体" w:hAnsi="宋体" w:eastAsia="宋体" w:cs="宋体"/>
                <w:sz w:val="22"/>
              </w:rPr>
            </w:pPr>
            <w:r>
              <w:rPr>
                <w:rFonts w:hint="eastAsia" w:ascii="宋体" w:hAnsi="宋体" w:eastAsia="宋体" w:cs="宋体"/>
                <w:sz w:val="22"/>
              </w:rPr>
              <w:t>6)护板：采用高铬耐磨材质，使用寿命≥3500小时</w:t>
            </w:r>
          </w:p>
          <w:p w14:paraId="638D3759">
            <w:pPr>
              <w:spacing w:line="440" w:lineRule="exact"/>
              <w:textAlignment w:val="center"/>
              <w:rPr>
                <w:rFonts w:hint="eastAsia" w:ascii="宋体" w:hAnsi="宋体" w:eastAsia="宋体" w:cs="宋体"/>
                <w:sz w:val="22"/>
              </w:rPr>
            </w:pPr>
            <w:r>
              <w:rPr>
                <w:rFonts w:hint="eastAsia" w:ascii="宋体" w:hAnsi="宋体" w:eastAsia="宋体" w:cs="宋体"/>
                <w:sz w:val="22"/>
              </w:rPr>
              <w:t>7)定向套高铬耐磨材质，带刻度盘；</w:t>
            </w:r>
          </w:p>
          <w:p w14:paraId="57F919DB">
            <w:pPr>
              <w:spacing w:line="440" w:lineRule="exact"/>
              <w:textAlignment w:val="center"/>
              <w:rPr>
                <w:rFonts w:hint="eastAsia" w:ascii="宋体" w:hAnsi="宋体" w:eastAsia="宋体" w:cs="宋体"/>
                <w:sz w:val="22"/>
              </w:rPr>
            </w:pPr>
            <w:r>
              <w:rPr>
                <w:rFonts w:hint="eastAsia" w:ascii="宋体" w:hAnsi="宋体" w:eastAsia="宋体" w:cs="宋体"/>
                <w:sz w:val="22"/>
              </w:rPr>
              <w:t>8)轴承选用NSK</w:t>
            </w:r>
            <w:r>
              <w:rPr>
                <w:rFonts w:hint="eastAsia" w:ascii="宋体" w:hAnsi="宋体" w:eastAsia="宋体" w:cs="宋体"/>
                <w:sz w:val="22"/>
                <w:lang w:val="en-US" w:eastAsia="zh-CN"/>
              </w:rPr>
              <w:t>/哈/瓦/洛</w:t>
            </w:r>
            <w:r>
              <w:rPr>
                <w:rFonts w:hint="eastAsia" w:ascii="宋体" w:hAnsi="宋体" w:eastAsia="宋体" w:cs="宋体"/>
                <w:sz w:val="22"/>
              </w:rPr>
              <w:t>；</w:t>
            </w:r>
          </w:p>
          <w:p w14:paraId="1A360764">
            <w:pPr>
              <w:spacing w:line="440" w:lineRule="exact"/>
              <w:textAlignment w:val="center"/>
              <w:rPr>
                <w:rFonts w:hint="eastAsia" w:ascii="宋体" w:hAnsi="宋体" w:eastAsia="宋体" w:cs="宋体"/>
                <w:sz w:val="22"/>
              </w:rPr>
            </w:pPr>
            <w:r>
              <w:rPr>
                <w:rFonts w:hint="eastAsia" w:ascii="宋体" w:hAnsi="宋体" w:eastAsia="宋体" w:cs="宋体"/>
                <w:sz w:val="22"/>
              </w:rPr>
              <w:t>9)抛丸器采用变频电机，电机设有过载保护、失压保护功能。</w:t>
            </w:r>
          </w:p>
          <w:p w14:paraId="4096A7C7">
            <w:pPr>
              <w:spacing w:line="440" w:lineRule="exact"/>
              <w:textAlignment w:val="center"/>
              <w:rPr>
                <w:rFonts w:hint="eastAsia" w:ascii="宋体" w:hAnsi="宋体" w:eastAsia="宋体" w:cs="宋体"/>
                <w:sz w:val="22"/>
              </w:rPr>
            </w:pPr>
            <w:r>
              <w:rPr>
                <w:rFonts w:hint="eastAsia" w:ascii="宋体" w:hAnsi="宋体" w:eastAsia="宋体" w:cs="宋体"/>
                <w:sz w:val="22"/>
              </w:rPr>
              <w:t>10)设置电机与抛丸器的可靠有效的联接防护；</w:t>
            </w:r>
          </w:p>
          <w:p w14:paraId="0F4BEA23">
            <w:pPr>
              <w:spacing w:line="440" w:lineRule="exact"/>
              <w:textAlignment w:val="center"/>
              <w:rPr>
                <w:rFonts w:hint="eastAsia" w:ascii="宋体" w:hAnsi="宋体" w:eastAsia="宋体" w:cs="宋体"/>
                <w:sz w:val="22"/>
                <w:lang w:eastAsia="zh-CN"/>
              </w:rPr>
            </w:pPr>
            <w:r>
              <w:rPr>
                <w:rFonts w:hint="eastAsia" w:ascii="宋体" w:hAnsi="宋体" w:eastAsia="宋体" w:cs="宋体"/>
                <w:sz w:val="22"/>
                <w:lang w:val="en-US" w:eastAsia="zh-CN"/>
              </w:rPr>
              <w:t>11)</w:t>
            </w:r>
            <w:r>
              <w:rPr>
                <w:rFonts w:hint="eastAsia" w:ascii="宋体" w:hAnsi="宋体" w:eastAsia="宋体" w:cs="宋体"/>
                <w:sz w:val="22"/>
              </w:rPr>
              <w:t>需提供详细图纸，便于后期更换</w:t>
            </w:r>
            <w:r>
              <w:rPr>
                <w:rFonts w:hint="eastAsia" w:ascii="宋体" w:hAnsi="宋体" w:eastAsia="宋体" w:cs="宋体"/>
                <w:sz w:val="22"/>
                <w:lang w:eastAsia="zh-CN"/>
              </w:rPr>
              <w:t>。</w:t>
            </w:r>
          </w:p>
        </w:tc>
      </w:tr>
      <w:tr w14:paraId="2B6718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44" w:type="dxa"/>
            <w:noWrap w:val="0"/>
            <w:vAlign w:val="center"/>
          </w:tcPr>
          <w:p w14:paraId="37E6B379">
            <w:pPr>
              <w:spacing w:line="440" w:lineRule="exact"/>
              <w:textAlignment w:val="center"/>
              <w:rPr>
                <w:rFonts w:hint="eastAsia" w:ascii="宋体" w:hAnsi="宋体" w:eastAsia="宋体" w:cs="宋体"/>
                <w:sz w:val="22"/>
              </w:rPr>
            </w:pPr>
            <w:r>
              <w:rPr>
                <w:rFonts w:hint="eastAsia" w:ascii="宋体" w:hAnsi="宋体" w:eastAsia="宋体" w:cs="宋体"/>
                <w:sz w:val="22"/>
              </w:rPr>
              <w:t>7</w:t>
            </w:r>
          </w:p>
        </w:tc>
        <w:tc>
          <w:tcPr>
            <w:tcW w:w="1354" w:type="dxa"/>
            <w:noWrap w:val="0"/>
            <w:vAlign w:val="center"/>
          </w:tcPr>
          <w:p w14:paraId="22BA9960">
            <w:pPr>
              <w:spacing w:line="440" w:lineRule="exact"/>
              <w:textAlignment w:val="center"/>
              <w:rPr>
                <w:rFonts w:hint="eastAsia" w:ascii="宋体" w:hAnsi="宋体" w:eastAsia="宋体" w:cs="宋体"/>
                <w:sz w:val="22"/>
              </w:rPr>
            </w:pPr>
            <w:r>
              <w:rPr>
                <w:rFonts w:hint="eastAsia" w:ascii="宋体" w:hAnsi="宋体" w:eastAsia="宋体" w:cs="宋体"/>
                <w:sz w:val="22"/>
              </w:rPr>
              <w:t>分离器</w:t>
            </w:r>
          </w:p>
        </w:tc>
        <w:tc>
          <w:tcPr>
            <w:tcW w:w="1450" w:type="dxa"/>
            <w:noWrap w:val="0"/>
            <w:vAlign w:val="center"/>
          </w:tcPr>
          <w:p w14:paraId="40E9EA7B">
            <w:pPr>
              <w:spacing w:line="440" w:lineRule="exact"/>
              <w:textAlignment w:val="center"/>
              <w:rPr>
                <w:rFonts w:hint="default" w:ascii="宋体" w:hAnsi="宋体" w:eastAsia="宋体" w:cs="宋体"/>
                <w:sz w:val="22"/>
                <w:lang w:val="en-US" w:eastAsia="zh-CN"/>
              </w:rPr>
            </w:pPr>
            <w:r>
              <w:rPr>
                <w:rFonts w:hint="eastAsia" w:ascii="宋体" w:hAnsi="宋体" w:eastAsia="宋体" w:cs="宋体"/>
                <w:sz w:val="22"/>
                <w:lang w:val="en-US" w:eastAsia="zh-CN"/>
              </w:rPr>
              <w:t>个</w:t>
            </w:r>
          </w:p>
        </w:tc>
        <w:tc>
          <w:tcPr>
            <w:tcW w:w="5565" w:type="dxa"/>
            <w:noWrap w:val="0"/>
            <w:vAlign w:val="center"/>
          </w:tcPr>
          <w:p w14:paraId="4A0B28EA">
            <w:pPr>
              <w:spacing w:line="440" w:lineRule="exact"/>
              <w:textAlignment w:val="center"/>
              <w:rPr>
                <w:rFonts w:hint="eastAsia" w:ascii="宋体" w:hAnsi="宋体" w:eastAsia="宋体" w:cs="宋体"/>
                <w:sz w:val="22"/>
              </w:rPr>
            </w:pPr>
            <w:r>
              <w:rPr>
                <w:rFonts w:hint="eastAsia" w:ascii="宋体" w:hAnsi="宋体" w:eastAsia="宋体" w:cs="宋体"/>
                <w:sz w:val="22"/>
              </w:rPr>
              <w:t>1)分离量、风速、功率等参数进行匹配设计；</w:t>
            </w:r>
          </w:p>
          <w:p w14:paraId="04289D8B">
            <w:pPr>
              <w:spacing w:line="440" w:lineRule="exact"/>
              <w:textAlignment w:val="center"/>
              <w:rPr>
                <w:rFonts w:hint="eastAsia" w:ascii="宋体" w:hAnsi="宋体" w:eastAsia="宋体" w:cs="宋体"/>
                <w:color w:val="auto"/>
                <w:sz w:val="22"/>
              </w:rPr>
            </w:pPr>
            <w:r>
              <w:rPr>
                <w:rFonts w:hint="eastAsia" w:ascii="宋体" w:hAnsi="宋体" w:eastAsia="宋体" w:cs="宋体"/>
                <w:color w:val="auto"/>
                <w:sz w:val="22"/>
              </w:rPr>
              <w:t>2)分离后废料含量：≤1%；废料中合格弹丸含量：≤1%；</w:t>
            </w:r>
          </w:p>
          <w:p w14:paraId="0DEFDDBB">
            <w:pPr>
              <w:spacing w:line="440" w:lineRule="exact"/>
              <w:textAlignment w:val="center"/>
              <w:rPr>
                <w:rFonts w:hint="eastAsia" w:ascii="宋体" w:hAnsi="宋体" w:eastAsia="宋体" w:cs="宋体"/>
                <w:color w:val="auto"/>
                <w:sz w:val="22"/>
              </w:rPr>
            </w:pPr>
            <w:r>
              <w:rPr>
                <w:rFonts w:hint="eastAsia" w:ascii="宋体" w:hAnsi="宋体" w:eastAsia="宋体" w:cs="宋体"/>
                <w:color w:val="auto"/>
                <w:sz w:val="22"/>
              </w:rPr>
              <w:t>3)配置脉冲轮故障检测装置，检测跟踪布料螺旋的工作状态，一旦出现堵塞不转等故障时，报警或逐步停车；</w:t>
            </w:r>
          </w:p>
          <w:p w14:paraId="40DA706B">
            <w:pPr>
              <w:spacing w:line="440" w:lineRule="exact"/>
              <w:textAlignment w:val="center"/>
              <w:rPr>
                <w:rFonts w:hint="eastAsia" w:ascii="宋体" w:hAnsi="宋体" w:eastAsia="宋体" w:cs="宋体"/>
                <w:color w:val="auto"/>
                <w:sz w:val="22"/>
              </w:rPr>
            </w:pPr>
            <w:r>
              <w:rPr>
                <w:rFonts w:hint="eastAsia" w:ascii="宋体" w:hAnsi="宋体" w:eastAsia="宋体" w:cs="宋体"/>
                <w:color w:val="auto"/>
                <w:sz w:val="22"/>
              </w:rPr>
              <w:t>4)配置料斗内的料位计，监察循环系统中钢丸量，丸料不足及时报警；</w:t>
            </w:r>
          </w:p>
          <w:p w14:paraId="181AB0A2">
            <w:pPr>
              <w:spacing w:line="440" w:lineRule="exact"/>
              <w:textAlignment w:val="center"/>
              <w:rPr>
                <w:rFonts w:hint="eastAsia" w:ascii="宋体" w:hAnsi="宋体" w:eastAsia="宋体" w:cs="宋体"/>
                <w:sz w:val="22"/>
              </w:rPr>
            </w:pPr>
            <w:r>
              <w:rPr>
                <w:rFonts w:hint="eastAsia" w:ascii="宋体" w:hAnsi="宋体" w:eastAsia="宋体" w:cs="宋体"/>
                <w:sz w:val="22"/>
              </w:rPr>
              <w:t>5)滚筒筛采用耐磨高锰钢；</w:t>
            </w:r>
          </w:p>
          <w:p w14:paraId="1C50CC72">
            <w:pPr>
              <w:spacing w:line="440" w:lineRule="exact"/>
              <w:textAlignment w:val="center"/>
              <w:rPr>
                <w:rFonts w:hint="eastAsia" w:ascii="宋体" w:hAnsi="宋体" w:eastAsia="宋体" w:cs="宋体"/>
                <w:sz w:val="22"/>
              </w:rPr>
            </w:pPr>
            <w:r>
              <w:rPr>
                <w:rFonts w:hint="eastAsia" w:ascii="宋体" w:hAnsi="宋体" w:eastAsia="宋体" w:cs="宋体"/>
                <w:sz w:val="22"/>
                <w:lang w:val="en-US" w:eastAsia="zh-CN"/>
              </w:rPr>
              <w:t>6)</w:t>
            </w:r>
            <w:r>
              <w:rPr>
                <w:rFonts w:hint="eastAsia" w:ascii="宋体" w:hAnsi="宋体" w:eastAsia="宋体" w:cs="宋体"/>
                <w:sz w:val="22"/>
              </w:rPr>
              <w:t>螺旋叶片采用耐磨材料。</w:t>
            </w:r>
          </w:p>
        </w:tc>
      </w:tr>
      <w:tr w14:paraId="235122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44" w:type="dxa"/>
            <w:noWrap w:val="0"/>
            <w:vAlign w:val="center"/>
          </w:tcPr>
          <w:p w14:paraId="3508CFC6">
            <w:pPr>
              <w:spacing w:line="440" w:lineRule="exact"/>
              <w:textAlignment w:val="center"/>
              <w:rPr>
                <w:rFonts w:hint="eastAsia" w:ascii="宋体" w:hAnsi="宋体" w:eastAsia="宋体" w:cs="宋体"/>
                <w:sz w:val="22"/>
              </w:rPr>
            </w:pPr>
            <w:r>
              <w:rPr>
                <w:rFonts w:hint="eastAsia" w:ascii="宋体" w:hAnsi="宋体" w:eastAsia="宋体" w:cs="宋体"/>
                <w:sz w:val="22"/>
              </w:rPr>
              <w:t>8</w:t>
            </w:r>
          </w:p>
        </w:tc>
        <w:tc>
          <w:tcPr>
            <w:tcW w:w="1354" w:type="dxa"/>
            <w:noWrap w:val="0"/>
            <w:vAlign w:val="center"/>
          </w:tcPr>
          <w:p w14:paraId="068A4ECD">
            <w:pPr>
              <w:spacing w:line="440" w:lineRule="exact"/>
              <w:textAlignment w:val="center"/>
              <w:rPr>
                <w:rFonts w:hint="eastAsia" w:ascii="宋体" w:hAnsi="宋体" w:eastAsia="宋体" w:cs="宋体"/>
                <w:sz w:val="22"/>
              </w:rPr>
            </w:pPr>
            <w:r>
              <w:rPr>
                <w:rFonts w:hint="eastAsia" w:ascii="宋体" w:hAnsi="宋体" w:eastAsia="宋体" w:cs="宋体"/>
                <w:sz w:val="22"/>
              </w:rPr>
              <w:t>丸料自动补充器</w:t>
            </w:r>
          </w:p>
        </w:tc>
        <w:tc>
          <w:tcPr>
            <w:tcW w:w="1450" w:type="dxa"/>
            <w:noWrap w:val="0"/>
            <w:vAlign w:val="center"/>
          </w:tcPr>
          <w:p w14:paraId="27406EDF">
            <w:pPr>
              <w:spacing w:line="440" w:lineRule="exact"/>
              <w:textAlignment w:val="center"/>
              <w:rPr>
                <w:rFonts w:hint="default" w:ascii="宋体" w:hAnsi="宋体" w:eastAsia="宋体" w:cs="宋体"/>
                <w:sz w:val="22"/>
                <w:lang w:val="en-US" w:eastAsia="zh-CN"/>
              </w:rPr>
            </w:pPr>
            <w:r>
              <w:rPr>
                <w:rFonts w:hint="eastAsia" w:ascii="宋体" w:hAnsi="宋体" w:eastAsia="宋体" w:cs="宋体"/>
                <w:sz w:val="22"/>
                <w:lang w:val="en-US" w:eastAsia="zh-CN"/>
              </w:rPr>
              <w:t>个</w:t>
            </w:r>
          </w:p>
        </w:tc>
        <w:tc>
          <w:tcPr>
            <w:tcW w:w="5565" w:type="dxa"/>
            <w:noWrap w:val="0"/>
            <w:vAlign w:val="center"/>
          </w:tcPr>
          <w:p w14:paraId="20B05D3E">
            <w:pPr>
              <w:spacing w:line="440" w:lineRule="exact"/>
              <w:textAlignment w:val="center"/>
              <w:rPr>
                <w:rFonts w:hint="eastAsia" w:ascii="宋体" w:hAnsi="宋体" w:eastAsia="宋体" w:cs="宋体"/>
                <w:sz w:val="22"/>
              </w:rPr>
            </w:pPr>
            <w:r>
              <w:rPr>
                <w:rFonts w:hint="eastAsia" w:ascii="宋体" w:hAnsi="宋体" w:eastAsia="宋体" w:cs="宋体"/>
                <w:sz w:val="22"/>
              </w:rPr>
              <w:t>1)弹丸补充器安装在提升机的下侧部，配置料位计；</w:t>
            </w:r>
          </w:p>
          <w:p w14:paraId="450E0DF8">
            <w:pPr>
              <w:spacing w:line="440" w:lineRule="exact"/>
              <w:textAlignment w:val="center"/>
              <w:rPr>
                <w:rFonts w:hint="eastAsia" w:ascii="宋体" w:hAnsi="宋体" w:eastAsia="宋体" w:cs="宋体"/>
                <w:sz w:val="22"/>
              </w:rPr>
            </w:pPr>
            <w:r>
              <w:rPr>
                <w:rFonts w:hint="eastAsia" w:ascii="宋体" w:hAnsi="宋体" w:eastAsia="宋体" w:cs="宋体"/>
                <w:sz w:val="22"/>
              </w:rPr>
              <w:t>2)配置气动丸料闸阀；</w:t>
            </w:r>
          </w:p>
          <w:p w14:paraId="6BA9C3C7">
            <w:pPr>
              <w:spacing w:line="440" w:lineRule="exact"/>
              <w:textAlignment w:val="center"/>
              <w:rPr>
                <w:rFonts w:hint="eastAsia" w:ascii="宋体" w:hAnsi="宋体" w:eastAsia="宋体" w:cs="宋体"/>
                <w:sz w:val="22"/>
              </w:rPr>
            </w:pPr>
            <w:r>
              <w:rPr>
                <w:rFonts w:hint="eastAsia" w:ascii="宋体" w:hAnsi="宋体" w:eastAsia="宋体" w:cs="宋体"/>
                <w:sz w:val="22"/>
                <w:lang w:val="en-US" w:eastAsia="zh-CN"/>
              </w:rPr>
              <w:t>3)</w:t>
            </w:r>
            <w:r>
              <w:rPr>
                <w:rFonts w:hint="eastAsia" w:ascii="宋体" w:hAnsi="宋体" w:eastAsia="宋体" w:cs="宋体"/>
                <w:sz w:val="22"/>
              </w:rPr>
              <w:t>分离器料斗内的料位计监察循环系统中钢丸量，当需要补充弹丸时，自动补充器料斗下面的供丸闸打开，进行弹丸补充，避免因钢丸循环量不够，降低清理质量。</w:t>
            </w:r>
          </w:p>
        </w:tc>
      </w:tr>
      <w:tr w14:paraId="2BDEDA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44" w:type="dxa"/>
            <w:noWrap w:val="0"/>
            <w:vAlign w:val="center"/>
          </w:tcPr>
          <w:p w14:paraId="0AD60B79">
            <w:pPr>
              <w:spacing w:line="440" w:lineRule="exact"/>
              <w:textAlignment w:val="center"/>
              <w:rPr>
                <w:rFonts w:hint="eastAsia" w:ascii="宋体" w:hAnsi="宋体" w:eastAsia="宋体" w:cs="宋体"/>
                <w:sz w:val="22"/>
              </w:rPr>
            </w:pPr>
            <w:r>
              <w:rPr>
                <w:rFonts w:hint="eastAsia" w:ascii="宋体" w:hAnsi="宋体" w:eastAsia="宋体" w:cs="宋体"/>
                <w:sz w:val="22"/>
              </w:rPr>
              <w:t>9</w:t>
            </w:r>
          </w:p>
        </w:tc>
        <w:tc>
          <w:tcPr>
            <w:tcW w:w="1354" w:type="dxa"/>
            <w:noWrap w:val="0"/>
            <w:vAlign w:val="center"/>
          </w:tcPr>
          <w:p w14:paraId="03723302">
            <w:pPr>
              <w:spacing w:line="440" w:lineRule="exact"/>
              <w:textAlignment w:val="center"/>
              <w:rPr>
                <w:rFonts w:hint="eastAsia" w:ascii="宋体" w:hAnsi="宋体" w:eastAsia="宋体" w:cs="宋体"/>
                <w:sz w:val="22"/>
              </w:rPr>
            </w:pPr>
            <w:r>
              <w:rPr>
                <w:rFonts w:hint="eastAsia" w:ascii="宋体" w:hAnsi="宋体" w:eastAsia="宋体" w:cs="宋体"/>
                <w:sz w:val="22"/>
              </w:rPr>
              <w:t>自动门</w:t>
            </w:r>
          </w:p>
        </w:tc>
        <w:tc>
          <w:tcPr>
            <w:tcW w:w="1450" w:type="dxa"/>
            <w:noWrap w:val="0"/>
            <w:vAlign w:val="center"/>
          </w:tcPr>
          <w:p w14:paraId="7BCBDA61">
            <w:pPr>
              <w:spacing w:line="440" w:lineRule="exact"/>
              <w:textAlignment w:val="center"/>
              <w:rPr>
                <w:rFonts w:hint="eastAsia" w:ascii="宋体" w:hAnsi="宋体" w:eastAsia="宋体" w:cs="宋体"/>
                <w:sz w:val="22"/>
                <w:lang w:val="en-US" w:eastAsia="zh-CN"/>
              </w:rPr>
            </w:pPr>
            <w:r>
              <w:rPr>
                <w:rFonts w:hint="eastAsia" w:ascii="宋体" w:hAnsi="宋体" w:eastAsia="宋体" w:cs="宋体"/>
                <w:sz w:val="22"/>
                <w:lang w:val="en-US" w:eastAsia="zh-CN"/>
              </w:rPr>
              <w:t>套</w:t>
            </w:r>
          </w:p>
        </w:tc>
        <w:tc>
          <w:tcPr>
            <w:tcW w:w="5565" w:type="dxa"/>
            <w:noWrap w:val="0"/>
            <w:vAlign w:val="center"/>
          </w:tcPr>
          <w:p w14:paraId="62B504FB">
            <w:pPr>
              <w:spacing w:line="440" w:lineRule="exact"/>
              <w:textAlignment w:val="center"/>
              <w:rPr>
                <w:rFonts w:hint="eastAsia" w:ascii="宋体" w:hAnsi="宋体" w:eastAsia="宋体" w:cs="宋体"/>
                <w:color w:val="auto"/>
                <w:sz w:val="22"/>
              </w:rPr>
            </w:pPr>
            <w:r>
              <w:rPr>
                <w:rFonts w:hint="eastAsia" w:ascii="宋体" w:hAnsi="宋体" w:eastAsia="宋体" w:cs="宋体"/>
                <w:sz w:val="22"/>
              </w:rPr>
              <w:t>1)前、后</w:t>
            </w:r>
            <w:r>
              <w:rPr>
                <w:rFonts w:hint="eastAsia" w:ascii="宋体" w:hAnsi="宋体" w:eastAsia="宋体" w:cs="宋体"/>
                <w:sz w:val="22"/>
                <w:lang w:val="en-US" w:eastAsia="zh-CN"/>
              </w:rPr>
              <w:t>密封</w:t>
            </w:r>
            <w:r>
              <w:rPr>
                <w:rFonts w:hint="eastAsia" w:ascii="宋体" w:hAnsi="宋体" w:eastAsia="宋体" w:cs="宋体"/>
                <w:sz w:val="22"/>
              </w:rPr>
              <w:t>室与清丸室之间</w:t>
            </w:r>
            <w:r>
              <w:rPr>
                <w:rFonts w:hint="eastAsia" w:ascii="宋体" w:hAnsi="宋体" w:eastAsia="宋体" w:cs="宋体"/>
                <w:color w:val="auto"/>
                <w:sz w:val="22"/>
              </w:rPr>
              <w:t>、清丸室外端共设有3套对开门；</w:t>
            </w:r>
          </w:p>
          <w:p w14:paraId="5947C914">
            <w:pPr>
              <w:spacing w:line="440" w:lineRule="exact"/>
              <w:textAlignment w:val="center"/>
              <w:rPr>
                <w:rFonts w:hint="eastAsia" w:ascii="宋体" w:hAnsi="宋体" w:eastAsia="宋体" w:cs="宋体"/>
                <w:sz w:val="22"/>
              </w:rPr>
            </w:pPr>
            <w:r>
              <w:rPr>
                <w:rFonts w:hint="eastAsia" w:ascii="宋体" w:hAnsi="宋体" w:eastAsia="宋体" w:cs="宋体"/>
                <w:color w:val="auto"/>
                <w:sz w:val="22"/>
                <w:lang w:val="en-US" w:eastAsia="zh-CN"/>
              </w:rPr>
              <w:t>2）</w:t>
            </w:r>
            <w:r>
              <w:rPr>
                <w:rFonts w:hint="eastAsia" w:ascii="宋体" w:hAnsi="宋体" w:eastAsia="宋体" w:cs="宋体"/>
                <w:color w:val="auto"/>
                <w:sz w:val="22"/>
              </w:rPr>
              <w:t>配置工件自动检测装置</w:t>
            </w:r>
            <w:r>
              <w:rPr>
                <w:rFonts w:hint="eastAsia" w:ascii="宋体" w:hAnsi="宋体" w:eastAsia="宋体" w:cs="宋体"/>
                <w:sz w:val="22"/>
              </w:rPr>
              <w:t>，自动实现开、关门。</w:t>
            </w:r>
          </w:p>
        </w:tc>
      </w:tr>
      <w:tr w14:paraId="329CB0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44" w:type="dxa"/>
            <w:noWrap w:val="0"/>
            <w:vAlign w:val="center"/>
          </w:tcPr>
          <w:p w14:paraId="73545D05">
            <w:pPr>
              <w:spacing w:line="440" w:lineRule="exact"/>
              <w:textAlignment w:val="center"/>
              <w:rPr>
                <w:rFonts w:hint="eastAsia" w:ascii="宋体" w:hAnsi="宋体" w:eastAsia="宋体" w:cs="宋体"/>
                <w:sz w:val="22"/>
              </w:rPr>
            </w:pPr>
            <w:r>
              <w:rPr>
                <w:rFonts w:hint="eastAsia" w:ascii="宋体" w:hAnsi="宋体" w:eastAsia="宋体" w:cs="宋体"/>
                <w:sz w:val="22"/>
              </w:rPr>
              <w:t>10</w:t>
            </w:r>
          </w:p>
        </w:tc>
        <w:tc>
          <w:tcPr>
            <w:tcW w:w="1354" w:type="dxa"/>
            <w:noWrap w:val="0"/>
            <w:vAlign w:val="center"/>
          </w:tcPr>
          <w:p w14:paraId="2733D311">
            <w:pPr>
              <w:spacing w:line="440" w:lineRule="exact"/>
              <w:textAlignment w:val="center"/>
              <w:rPr>
                <w:rFonts w:hint="eastAsia" w:ascii="宋体" w:hAnsi="宋体" w:eastAsia="宋体" w:cs="宋体"/>
                <w:sz w:val="22"/>
              </w:rPr>
            </w:pPr>
            <w:r>
              <w:rPr>
                <w:rFonts w:hint="eastAsia" w:ascii="宋体" w:hAnsi="宋体" w:eastAsia="宋体" w:cs="宋体"/>
                <w:sz w:val="22"/>
              </w:rPr>
              <w:t>吊葫芦及吊杆</w:t>
            </w:r>
          </w:p>
        </w:tc>
        <w:tc>
          <w:tcPr>
            <w:tcW w:w="1450" w:type="dxa"/>
            <w:noWrap w:val="0"/>
            <w:vAlign w:val="center"/>
          </w:tcPr>
          <w:p w14:paraId="175C5DCC">
            <w:pPr>
              <w:spacing w:line="440" w:lineRule="exact"/>
              <w:textAlignment w:val="center"/>
              <w:rPr>
                <w:rFonts w:hint="eastAsia" w:ascii="宋体" w:hAnsi="宋体" w:eastAsia="宋体" w:cs="宋体"/>
                <w:sz w:val="22"/>
                <w:lang w:val="en-US" w:eastAsia="zh-CN"/>
              </w:rPr>
            </w:pPr>
            <w:r>
              <w:rPr>
                <w:rFonts w:hint="eastAsia" w:ascii="宋体" w:hAnsi="宋体" w:eastAsia="宋体" w:cs="宋体"/>
                <w:sz w:val="22"/>
                <w:lang w:val="en-US" w:eastAsia="zh-CN"/>
              </w:rPr>
              <w:t>组</w:t>
            </w:r>
          </w:p>
        </w:tc>
        <w:tc>
          <w:tcPr>
            <w:tcW w:w="5565" w:type="dxa"/>
            <w:noWrap w:val="0"/>
            <w:vAlign w:val="center"/>
          </w:tcPr>
          <w:p w14:paraId="2B64F236">
            <w:pPr>
              <w:numPr>
                <w:ilvl w:val="0"/>
                <w:numId w:val="17"/>
              </w:numPr>
              <w:spacing w:line="440" w:lineRule="exact"/>
              <w:textAlignment w:val="center"/>
              <w:rPr>
                <w:rFonts w:hint="eastAsia" w:ascii="宋体" w:hAnsi="宋体" w:eastAsia="宋体" w:cs="宋体"/>
                <w:sz w:val="22"/>
              </w:rPr>
            </w:pPr>
            <w:r>
              <w:rPr>
                <w:rFonts w:hint="eastAsia" w:ascii="宋体" w:hAnsi="宋体" w:eastAsia="宋体" w:cs="宋体"/>
                <w:sz w:val="22"/>
                <w:lang w:val="en-US" w:eastAsia="zh-CN"/>
              </w:rPr>
              <w:t>单套</w:t>
            </w:r>
            <w:r>
              <w:rPr>
                <w:rFonts w:hint="eastAsia" w:ascii="宋体" w:hAnsi="宋体" w:eastAsia="宋体" w:cs="宋体"/>
                <w:sz w:val="22"/>
              </w:rPr>
              <w:t>吊葫芦承载能力</w:t>
            </w:r>
            <w:r>
              <w:rPr>
                <w:rFonts w:hint="eastAsia" w:ascii="宋体" w:hAnsi="宋体" w:eastAsia="宋体" w:cs="宋体"/>
                <w:sz w:val="22"/>
                <w:lang w:val="en-US" w:eastAsia="zh-CN"/>
              </w:rPr>
              <w:t>≥10T</w:t>
            </w:r>
            <w:r>
              <w:rPr>
                <w:rFonts w:hint="eastAsia" w:ascii="宋体" w:hAnsi="宋体" w:eastAsia="宋体" w:cs="宋体"/>
                <w:sz w:val="22"/>
              </w:rPr>
              <w:t>、起升速度</w:t>
            </w:r>
            <w:r>
              <w:rPr>
                <w:rFonts w:hint="eastAsia" w:ascii="宋体" w:hAnsi="宋体" w:eastAsia="宋体" w:cs="宋体"/>
                <w:sz w:val="22"/>
                <w:lang w:val="en-US" w:eastAsia="zh-CN"/>
              </w:rPr>
              <w:t>≥3m/min</w:t>
            </w:r>
            <w:r>
              <w:rPr>
                <w:rFonts w:hint="eastAsia" w:ascii="宋体" w:hAnsi="宋体" w:eastAsia="宋体" w:cs="宋体"/>
                <w:sz w:val="22"/>
              </w:rPr>
              <w:t>、驱动</w:t>
            </w:r>
            <w:r>
              <w:rPr>
                <w:rFonts w:hint="eastAsia" w:ascii="宋体" w:hAnsi="宋体" w:eastAsia="宋体" w:cs="宋体"/>
                <w:sz w:val="22"/>
                <w:lang w:val="en-US" w:eastAsia="zh-CN"/>
              </w:rPr>
              <w:t>速度1-20m/min</w:t>
            </w:r>
            <w:r>
              <w:rPr>
                <w:rFonts w:hint="eastAsia" w:ascii="宋体" w:hAnsi="宋体" w:eastAsia="宋体" w:cs="宋体"/>
                <w:sz w:val="22"/>
              </w:rPr>
              <w:t>；</w:t>
            </w:r>
          </w:p>
          <w:p w14:paraId="2CB42893">
            <w:pPr>
              <w:spacing w:line="440" w:lineRule="exact"/>
              <w:textAlignment w:val="center"/>
              <w:rPr>
                <w:rFonts w:hint="eastAsia" w:ascii="宋体" w:hAnsi="宋体" w:eastAsia="宋体" w:cs="宋体"/>
                <w:sz w:val="22"/>
              </w:rPr>
            </w:pPr>
            <w:r>
              <w:rPr>
                <w:rFonts w:hint="eastAsia" w:ascii="宋体" w:hAnsi="宋体" w:eastAsia="宋体" w:cs="宋体"/>
                <w:sz w:val="22"/>
              </w:rPr>
              <w:t>2)吊葫芦组件应满足产品最大质量以及清丸时单侧吊葫芦的承载；</w:t>
            </w:r>
          </w:p>
          <w:p w14:paraId="77E7D9C1">
            <w:pPr>
              <w:spacing w:line="440" w:lineRule="exact"/>
              <w:textAlignment w:val="center"/>
              <w:rPr>
                <w:rFonts w:hint="eastAsia" w:ascii="宋体" w:hAnsi="宋体" w:eastAsia="宋体" w:cs="宋体"/>
                <w:sz w:val="22"/>
              </w:rPr>
            </w:pPr>
            <w:r>
              <w:rPr>
                <w:rFonts w:hint="eastAsia" w:ascii="宋体" w:hAnsi="宋体" w:eastAsia="宋体" w:cs="宋体"/>
                <w:sz w:val="22"/>
                <w:lang w:val="en-US" w:eastAsia="zh-CN"/>
              </w:rPr>
              <w:t>3</w:t>
            </w:r>
            <w:r>
              <w:rPr>
                <w:rFonts w:hint="eastAsia" w:ascii="宋体" w:hAnsi="宋体" w:eastAsia="宋体" w:cs="宋体"/>
                <w:sz w:val="22"/>
              </w:rPr>
              <w:t>)单组吊葫芦组件的两台吊葫芦的间距应满足在桁架直线及转弯处行走顺畅的要求；电动葫芦设有高低极限限位。</w:t>
            </w:r>
          </w:p>
          <w:p w14:paraId="38FF9044">
            <w:pPr>
              <w:spacing w:line="440" w:lineRule="exact"/>
              <w:textAlignment w:val="center"/>
              <w:rPr>
                <w:rFonts w:hint="eastAsia" w:ascii="宋体" w:hAnsi="宋体" w:eastAsia="宋体" w:cs="宋体"/>
                <w:sz w:val="22"/>
              </w:rPr>
            </w:pPr>
            <w:r>
              <w:rPr>
                <w:rFonts w:hint="eastAsia" w:ascii="宋体" w:hAnsi="宋体" w:eastAsia="宋体" w:cs="宋体"/>
                <w:sz w:val="22"/>
                <w:lang w:val="en-US" w:eastAsia="zh-CN"/>
              </w:rPr>
              <w:t>4</w:t>
            </w:r>
            <w:r>
              <w:rPr>
                <w:rFonts w:hint="eastAsia" w:ascii="宋体" w:hAnsi="宋体" w:eastAsia="宋体" w:cs="宋体"/>
                <w:sz w:val="22"/>
              </w:rPr>
              <w:t>)每组吊葫芦组件配置一条吊杆。</w:t>
            </w:r>
          </w:p>
          <w:p w14:paraId="7545A0A0">
            <w:pPr>
              <w:spacing w:line="440" w:lineRule="exact"/>
              <w:textAlignment w:val="center"/>
              <w:rPr>
                <w:rFonts w:hint="eastAsia" w:ascii="宋体" w:hAnsi="宋体" w:eastAsia="宋体" w:cs="宋体"/>
                <w:sz w:val="22"/>
              </w:rPr>
            </w:pPr>
            <w:r>
              <w:rPr>
                <w:rFonts w:hint="eastAsia" w:ascii="宋体" w:hAnsi="宋体" w:eastAsia="宋体" w:cs="宋体"/>
                <w:sz w:val="22"/>
                <w:lang w:val="en-US" w:eastAsia="zh-CN"/>
              </w:rPr>
              <w:t>5</w:t>
            </w:r>
            <w:r>
              <w:rPr>
                <w:rFonts w:hint="eastAsia" w:ascii="宋体" w:hAnsi="宋体" w:eastAsia="宋体" w:cs="宋体"/>
                <w:sz w:val="22"/>
              </w:rPr>
              <w:t>)吊杆本体及吊耳应满足产品最大质量以及清丸时单侧吊葫芦的承载；</w:t>
            </w:r>
          </w:p>
          <w:p w14:paraId="469E81A4">
            <w:pPr>
              <w:spacing w:line="440" w:lineRule="exact"/>
              <w:textAlignment w:val="center"/>
              <w:rPr>
                <w:rFonts w:hint="eastAsia" w:ascii="宋体" w:hAnsi="宋体" w:eastAsia="宋体" w:cs="宋体"/>
                <w:sz w:val="22"/>
              </w:rPr>
            </w:pPr>
            <w:r>
              <w:rPr>
                <w:rFonts w:hint="eastAsia" w:ascii="宋体" w:hAnsi="宋体" w:eastAsia="宋体" w:cs="宋体"/>
                <w:sz w:val="22"/>
                <w:lang w:val="en-US" w:eastAsia="zh-CN"/>
              </w:rPr>
              <w:t>6</w:t>
            </w:r>
            <w:r>
              <w:rPr>
                <w:rFonts w:hint="eastAsia" w:ascii="宋体" w:hAnsi="宋体" w:eastAsia="宋体" w:cs="宋体"/>
                <w:sz w:val="22"/>
              </w:rPr>
              <w:t>)吊杆应满足不同长度尺寸产品的吊拉定位；</w:t>
            </w:r>
          </w:p>
          <w:p w14:paraId="32B0B6E3">
            <w:pPr>
              <w:spacing w:line="440" w:lineRule="exact"/>
              <w:textAlignment w:val="center"/>
              <w:rPr>
                <w:rFonts w:hint="eastAsia" w:ascii="宋体" w:hAnsi="宋体" w:eastAsia="宋体" w:cs="宋体"/>
                <w:sz w:val="22"/>
              </w:rPr>
            </w:pPr>
            <w:r>
              <w:rPr>
                <w:rFonts w:hint="eastAsia" w:ascii="宋体" w:hAnsi="宋体" w:eastAsia="宋体" w:cs="宋体"/>
                <w:sz w:val="22"/>
                <w:lang w:val="en-US" w:eastAsia="zh-CN"/>
              </w:rPr>
              <w:t>7</w:t>
            </w:r>
            <w:r>
              <w:rPr>
                <w:rFonts w:hint="eastAsia" w:ascii="宋体" w:hAnsi="宋体" w:eastAsia="宋体" w:cs="宋体"/>
                <w:sz w:val="22"/>
              </w:rPr>
              <w:t>)电动葫芦及行走小车的供电及控制均采用单级滑触线方式，保证安全可靠，运行稳定，检修方便。</w:t>
            </w:r>
          </w:p>
        </w:tc>
      </w:tr>
      <w:tr w14:paraId="752D01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44" w:type="dxa"/>
            <w:noWrap w:val="0"/>
            <w:vAlign w:val="center"/>
          </w:tcPr>
          <w:p w14:paraId="2DD11751">
            <w:pPr>
              <w:spacing w:line="440" w:lineRule="exact"/>
              <w:textAlignment w:val="center"/>
              <w:rPr>
                <w:rFonts w:hint="eastAsia" w:ascii="宋体" w:hAnsi="宋体" w:eastAsia="宋体" w:cs="宋体"/>
                <w:sz w:val="22"/>
              </w:rPr>
            </w:pPr>
            <w:r>
              <w:rPr>
                <w:rFonts w:hint="eastAsia" w:ascii="宋体" w:hAnsi="宋体" w:eastAsia="宋体" w:cs="宋体"/>
                <w:sz w:val="22"/>
              </w:rPr>
              <w:t>11</w:t>
            </w:r>
          </w:p>
        </w:tc>
        <w:tc>
          <w:tcPr>
            <w:tcW w:w="1354" w:type="dxa"/>
            <w:noWrap w:val="0"/>
            <w:vAlign w:val="center"/>
          </w:tcPr>
          <w:p w14:paraId="6755AFE7">
            <w:pPr>
              <w:spacing w:line="440" w:lineRule="exact"/>
              <w:textAlignment w:val="center"/>
              <w:rPr>
                <w:rFonts w:hint="eastAsia" w:ascii="宋体" w:hAnsi="宋体" w:eastAsia="宋体" w:cs="宋体"/>
                <w:sz w:val="22"/>
              </w:rPr>
            </w:pPr>
            <w:r>
              <w:rPr>
                <w:rFonts w:hint="eastAsia" w:ascii="宋体" w:hAnsi="宋体" w:eastAsia="宋体" w:cs="宋体"/>
                <w:sz w:val="22"/>
              </w:rPr>
              <w:t>输送桁架（含维修平台）</w:t>
            </w:r>
          </w:p>
        </w:tc>
        <w:tc>
          <w:tcPr>
            <w:tcW w:w="1450" w:type="dxa"/>
            <w:noWrap w:val="0"/>
            <w:vAlign w:val="center"/>
          </w:tcPr>
          <w:p w14:paraId="54DF98DD">
            <w:pPr>
              <w:spacing w:line="440" w:lineRule="exact"/>
              <w:textAlignment w:val="center"/>
              <w:rPr>
                <w:rFonts w:hint="eastAsia" w:ascii="宋体" w:hAnsi="宋体" w:eastAsia="宋体" w:cs="宋体"/>
                <w:sz w:val="22"/>
                <w:lang w:val="en-US" w:eastAsia="zh-CN"/>
              </w:rPr>
            </w:pPr>
            <w:r>
              <w:rPr>
                <w:rFonts w:hint="eastAsia" w:ascii="宋体" w:hAnsi="宋体" w:eastAsia="宋体" w:cs="宋体"/>
                <w:sz w:val="22"/>
                <w:lang w:val="en-US" w:eastAsia="zh-CN"/>
              </w:rPr>
              <w:t>个</w:t>
            </w:r>
          </w:p>
        </w:tc>
        <w:tc>
          <w:tcPr>
            <w:tcW w:w="5565" w:type="dxa"/>
            <w:noWrap w:val="0"/>
            <w:vAlign w:val="center"/>
          </w:tcPr>
          <w:p w14:paraId="4E112366">
            <w:pPr>
              <w:spacing w:line="440" w:lineRule="exact"/>
              <w:textAlignment w:val="center"/>
              <w:rPr>
                <w:rFonts w:hint="eastAsia" w:ascii="宋体" w:hAnsi="宋体" w:eastAsia="宋体" w:cs="宋体"/>
                <w:sz w:val="22"/>
              </w:rPr>
            </w:pPr>
            <w:r>
              <w:rPr>
                <w:rFonts w:hint="eastAsia" w:ascii="宋体" w:hAnsi="宋体" w:eastAsia="宋体" w:cs="宋体"/>
                <w:sz w:val="22"/>
              </w:rPr>
              <w:t>1)输送桁架的环形导轨、横梁、立柱等应具备足够的刚性和强度，应满足全线挂载产品的吊葫芦组件安全、稳定运行的承载，</w:t>
            </w:r>
            <w:r>
              <w:rPr>
                <w:rFonts w:hint="eastAsia" w:ascii="宋体" w:hAnsi="宋体" w:eastAsia="宋体" w:cs="宋体"/>
                <w:color w:val="auto"/>
                <w:sz w:val="22"/>
              </w:rPr>
              <w:t>按20T设计</w:t>
            </w:r>
            <w:r>
              <w:rPr>
                <w:rFonts w:hint="eastAsia" w:ascii="宋体" w:hAnsi="宋体" w:eastAsia="宋体" w:cs="宋体"/>
                <w:sz w:val="22"/>
              </w:rPr>
              <w:t>；</w:t>
            </w:r>
          </w:p>
          <w:p w14:paraId="3BFCD651">
            <w:pPr>
              <w:spacing w:line="440" w:lineRule="exact"/>
              <w:textAlignment w:val="center"/>
              <w:rPr>
                <w:rFonts w:hint="eastAsia" w:ascii="宋体" w:hAnsi="宋体" w:eastAsia="宋体" w:cs="宋体"/>
                <w:sz w:val="22"/>
              </w:rPr>
            </w:pPr>
            <w:r>
              <w:rPr>
                <w:rFonts w:hint="eastAsia" w:ascii="宋体" w:hAnsi="宋体" w:eastAsia="宋体" w:cs="宋体"/>
                <w:sz w:val="22"/>
              </w:rPr>
              <w:t>2)合理设计环形导轨的转弯半径，减少吊葫芦行走小车的卡滞、快速磨损等问题；</w:t>
            </w:r>
          </w:p>
          <w:p w14:paraId="6B75272C">
            <w:pPr>
              <w:spacing w:line="440" w:lineRule="exact"/>
              <w:textAlignment w:val="center"/>
              <w:rPr>
                <w:rFonts w:hint="eastAsia" w:ascii="宋体" w:hAnsi="宋体" w:eastAsia="宋体" w:cs="宋体"/>
                <w:sz w:val="22"/>
              </w:rPr>
            </w:pPr>
            <w:r>
              <w:rPr>
                <w:rFonts w:hint="eastAsia" w:ascii="宋体" w:hAnsi="宋体" w:eastAsia="宋体" w:cs="宋体"/>
                <w:sz w:val="22"/>
                <w:lang w:val="en-US" w:eastAsia="zh-CN"/>
              </w:rPr>
              <w:t>3)</w:t>
            </w:r>
            <w:r>
              <w:rPr>
                <w:rFonts w:hint="eastAsia" w:ascii="宋体" w:hAnsi="宋体" w:eastAsia="宋体" w:cs="宋体"/>
                <w:sz w:val="22"/>
              </w:rPr>
              <w:t>输送桁架适当位置配置检修道岔及吊葫芦维修平台。1组吊葫芦维修时，不影响产线的正常运行。</w:t>
            </w:r>
          </w:p>
        </w:tc>
      </w:tr>
      <w:tr w14:paraId="681AB6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44" w:type="dxa"/>
            <w:noWrap w:val="0"/>
            <w:vAlign w:val="center"/>
          </w:tcPr>
          <w:p w14:paraId="06E5CA3C">
            <w:pPr>
              <w:spacing w:line="440" w:lineRule="exact"/>
              <w:textAlignment w:val="center"/>
              <w:rPr>
                <w:rFonts w:hint="eastAsia" w:ascii="宋体" w:hAnsi="宋体" w:eastAsia="宋体" w:cs="宋体"/>
                <w:sz w:val="22"/>
              </w:rPr>
            </w:pPr>
            <w:r>
              <w:rPr>
                <w:rFonts w:hint="eastAsia" w:ascii="宋体" w:hAnsi="宋体" w:eastAsia="宋体" w:cs="宋体"/>
                <w:sz w:val="22"/>
              </w:rPr>
              <w:t>12</w:t>
            </w:r>
          </w:p>
        </w:tc>
        <w:tc>
          <w:tcPr>
            <w:tcW w:w="1354" w:type="dxa"/>
            <w:noWrap w:val="0"/>
            <w:vAlign w:val="center"/>
          </w:tcPr>
          <w:p w14:paraId="7DC46B1C">
            <w:pPr>
              <w:spacing w:line="440" w:lineRule="exact"/>
              <w:textAlignment w:val="center"/>
              <w:rPr>
                <w:rFonts w:hint="eastAsia" w:ascii="宋体" w:hAnsi="宋体" w:eastAsia="宋体" w:cs="宋体"/>
                <w:sz w:val="22"/>
              </w:rPr>
            </w:pPr>
            <w:r>
              <w:rPr>
                <w:rFonts w:hint="eastAsia" w:ascii="宋体" w:hAnsi="宋体" w:eastAsia="宋体" w:cs="宋体"/>
                <w:sz w:val="22"/>
              </w:rPr>
              <w:t>电控系统</w:t>
            </w:r>
          </w:p>
        </w:tc>
        <w:tc>
          <w:tcPr>
            <w:tcW w:w="1450" w:type="dxa"/>
            <w:noWrap w:val="0"/>
            <w:vAlign w:val="center"/>
          </w:tcPr>
          <w:p w14:paraId="486B75C3">
            <w:pPr>
              <w:spacing w:line="440" w:lineRule="exact"/>
              <w:textAlignment w:val="center"/>
              <w:rPr>
                <w:rFonts w:hint="eastAsia" w:ascii="宋体" w:hAnsi="宋体" w:eastAsia="宋体" w:cs="宋体"/>
                <w:sz w:val="22"/>
              </w:rPr>
            </w:pPr>
          </w:p>
        </w:tc>
        <w:tc>
          <w:tcPr>
            <w:tcW w:w="5565" w:type="dxa"/>
            <w:noWrap w:val="0"/>
            <w:vAlign w:val="center"/>
          </w:tcPr>
          <w:p w14:paraId="57D4285D">
            <w:pPr>
              <w:spacing w:line="440" w:lineRule="exact"/>
              <w:textAlignment w:val="center"/>
              <w:rPr>
                <w:rFonts w:hint="eastAsia" w:ascii="宋体" w:hAnsi="宋体" w:eastAsia="宋体" w:cs="宋体"/>
                <w:sz w:val="22"/>
              </w:rPr>
            </w:pPr>
            <w:r>
              <w:rPr>
                <w:rFonts w:hint="eastAsia" w:ascii="宋体" w:hAnsi="宋体" w:eastAsia="宋体" w:cs="宋体"/>
                <w:sz w:val="22"/>
              </w:rPr>
              <w:t>1)采用PLC可编程控制器和触摸屏的操作方式（手动+自动两种模式）；</w:t>
            </w:r>
          </w:p>
          <w:p w14:paraId="3DBBC676">
            <w:pPr>
              <w:spacing w:line="440" w:lineRule="exact"/>
              <w:textAlignment w:val="center"/>
              <w:rPr>
                <w:rFonts w:hint="eastAsia" w:ascii="宋体" w:hAnsi="宋体" w:eastAsia="宋体" w:cs="宋体"/>
                <w:sz w:val="22"/>
              </w:rPr>
            </w:pPr>
            <w:r>
              <w:rPr>
                <w:rFonts w:hint="eastAsia" w:ascii="宋体" w:hAnsi="宋体" w:eastAsia="宋体" w:cs="宋体"/>
                <w:sz w:val="22"/>
              </w:rPr>
              <w:t>a正常运行状态下采用PLC、人机界面（即HMI）自动控制，设备各部件按预先编好的程序进行顺序运行；</w:t>
            </w:r>
          </w:p>
          <w:p w14:paraId="4F732784">
            <w:pPr>
              <w:spacing w:line="440" w:lineRule="exact"/>
              <w:textAlignment w:val="center"/>
              <w:rPr>
                <w:rFonts w:hint="eastAsia" w:ascii="宋体" w:hAnsi="宋体" w:eastAsia="宋体" w:cs="宋体"/>
                <w:sz w:val="22"/>
              </w:rPr>
            </w:pPr>
            <w:r>
              <w:rPr>
                <w:rFonts w:hint="eastAsia" w:ascii="宋体" w:hAnsi="宋体" w:eastAsia="宋体" w:cs="宋体"/>
                <w:sz w:val="22"/>
              </w:rPr>
              <w:t>b安装调试、单个或几类功能部件运行、部件维修试运转时采用手动控制。</w:t>
            </w:r>
          </w:p>
          <w:p w14:paraId="228CBBCD">
            <w:pPr>
              <w:spacing w:line="440" w:lineRule="exact"/>
              <w:textAlignment w:val="center"/>
              <w:rPr>
                <w:rFonts w:hint="eastAsia" w:ascii="宋体" w:hAnsi="宋体" w:eastAsia="宋体" w:cs="宋体"/>
                <w:sz w:val="22"/>
                <w:highlight w:val="none"/>
              </w:rPr>
            </w:pPr>
            <w:r>
              <w:rPr>
                <w:rFonts w:hint="eastAsia" w:ascii="宋体" w:hAnsi="宋体" w:eastAsia="宋体" w:cs="宋体"/>
                <w:sz w:val="22"/>
              </w:rPr>
              <w:t>c根据车箱高度设定几类通用工作模式，自动检测工件长度，检</w:t>
            </w:r>
            <w:r>
              <w:rPr>
                <w:rFonts w:hint="eastAsia" w:ascii="宋体" w:hAnsi="宋体" w:eastAsia="宋体" w:cs="宋体"/>
                <w:sz w:val="22"/>
                <w:highlight w:val="none"/>
              </w:rPr>
              <w:t>测工件进入主室体，选择相应工作模式开启相应的抛丸器参数、环链电动葫芦行走速度等。</w:t>
            </w:r>
          </w:p>
          <w:p w14:paraId="673BFB6F">
            <w:pPr>
              <w:spacing w:line="440" w:lineRule="exact"/>
              <w:textAlignment w:val="center"/>
              <w:rPr>
                <w:rFonts w:hint="eastAsia" w:ascii="宋体" w:hAnsi="宋体" w:eastAsia="宋体" w:cs="宋体"/>
                <w:sz w:val="22"/>
                <w:highlight w:val="none"/>
              </w:rPr>
            </w:pPr>
            <w:r>
              <w:rPr>
                <w:rFonts w:hint="eastAsia" w:ascii="宋体" w:hAnsi="宋体" w:eastAsia="宋体" w:cs="宋体"/>
                <w:sz w:val="22"/>
                <w:highlight w:val="none"/>
              </w:rPr>
              <w:t>d根据箱板厚度设定几类工作模式，输入板厚，开启相应的抛丸器参数 ；</w:t>
            </w:r>
          </w:p>
          <w:p w14:paraId="21D7BD82">
            <w:pPr>
              <w:spacing w:line="440" w:lineRule="exact"/>
              <w:textAlignment w:val="center"/>
              <w:rPr>
                <w:rFonts w:hint="eastAsia" w:ascii="宋体" w:hAnsi="宋体" w:eastAsia="宋体" w:cs="宋体"/>
                <w:sz w:val="22"/>
              </w:rPr>
            </w:pPr>
            <w:r>
              <w:rPr>
                <w:rFonts w:hint="eastAsia" w:ascii="宋体" w:hAnsi="宋体" w:eastAsia="宋体" w:cs="宋体"/>
                <w:sz w:val="22"/>
              </w:rPr>
              <w:t>e工件的头部进入抛射区时，供丸闸自动打开，开始抛丸清理作业，工件尾部离开抛射区后供丸闸自动关闭，停止抛丸清理作业，从而减少了由于空抛产生的护板及易损件磨损及能源浪费；</w:t>
            </w:r>
          </w:p>
          <w:p w14:paraId="4E7D1357">
            <w:pPr>
              <w:spacing w:line="440" w:lineRule="exact"/>
              <w:textAlignment w:val="center"/>
              <w:rPr>
                <w:rFonts w:hint="eastAsia" w:ascii="宋体" w:hAnsi="宋体" w:eastAsia="宋体" w:cs="宋体"/>
                <w:sz w:val="22"/>
              </w:rPr>
            </w:pPr>
            <w:r>
              <w:rPr>
                <w:rFonts w:hint="eastAsia" w:ascii="宋体" w:hAnsi="宋体" w:eastAsia="宋体" w:cs="宋体"/>
                <w:sz w:val="22"/>
              </w:rPr>
              <w:t>2)检修门与抛丸器互锁；</w:t>
            </w:r>
          </w:p>
          <w:p w14:paraId="6E45F217">
            <w:pPr>
              <w:spacing w:line="440" w:lineRule="exact"/>
              <w:textAlignment w:val="center"/>
              <w:rPr>
                <w:rFonts w:hint="eastAsia" w:ascii="宋体" w:hAnsi="宋体" w:eastAsia="宋体" w:cs="宋体"/>
                <w:sz w:val="22"/>
              </w:rPr>
            </w:pPr>
            <w:r>
              <w:rPr>
                <w:rFonts w:hint="eastAsia" w:ascii="宋体" w:hAnsi="宋体" w:eastAsia="宋体" w:cs="宋体"/>
                <w:sz w:val="22"/>
              </w:rPr>
              <w:t>3)整套系统设有过载、过流、故障保护装置。</w:t>
            </w:r>
          </w:p>
          <w:p w14:paraId="5ED6907A">
            <w:pPr>
              <w:spacing w:line="440" w:lineRule="exact"/>
              <w:textAlignment w:val="center"/>
              <w:rPr>
                <w:rFonts w:hint="eastAsia" w:ascii="宋体" w:hAnsi="宋体" w:eastAsia="宋体" w:cs="宋体"/>
                <w:sz w:val="22"/>
              </w:rPr>
            </w:pPr>
            <w:r>
              <w:rPr>
                <w:rFonts w:hint="eastAsia" w:ascii="宋体" w:hAnsi="宋体" w:eastAsia="宋体" w:cs="宋体"/>
                <w:sz w:val="22"/>
              </w:rPr>
              <w:t>4)电控柜设有工业空调</w:t>
            </w:r>
          </w:p>
          <w:p w14:paraId="44D23043">
            <w:pPr>
              <w:spacing w:line="440" w:lineRule="exact"/>
              <w:textAlignment w:val="center"/>
              <w:rPr>
                <w:rFonts w:hint="eastAsia" w:ascii="宋体" w:hAnsi="宋体" w:eastAsia="宋体" w:cs="宋体"/>
                <w:sz w:val="22"/>
              </w:rPr>
            </w:pPr>
            <w:r>
              <w:rPr>
                <w:rFonts w:hint="eastAsia" w:ascii="宋体" w:hAnsi="宋体" w:eastAsia="宋体" w:cs="宋体"/>
                <w:sz w:val="22"/>
              </w:rPr>
              <w:t>5)电控柜上安装有用于显示每个抛丸器及除尘风机等主要部件电流表；</w:t>
            </w:r>
          </w:p>
          <w:p w14:paraId="1E60CCA9">
            <w:pPr>
              <w:spacing w:line="440" w:lineRule="exact"/>
              <w:textAlignment w:val="center"/>
              <w:rPr>
                <w:rFonts w:hint="eastAsia" w:ascii="宋体" w:hAnsi="宋体" w:eastAsia="宋体" w:cs="宋体"/>
                <w:sz w:val="22"/>
              </w:rPr>
            </w:pPr>
            <w:r>
              <w:rPr>
                <w:rFonts w:hint="eastAsia" w:ascii="宋体" w:hAnsi="宋体" w:eastAsia="宋体" w:cs="宋体"/>
                <w:sz w:val="22"/>
              </w:rPr>
              <w:t>6)工控机实现工作的动态模拟，对整个生产线进行宏观观察和控制；数据采集，数据记录等功能。控制系统预留以太网口，能够实现设备间的通讯功能。</w:t>
            </w:r>
          </w:p>
          <w:p w14:paraId="3A87AE44">
            <w:pPr>
              <w:spacing w:line="440" w:lineRule="exact"/>
              <w:textAlignment w:val="center"/>
              <w:rPr>
                <w:rFonts w:hint="eastAsia" w:ascii="宋体" w:hAnsi="宋体" w:eastAsia="宋体" w:cs="宋体"/>
                <w:sz w:val="22"/>
              </w:rPr>
            </w:pPr>
            <w:r>
              <w:rPr>
                <w:rFonts w:hint="eastAsia" w:ascii="宋体" w:hAnsi="宋体" w:eastAsia="宋体" w:cs="宋体"/>
                <w:sz w:val="22"/>
              </w:rPr>
              <w:t>a动态显示、监控设备运行状态和故障情况，显示报警信息；</w:t>
            </w:r>
          </w:p>
          <w:p w14:paraId="4916BB7D">
            <w:pPr>
              <w:spacing w:line="440" w:lineRule="exact"/>
              <w:textAlignment w:val="center"/>
              <w:rPr>
                <w:rFonts w:hint="eastAsia" w:ascii="宋体" w:hAnsi="宋体" w:eastAsia="宋体" w:cs="宋体"/>
                <w:sz w:val="22"/>
                <w:highlight w:val="none"/>
              </w:rPr>
            </w:pPr>
            <w:r>
              <w:rPr>
                <w:rFonts w:hint="eastAsia" w:ascii="宋体" w:hAnsi="宋体" w:eastAsia="宋体" w:cs="宋体"/>
                <w:sz w:val="22"/>
              </w:rPr>
              <w:t>b设</w:t>
            </w:r>
            <w:r>
              <w:rPr>
                <w:rFonts w:hint="eastAsia" w:ascii="宋体" w:hAnsi="宋体" w:eastAsia="宋体" w:cs="宋体"/>
                <w:sz w:val="22"/>
                <w:highlight w:val="none"/>
              </w:rPr>
              <w:t>有时间监控程序；对设备的叶片、分丸轮、滤筒等易损部件进行监视，易损部件的使用时间人工设置；当使用时间达到设定的阈值，发出警告；</w:t>
            </w:r>
          </w:p>
          <w:p w14:paraId="065A5A8C">
            <w:pPr>
              <w:spacing w:line="440" w:lineRule="exact"/>
              <w:textAlignment w:val="center"/>
              <w:rPr>
                <w:rFonts w:hint="eastAsia" w:ascii="宋体" w:hAnsi="宋体" w:eastAsia="宋体" w:cs="宋体"/>
                <w:sz w:val="22"/>
              </w:rPr>
            </w:pPr>
            <w:r>
              <w:rPr>
                <w:rFonts w:hint="eastAsia" w:ascii="宋体" w:hAnsi="宋体" w:eastAsia="宋体" w:cs="宋体"/>
                <w:sz w:val="22"/>
              </w:rPr>
              <w:t>c记录抛丸时间、空运行时间、工作时间、抛丸工件数量，可输出统计表；</w:t>
            </w:r>
          </w:p>
          <w:p w14:paraId="3E8E1A4C">
            <w:pPr>
              <w:spacing w:line="440" w:lineRule="exact"/>
              <w:textAlignment w:val="center"/>
              <w:rPr>
                <w:rFonts w:hint="eastAsia" w:ascii="宋体" w:hAnsi="宋体" w:eastAsia="宋体" w:cs="宋体"/>
                <w:sz w:val="22"/>
              </w:rPr>
            </w:pPr>
            <w:r>
              <w:rPr>
                <w:rFonts w:hint="eastAsia" w:ascii="宋体" w:hAnsi="宋体" w:eastAsia="宋体" w:cs="宋体"/>
                <w:sz w:val="22"/>
              </w:rPr>
              <w:t>d监测记录设备的电能消耗，可输出统计表；</w:t>
            </w:r>
          </w:p>
          <w:p w14:paraId="362633F4">
            <w:pPr>
              <w:spacing w:line="440" w:lineRule="exact"/>
              <w:textAlignment w:val="center"/>
              <w:rPr>
                <w:rFonts w:hint="eastAsia" w:ascii="宋体" w:hAnsi="宋体" w:eastAsia="宋体" w:cs="宋体"/>
                <w:sz w:val="22"/>
              </w:rPr>
            </w:pPr>
            <w:r>
              <w:rPr>
                <w:rFonts w:hint="eastAsia" w:ascii="宋体" w:hAnsi="宋体" w:eastAsia="宋体" w:cs="宋体"/>
                <w:sz w:val="22"/>
              </w:rPr>
              <w:t>e操作系统有工件参数记忆功能，可保存和调用历史数据；</w:t>
            </w:r>
          </w:p>
          <w:p w14:paraId="174C2561">
            <w:pPr>
              <w:spacing w:line="440" w:lineRule="exact"/>
              <w:textAlignment w:val="center"/>
              <w:rPr>
                <w:rFonts w:hint="eastAsia" w:ascii="宋体" w:hAnsi="宋体" w:eastAsia="宋体" w:cs="宋体"/>
                <w:sz w:val="22"/>
              </w:rPr>
            </w:pPr>
            <w:r>
              <w:rPr>
                <w:rFonts w:hint="eastAsia" w:ascii="宋体" w:hAnsi="宋体" w:eastAsia="宋体" w:cs="宋体"/>
                <w:sz w:val="22"/>
              </w:rPr>
              <w:t>7)主抛室醒目位置安装柱状设备运行指示、声光报警灯。黄色：空闲；绿色：工作中；红色：故障报警。</w:t>
            </w:r>
          </w:p>
        </w:tc>
      </w:tr>
    </w:tbl>
    <w:p w14:paraId="08D9A5EB">
      <w:pPr>
        <w:pStyle w:val="52"/>
        <w:rPr>
          <w:rFonts w:hint="eastAsia"/>
        </w:rPr>
      </w:pPr>
    </w:p>
    <w:p w14:paraId="1CBA2735">
      <w:pPr>
        <w:keepNext/>
        <w:keepLines/>
        <w:spacing w:line="360" w:lineRule="auto"/>
        <w:ind w:firstLine="482" w:firstLineChars="200"/>
        <w:outlineLvl w:val="1"/>
        <w:rPr>
          <w:rFonts w:hint="eastAsia" w:ascii="宋体" w:hAnsi="宋体" w:eastAsia="宋体" w:cs="宋体"/>
          <w:b/>
          <w:bCs/>
          <w:sz w:val="24"/>
          <w:szCs w:val="32"/>
        </w:rPr>
      </w:pPr>
      <w:r>
        <w:rPr>
          <w:rFonts w:hint="eastAsia" w:ascii="宋体" w:hAnsi="宋体" w:eastAsia="宋体" w:cs="宋体"/>
          <w:b/>
          <w:bCs/>
          <w:sz w:val="24"/>
          <w:szCs w:val="32"/>
        </w:rPr>
        <w:t>2.</w:t>
      </w:r>
      <w:r>
        <w:rPr>
          <w:rFonts w:hint="eastAsia" w:ascii="宋体" w:hAnsi="宋体" w:eastAsia="宋体" w:cs="宋体"/>
          <w:b/>
          <w:bCs/>
          <w:sz w:val="24"/>
          <w:szCs w:val="32"/>
          <w:lang w:val="en-US" w:eastAsia="zh-CN"/>
        </w:rPr>
        <w:t>2</w:t>
      </w:r>
      <w:r>
        <w:rPr>
          <w:rFonts w:hint="eastAsia" w:ascii="宋体" w:hAnsi="宋体" w:eastAsia="宋体" w:cs="宋体"/>
          <w:b/>
          <w:bCs/>
          <w:sz w:val="24"/>
          <w:szCs w:val="32"/>
        </w:rPr>
        <w:t xml:space="preserve">环保系统主要参数表 </w:t>
      </w:r>
    </w:p>
    <w:tbl>
      <w:tblPr>
        <w:tblStyle w:val="4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6"/>
        <w:gridCol w:w="3301"/>
        <w:gridCol w:w="4912"/>
      </w:tblGrid>
      <w:tr w14:paraId="18682A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826" w:type="dxa"/>
            <w:vMerge w:val="restart"/>
            <w:noWrap w:val="0"/>
            <w:vAlign w:val="center"/>
          </w:tcPr>
          <w:p w14:paraId="09E09210">
            <w:pPr>
              <w:spacing w:line="440" w:lineRule="exact"/>
              <w:jc w:val="left"/>
              <w:rPr>
                <w:rFonts w:hint="eastAsia" w:ascii="宋体" w:hAnsi="宋体" w:eastAsia="宋体" w:cs="宋体"/>
                <w:b/>
                <w:bCs/>
                <w:sz w:val="24"/>
              </w:rPr>
            </w:pPr>
            <w:r>
              <w:rPr>
                <w:rFonts w:hint="eastAsia" w:ascii="宋体" w:hAnsi="宋体" w:eastAsia="宋体" w:cs="宋体"/>
                <w:b/>
                <w:bCs/>
                <w:sz w:val="24"/>
              </w:rPr>
              <w:t>序号</w:t>
            </w:r>
          </w:p>
        </w:tc>
        <w:tc>
          <w:tcPr>
            <w:tcW w:w="3301" w:type="dxa"/>
            <w:vMerge w:val="restart"/>
            <w:noWrap w:val="0"/>
            <w:vAlign w:val="center"/>
          </w:tcPr>
          <w:p w14:paraId="6C21AD0B">
            <w:pPr>
              <w:spacing w:line="440" w:lineRule="exact"/>
              <w:jc w:val="left"/>
              <w:rPr>
                <w:rFonts w:hint="eastAsia" w:ascii="宋体" w:hAnsi="宋体" w:eastAsia="宋体" w:cs="宋体"/>
                <w:b/>
                <w:bCs/>
                <w:sz w:val="24"/>
              </w:rPr>
            </w:pPr>
            <w:r>
              <w:rPr>
                <w:rFonts w:hint="eastAsia" w:ascii="宋体" w:hAnsi="宋体" w:eastAsia="宋体" w:cs="宋体"/>
                <w:b/>
                <w:bCs/>
                <w:sz w:val="24"/>
              </w:rPr>
              <w:t>项  目</w:t>
            </w:r>
          </w:p>
        </w:tc>
        <w:tc>
          <w:tcPr>
            <w:tcW w:w="4912" w:type="dxa"/>
            <w:vMerge w:val="restart"/>
            <w:noWrap w:val="0"/>
            <w:vAlign w:val="center"/>
          </w:tcPr>
          <w:p w14:paraId="2C77EE02">
            <w:pPr>
              <w:spacing w:line="440" w:lineRule="exact"/>
              <w:jc w:val="left"/>
              <w:rPr>
                <w:rFonts w:hint="eastAsia" w:ascii="宋体" w:hAnsi="宋体" w:eastAsia="宋体" w:cs="宋体"/>
                <w:b/>
                <w:bCs/>
                <w:sz w:val="24"/>
              </w:rPr>
            </w:pPr>
            <w:r>
              <w:rPr>
                <w:rFonts w:hint="eastAsia" w:ascii="宋体" w:hAnsi="宋体" w:eastAsia="宋体" w:cs="宋体"/>
                <w:b/>
                <w:bCs/>
                <w:sz w:val="24"/>
              </w:rPr>
              <w:t>具体参数</w:t>
            </w:r>
          </w:p>
        </w:tc>
      </w:tr>
      <w:tr w14:paraId="2FAF47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826" w:type="dxa"/>
            <w:vMerge w:val="continue"/>
            <w:noWrap w:val="0"/>
            <w:vAlign w:val="center"/>
          </w:tcPr>
          <w:p w14:paraId="10621A86">
            <w:pPr>
              <w:spacing w:line="240" w:lineRule="exact"/>
              <w:jc w:val="center"/>
              <w:rPr>
                <w:rFonts w:ascii="华文仿宋" w:hAnsi="华文仿宋" w:eastAsia="华文仿宋" w:cs="宋体"/>
                <w:color w:val="000000"/>
                <w:kern w:val="0"/>
                <w:sz w:val="22"/>
                <w:szCs w:val="22"/>
                <w:lang w:bidi="ar"/>
              </w:rPr>
            </w:pPr>
          </w:p>
        </w:tc>
        <w:tc>
          <w:tcPr>
            <w:tcW w:w="3301" w:type="dxa"/>
            <w:vMerge w:val="continue"/>
            <w:noWrap w:val="0"/>
            <w:vAlign w:val="center"/>
          </w:tcPr>
          <w:p w14:paraId="65E08412">
            <w:pPr>
              <w:spacing w:line="240" w:lineRule="exact"/>
              <w:jc w:val="center"/>
              <w:rPr>
                <w:rFonts w:ascii="华文仿宋" w:hAnsi="华文仿宋" w:eastAsia="华文仿宋" w:cs="宋体"/>
                <w:color w:val="000000"/>
                <w:kern w:val="0"/>
                <w:sz w:val="22"/>
                <w:szCs w:val="22"/>
                <w:lang w:bidi="ar"/>
              </w:rPr>
            </w:pPr>
          </w:p>
        </w:tc>
        <w:tc>
          <w:tcPr>
            <w:tcW w:w="4912" w:type="dxa"/>
            <w:vMerge w:val="continue"/>
            <w:noWrap w:val="0"/>
            <w:vAlign w:val="center"/>
          </w:tcPr>
          <w:p w14:paraId="7E4F632A">
            <w:pPr>
              <w:spacing w:line="240" w:lineRule="exact"/>
              <w:jc w:val="center"/>
              <w:rPr>
                <w:rFonts w:ascii="华文仿宋" w:hAnsi="华文仿宋" w:eastAsia="华文仿宋" w:cs="宋体"/>
                <w:color w:val="000000"/>
                <w:kern w:val="0"/>
                <w:sz w:val="22"/>
                <w:szCs w:val="22"/>
                <w:lang w:bidi="ar"/>
              </w:rPr>
            </w:pPr>
          </w:p>
        </w:tc>
      </w:tr>
      <w:tr w14:paraId="5802F7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9" w:hRule="atLeast"/>
          <w:jc w:val="center"/>
        </w:trPr>
        <w:tc>
          <w:tcPr>
            <w:tcW w:w="826" w:type="dxa"/>
            <w:noWrap w:val="0"/>
            <w:vAlign w:val="center"/>
          </w:tcPr>
          <w:p w14:paraId="40DF9C21">
            <w:pPr>
              <w:spacing w:line="440" w:lineRule="exact"/>
              <w:textAlignment w:val="center"/>
              <w:rPr>
                <w:rFonts w:hint="eastAsia" w:ascii="宋体" w:hAnsi="宋体" w:eastAsia="宋体" w:cs="宋体"/>
                <w:sz w:val="22"/>
              </w:rPr>
            </w:pPr>
            <w:r>
              <w:rPr>
                <w:rFonts w:hint="eastAsia" w:ascii="宋体" w:hAnsi="宋体" w:eastAsia="宋体" w:cs="宋体"/>
                <w:sz w:val="22"/>
              </w:rPr>
              <w:t>1</w:t>
            </w:r>
          </w:p>
        </w:tc>
        <w:tc>
          <w:tcPr>
            <w:tcW w:w="3301" w:type="dxa"/>
            <w:noWrap w:val="0"/>
            <w:vAlign w:val="center"/>
          </w:tcPr>
          <w:p w14:paraId="4BAEFDDD">
            <w:pPr>
              <w:spacing w:line="440" w:lineRule="exact"/>
              <w:textAlignment w:val="center"/>
              <w:rPr>
                <w:rFonts w:hint="eastAsia" w:ascii="宋体" w:hAnsi="宋体" w:eastAsia="宋体" w:cs="宋体"/>
                <w:sz w:val="22"/>
              </w:rPr>
            </w:pPr>
            <w:r>
              <w:rPr>
                <w:rFonts w:hint="eastAsia" w:ascii="宋体" w:hAnsi="宋体" w:eastAsia="宋体" w:cs="宋体"/>
                <w:sz w:val="22"/>
              </w:rPr>
              <w:t>除尘能力</w:t>
            </w:r>
          </w:p>
        </w:tc>
        <w:tc>
          <w:tcPr>
            <w:tcW w:w="4912" w:type="dxa"/>
            <w:noWrap w:val="0"/>
            <w:vAlign w:val="center"/>
          </w:tcPr>
          <w:p w14:paraId="45D72EC1">
            <w:pPr>
              <w:spacing w:line="440" w:lineRule="exact"/>
              <w:textAlignment w:val="center"/>
              <w:rPr>
                <w:rFonts w:hint="eastAsia" w:ascii="宋体" w:hAnsi="宋体" w:eastAsia="宋体" w:cs="宋体"/>
                <w:sz w:val="22"/>
              </w:rPr>
            </w:pPr>
            <w:r>
              <w:rPr>
                <w:rFonts w:hint="eastAsia" w:ascii="宋体" w:hAnsi="宋体" w:eastAsia="宋体" w:cs="宋体"/>
                <w:sz w:val="22"/>
              </w:rPr>
              <w:t xml:space="preserve">1)粉尘排尘浓度:≤10 mg/m3; </w:t>
            </w:r>
          </w:p>
          <w:p w14:paraId="574D8454">
            <w:pPr>
              <w:spacing w:line="440" w:lineRule="exact"/>
              <w:textAlignment w:val="center"/>
              <w:rPr>
                <w:rFonts w:hint="eastAsia" w:ascii="宋体" w:hAnsi="宋体" w:eastAsia="宋体" w:cs="宋体"/>
                <w:sz w:val="22"/>
              </w:rPr>
            </w:pPr>
            <w:r>
              <w:rPr>
                <w:rFonts w:hint="eastAsia" w:ascii="宋体" w:hAnsi="宋体" w:eastAsia="宋体" w:cs="宋体"/>
                <w:sz w:val="22"/>
              </w:rPr>
              <w:t>2)除尘效率：≥99.5%；</w:t>
            </w:r>
          </w:p>
          <w:p w14:paraId="46E9623F">
            <w:pPr>
              <w:spacing w:line="440" w:lineRule="exact"/>
              <w:textAlignment w:val="center"/>
              <w:rPr>
                <w:rFonts w:hint="default" w:ascii="宋体" w:hAnsi="宋体" w:eastAsia="宋体" w:cs="宋体"/>
                <w:sz w:val="22"/>
                <w:lang w:val="en-US" w:eastAsia="zh-CN"/>
              </w:rPr>
            </w:pPr>
            <w:r>
              <w:rPr>
                <w:rFonts w:hint="eastAsia" w:ascii="宋体" w:hAnsi="宋体" w:eastAsia="宋体" w:cs="宋体"/>
                <w:sz w:val="22"/>
                <w:lang w:val="en-US" w:eastAsia="zh-CN"/>
              </w:rPr>
              <w:t>3)</w:t>
            </w:r>
            <w:r>
              <w:rPr>
                <w:rFonts w:hint="eastAsia" w:ascii="宋体" w:hAnsi="宋体" w:eastAsia="宋体" w:cs="宋体"/>
                <w:sz w:val="22"/>
              </w:rPr>
              <w:t>整机噪音：≤85 dB</w:t>
            </w:r>
            <w:r>
              <w:rPr>
                <w:rFonts w:hint="eastAsia" w:ascii="宋体" w:hAnsi="宋体" w:eastAsia="宋体" w:cs="宋体"/>
                <w:sz w:val="22"/>
                <w:lang w:eastAsia="zh-CN"/>
              </w:rPr>
              <w:t>；</w:t>
            </w:r>
          </w:p>
        </w:tc>
      </w:tr>
      <w:tr w14:paraId="605E6F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33" w:hRule="atLeast"/>
          <w:jc w:val="center"/>
        </w:trPr>
        <w:tc>
          <w:tcPr>
            <w:tcW w:w="826" w:type="dxa"/>
            <w:noWrap w:val="0"/>
            <w:vAlign w:val="center"/>
          </w:tcPr>
          <w:p w14:paraId="2FA579C7">
            <w:pPr>
              <w:spacing w:line="440" w:lineRule="exact"/>
              <w:textAlignment w:val="center"/>
              <w:rPr>
                <w:rFonts w:hint="eastAsia" w:ascii="宋体" w:hAnsi="宋体" w:eastAsia="宋体" w:cs="宋体"/>
                <w:sz w:val="22"/>
              </w:rPr>
            </w:pPr>
            <w:r>
              <w:rPr>
                <w:rFonts w:hint="eastAsia" w:ascii="宋体" w:hAnsi="宋体" w:eastAsia="宋体" w:cs="宋体"/>
                <w:sz w:val="22"/>
              </w:rPr>
              <w:t>2</w:t>
            </w:r>
          </w:p>
        </w:tc>
        <w:tc>
          <w:tcPr>
            <w:tcW w:w="3301" w:type="dxa"/>
            <w:noWrap w:val="0"/>
            <w:vAlign w:val="center"/>
          </w:tcPr>
          <w:p w14:paraId="6361A895">
            <w:pPr>
              <w:spacing w:line="440" w:lineRule="exact"/>
              <w:textAlignment w:val="center"/>
              <w:rPr>
                <w:rFonts w:hint="eastAsia" w:ascii="宋体" w:hAnsi="宋体" w:eastAsia="宋体" w:cs="宋体"/>
                <w:sz w:val="22"/>
              </w:rPr>
            </w:pPr>
            <w:r>
              <w:rPr>
                <w:rFonts w:hint="eastAsia" w:ascii="宋体" w:hAnsi="宋体" w:eastAsia="宋体" w:cs="宋体"/>
                <w:sz w:val="22"/>
              </w:rPr>
              <w:t>除尘装置</w:t>
            </w:r>
          </w:p>
        </w:tc>
        <w:tc>
          <w:tcPr>
            <w:tcW w:w="4912" w:type="dxa"/>
            <w:noWrap w:val="0"/>
            <w:vAlign w:val="center"/>
          </w:tcPr>
          <w:p w14:paraId="25CD12C9">
            <w:pPr>
              <w:spacing w:line="440" w:lineRule="exact"/>
              <w:textAlignment w:val="center"/>
              <w:rPr>
                <w:rFonts w:hint="eastAsia" w:ascii="宋体" w:hAnsi="宋体" w:eastAsia="宋体" w:cs="宋体"/>
                <w:sz w:val="22"/>
              </w:rPr>
            </w:pPr>
            <w:r>
              <w:rPr>
                <w:rFonts w:hint="eastAsia" w:ascii="宋体" w:hAnsi="宋体" w:eastAsia="宋体" w:cs="宋体"/>
                <w:sz w:val="22"/>
              </w:rPr>
              <w:t>1)沉降集丸器+大旋风式除尘器+脉冲反吹式滤筒除尘器三级除尘系统；</w:t>
            </w:r>
          </w:p>
          <w:p w14:paraId="7DBA7110">
            <w:pPr>
              <w:spacing w:line="440" w:lineRule="exact"/>
              <w:textAlignment w:val="center"/>
              <w:rPr>
                <w:rFonts w:hint="eastAsia" w:ascii="宋体" w:hAnsi="宋体" w:eastAsia="宋体" w:cs="宋体"/>
                <w:sz w:val="22"/>
              </w:rPr>
            </w:pPr>
            <w:r>
              <w:rPr>
                <w:rFonts w:hint="eastAsia" w:ascii="宋体" w:hAnsi="宋体" w:eastAsia="宋体" w:cs="宋体"/>
                <w:sz w:val="22"/>
              </w:rPr>
              <w:t>2)根据产线布置，处理总风量</w:t>
            </w:r>
            <w:r>
              <w:rPr>
                <w:rFonts w:hint="eastAsia" w:ascii="宋体" w:hAnsi="宋体" w:eastAsia="宋体" w:cs="宋体"/>
                <w:sz w:val="22"/>
                <w:lang w:val="en-US" w:eastAsia="zh-CN"/>
              </w:rPr>
              <w:t>量≥80000m³/h</w:t>
            </w:r>
            <w:r>
              <w:rPr>
                <w:rFonts w:hint="eastAsia" w:ascii="宋体" w:hAnsi="宋体" w:eastAsia="宋体" w:cs="宋体"/>
                <w:sz w:val="22"/>
              </w:rPr>
              <w:t>、</w:t>
            </w:r>
            <w:r>
              <w:rPr>
                <w:rFonts w:hint="eastAsia" w:ascii="宋体" w:hAnsi="宋体" w:eastAsia="宋体" w:cs="宋体"/>
                <w:sz w:val="22"/>
                <w:lang w:val="en-US" w:eastAsia="zh-CN"/>
              </w:rPr>
              <w:t>总</w:t>
            </w:r>
            <w:r>
              <w:rPr>
                <w:rFonts w:hint="eastAsia" w:ascii="宋体" w:hAnsi="宋体" w:eastAsia="宋体" w:cs="宋体"/>
                <w:sz w:val="22"/>
              </w:rPr>
              <w:t>过滤面积</w:t>
            </w:r>
            <w:r>
              <w:rPr>
                <w:rFonts w:hint="eastAsia" w:ascii="宋体" w:hAnsi="宋体" w:eastAsia="宋体" w:cs="宋体"/>
                <w:sz w:val="22"/>
                <w:lang w:val="en-US" w:eastAsia="zh-CN"/>
              </w:rPr>
              <w:t>不低于1300㎡</w:t>
            </w:r>
            <w:r>
              <w:rPr>
                <w:rFonts w:hint="eastAsia" w:ascii="宋体" w:hAnsi="宋体" w:eastAsia="宋体" w:cs="宋体"/>
                <w:sz w:val="22"/>
              </w:rPr>
              <w:t>；</w:t>
            </w:r>
          </w:p>
          <w:p w14:paraId="4EB89C58">
            <w:pPr>
              <w:spacing w:line="440" w:lineRule="exact"/>
              <w:textAlignment w:val="center"/>
              <w:rPr>
                <w:rFonts w:hint="eastAsia" w:ascii="宋体" w:hAnsi="宋体" w:eastAsia="宋体" w:cs="宋体"/>
                <w:sz w:val="22"/>
              </w:rPr>
            </w:pPr>
            <w:r>
              <w:rPr>
                <w:rFonts w:hint="eastAsia" w:ascii="宋体" w:hAnsi="宋体" w:eastAsia="宋体" w:cs="宋体"/>
                <w:sz w:val="22"/>
              </w:rPr>
              <w:t>3)设有温度监测装置和二氧化碳灭火装置。除尘器箱体内温度达到70℃时，设备自动报警，自动顺序停机; 温度达到90℃时，二氧化碳灭火装置阀门自动打开，向箱体内喷二氧化碳气体灭火。</w:t>
            </w:r>
          </w:p>
          <w:p w14:paraId="5574CAE6">
            <w:pPr>
              <w:spacing w:line="440" w:lineRule="exact"/>
              <w:textAlignment w:val="center"/>
              <w:rPr>
                <w:rFonts w:hint="eastAsia" w:ascii="宋体" w:hAnsi="宋体" w:eastAsia="宋体" w:cs="宋体"/>
                <w:sz w:val="22"/>
              </w:rPr>
            </w:pPr>
            <w:r>
              <w:rPr>
                <w:rFonts w:hint="eastAsia" w:ascii="宋体" w:hAnsi="宋体" w:eastAsia="宋体" w:cs="宋体"/>
                <w:sz w:val="22"/>
                <w:lang w:val="en-US" w:eastAsia="zh-CN"/>
              </w:rPr>
              <w:t>4）</w:t>
            </w:r>
            <w:r>
              <w:rPr>
                <w:rFonts w:hint="eastAsia" w:ascii="宋体" w:hAnsi="宋体" w:eastAsia="宋体" w:cs="宋体"/>
                <w:sz w:val="22"/>
              </w:rPr>
              <w:t>过滤系统配备压差控制系统，提醒过滤材料及时更换。</w:t>
            </w:r>
          </w:p>
        </w:tc>
      </w:tr>
      <w:tr w14:paraId="3574F8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01" w:hRule="atLeast"/>
          <w:jc w:val="center"/>
        </w:trPr>
        <w:tc>
          <w:tcPr>
            <w:tcW w:w="826" w:type="dxa"/>
            <w:noWrap w:val="0"/>
            <w:vAlign w:val="center"/>
          </w:tcPr>
          <w:p w14:paraId="69A297CC">
            <w:pPr>
              <w:spacing w:line="440" w:lineRule="exact"/>
              <w:textAlignment w:val="center"/>
              <w:rPr>
                <w:rFonts w:hint="eastAsia" w:ascii="宋体" w:hAnsi="宋体" w:eastAsia="宋体" w:cs="宋体"/>
                <w:sz w:val="22"/>
              </w:rPr>
            </w:pPr>
            <w:r>
              <w:rPr>
                <w:rFonts w:hint="eastAsia" w:ascii="宋体" w:hAnsi="宋体" w:eastAsia="宋体" w:cs="宋体"/>
                <w:sz w:val="22"/>
              </w:rPr>
              <w:t>3</w:t>
            </w:r>
          </w:p>
        </w:tc>
        <w:tc>
          <w:tcPr>
            <w:tcW w:w="3301" w:type="dxa"/>
            <w:noWrap w:val="0"/>
            <w:vAlign w:val="center"/>
          </w:tcPr>
          <w:p w14:paraId="2EBA7028">
            <w:pPr>
              <w:spacing w:line="440" w:lineRule="exact"/>
              <w:textAlignment w:val="center"/>
              <w:rPr>
                <w:rFonts w:hint="eastAsia" w:ascii="宋体" w:hAnsi="宋体" w:eastAsia="宋体" w:cs="宋体"/>
                <w:sz w:val="22"/>
              </w:rPr>
            </w:pPr>
            <w:r>
              <w:rPr>
                <w:rFonts w:hint="eastAsia" w:ascii="宋体" w:hAnsi="宋体" w:eastAsia="宋体" w:cs="宋体"/>
                <w:sz w:val="22"/>
              </w:rPr>
              <w:t>排放方式</w:t>
            </w:r>
          </w:p>
        </w:tc>
        <w:tc>
          <w:tcPr>
            <w:tcW w:w="4912" w:type="dxa"/>
            <w:noWrap w:val="0"/>
            <w:vAlign w:val="top"/>
          </w:tcPr>
          <w:p w14:paraId="4037A47D">
            <w:pPr>
              <w:spacing w:line="440" w:lineRule="exact"/>
              <w:textAlignment w:val="center"/>
              <w:rPr>
                <w:rFonts w:hint="eastAsia" w:ascii="宋体" w:hAnsi="宋体" w:eastAsia="宋体" w:cs="宋体"/>
                <w:sz w:val="22"/>
              </w:rPr>
            </w:pPr>
            <w:r>
              <w:rPr>
                <w:rFonts w:hint="eastAsia" w:ascii="宋体" w:hAnsi="宋体" w:eastAsia="宋体" w:cs="宋体"/>
                <w:sz w:val="22"/>
              </w:rPr>
              <w:t>1)烟囱高空排放（高度≥15米）</w:t>
            </w:r>
            <w:r>
              <w:rPr>
                <w:rFonts w:hint="eastAsia" w:ascii="宋体" w:hAnsi="宋体" w:eastAsia="宋体" w:cs="宋体"/>
                <w:sz w:val="22"/>
                <w:lang w:eastAsia="zh-CN"/>
              </w:rPr>
              <w:t>，由北三跨东北角出厂房屋顶，达标室外排放。</w:t>
            </w:r>
            <w:r>
              <w:rPr>
                <w:rFonts w:hint="eastAsia" w:ascii="宋体" w:hAnsi="宋体" w:eastAsia="宋体" w:cs="宋体"/>
                <w:sz w:val="22"/>
              </w:rPr>
              <w:t>；</w:t>
            </w:r>
          </w:p>
          <w:p w14:paraId="69DEBAF7">
            <w:pPr>
              <w:spacing w:line="440" w:lineRule="exact"/>
              <w:textAlignment w:val="center"/>
              <w:rPr>
                <w:rFonts w:hint="eastAsia" w:ascii="宋体" w:hAnsi="宋体" w:eastAsia="宋体" w:cs="宋体"/>
                <w:sz w:val="22"/>
              </w:rPr>
            </w:pPr>
            <w:r>
              <w:rPr>
                <w:rFonts w:hint="eastAsia" w:ascii="宋体" w:hAnsi="宋体" w:eastAsia="宋体" w:cs="宋体"/>
                <w:sz w:val="22"/>
              </w:rPr>
              <w:t>2)配备符合要求的爬梯（折叠式爬梯）、检测平台及检测口；</w:t>
            </w:r>
          </w:p>
          <w:p w14:paraId="6E8788F5">
            <w:pPr>
              <w:spacing w:line="440" w:lineRule="exact"/>
              <w:textAlignment w:val="center"/>
              <w:rPr>
                <w:rFonts w:hint="eastAsia" w:ascii="宋体" w:hAnsi="宋体" w:eastAsia="宋体" w:cs="宋体"/>
                <w:sz w:val="22"/>
              </w:rPr>
            </w:pPr>
            <w:r>
              <w:rPr>
                <w:rFonts w:hint="eastAsia" w:ascii="宋体" w:hAnsi="宋体" w:eastAsia="宋体" w:cs="宋体"/>
                <w:sz w:val="22"/>
                <w:lang w:val="en-US" w:eastAsia="zh-CN"/>
              </w:rPr>
              <w:t>3)</w:t>
            </w:r>
            <w:r>
              <w:rPr>
                <w:rFonts w:hint="eastAsia" w:ascii="宋体" w:hAnsi="宋体" w:eastAsia="宋体" w:cs="宋体"/>
                <w:sz w:val="22"/>
              </w:rPr>
              <w:t>主管道设有单向隔爆阀;</w:t>
            </w:r>
          </w:p>
          <w:p w14:paraId="41781D3A">
            <w:pPr>
              <w:spacing w:line="440" w:lineRule="exact"/>
              <w:textAlignment w:val="center"/>
              <w:rPr>
                <w:rFonts w:hint="eastAsia" w:ascii="宋体" w:hAnsi="宋体" w:eastAsia="宋体" w:cs="宋体"/>
                <w:sz w:val="22"/>
                <w:lang w:val="en-US" w:eastAsia="zh-CN"/>
              </w:rPr>
            </w:pPr>
            <w:r>
              <w:rPr>
                <w:rFonts w:hint="eastAsia" w:ascii="宋体" w:hAnsi="宋体" w:eastAsia="宋体" w:cs="宋体"/>
                <w:sz w:val="22"/>
                <w:lang w:val="en-US" w:eastAsia="zh-CN"/>
              </w:rPr>
              <w:t>4）除尘系统</w:t>
            </w:r>
            <w:r>
              <w:rPr>
                <w:rFonts w:hint="eastAsia" w:ascii="宋体" w:hAnsi="宋体" w:eastAsia="宋体" w:cs="宋体"/>
                <w:sz w:val="22"/>
              </w:rPr>
              <w:t>采取隔音房实现物理隔离</w:t>
            </w:r>
            <w:r>
              <w:rPr>
                <w:rFonts w:hint="eastAsia" w:ascii="宋体" w:hAnsi="宋体" w:eastAsia="宋体" w:cs="宋体"/>
                <w:sz w:val="22"/>
                <w:lang w:eastAsia="zh-CN"/>
              </w:rPr>
              <w:t>。</w:t>
            </w:r>
          </w:p>
        </w:tc>
      </w:tr>
    </w:tbl>
    <w:p w14:paraId="410741C2">
      <w:pPr>
        <w:spacing w:line="500" w:lineRule="exact"/>
        <w:rPr>
          <w:rFonts w:ascii="华文仿宋" w:hAnsi="华文仿宋" w:eastAsia="华文仿宋"/>
          <w:color w:val="000000"/>
          <w:szCs w:val="21"/>
        </w:rPr>
      </w:pPr>
      <w:r>
        <w:rPr>
          <w:rFonts w:hint="eastAsia" w:ascii="宋体" w:hAnsi="宋体" w:eastAsia="宋体" w:cs="宋体"/>
          <w:b/>
          <w:bCs/>
          <w:sz w:val="24"/>
          <w:szCs w:val="32"/>
        </w:rPr>
        <w:t>2.</w:t>
      </w:r>
      <w:r>
        <w:rPr>
          <w:rFonts w:hint="eastAsia" w:ascii="宋体" w:hAnsi="宋体" w:eastAsia="宋体" w:cs="宋体"/>
          <w:b/>
          <w:bCs/>
          <w:sz w:val="24"/>
          <w:szCs w:val="32"/>
          <w:lang w:val="en-US" w:eastAsia="zh-CN"/>
        </w:rPr>
        <w:t>3</w:t>
      </w:r>
      <w:r>
        <w:rPr>
          <w:rFonts w:hint="eastAsia" w:ascii="宋体" w:hAnsi="宋体" w:eastAsia="宋体" w:cs="宋体"/>
          <w:b/>
          <w:bCs/>
          <w:sz w:val="24"/>
          <w:szCs w:val="32"/>
        </w:rPr>
        <w:t>车箱输送系统主要参数表</w:t>
      </w:r>
      <w:r>
        <w:rPr>
          <w:rFonts w:ascii="华文仿宋" w:hAnsi="华文仿宋" w:eastAsia="华文仿宋"/>
        </w:rPr>
        <w:t xml:space="preserve"> </w:t>
      </w:r>
    </w:p>
    <w:tbl>
      <w:tblPr>
        <w:tblStyle w:val="4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44"/>
        <w:gridCol w:w="1985"/>
        <w:gridCol w:w="1089"/>
        <w:gridCol w:w="5437"/>
      </w:tblGrid>
      <w:tr w14:paraId="0021E9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jc w:val="center"/>
        </w:trPr>
        <w:tc>
          <w:tcPr>
            <w:tcW w:w="744" w:type="dxa"/>
            <w:vMerge w:val="restart"/>
            <w:noWrap w:val="0"/>
            <w:vAlign w:val="center"/>
          </w:tcPr>
          <w:p w14:paraId="0658B291">
            <w:pPr>
              <w:spacing w:line="440" w:lineRule="exact"/>
              <w:jc w:val="left"/>
              <w:rPr>
                <w:rFonts w:hint="eastAsia" w:ascii="宋体" w:hAnsi="宋体" w:eastAsia="宋体" w:cs="宋体"/>
                <w:b/>
                <w:bCs/>
                <w:sz w:val="24"/>
              </w:rPr>
            </w:pPr>
            <w:r>
              <w:rPr>
                <w:rFonts w:hint="eastAsia" w:ascii="宋体" w:hAnsi="宋体" w:eastAsia="宋体" w:cs="宋体"/>
                <w:b/>
                <w:bCs/>
                <w:sz w:val="24"/>
              </w:rPr>
              <w:t>序号</w:t>
            </w:r>
          </w:p>
        </w:tc>
        <w:tc>
          <w:tcPr>
            <w:tcW w:w="1985" w:type="dxa"/>
            <w:vMerge w:val="restart"/>
            <w:noWrap w:val="0"/>
            <w:vAlign w:val="center"/>
          </w:tcPr>
          <w:p w14:paraId="3EB1CDA1">
            <w:pPr>
              <w:spacing w:line="440" w:lineRule="exact"/>
              <w:jc w:val="left"/>
              <w:rPr>
                <w:rFonts w:hint="eastAsia" w:ascii="宋体" w:hAnsi="宋体" w:eastAsia="宋体" w:cs="宋体"/>
                <w:b/>
                <w:bCs/>
                <w:sz w:val="24"/>
              </w:rPr>
            </w:pPr>
            <w:r>
              <w:rPr>
                <w:rFonts w:hint="eastAsia" w:ascii="宋体" w:hAnsi="宋体" w:eastAsia="宋体" w:cs="宋体"/>
                <w:b/>
                <w:bCs/>
                <w:sz w:val="24"/>
              </w:rPr>
              <w:t>项  目</w:t>
            </w:r>
          </w:p>
        </w:tc>
        <w:tc>
          <w:tcPr>
            <w:tcW w:w="1089" w:type="dxa"/>
            <w:vMerge w:val="restart"/>
            <w:noWrap w:val="0"/>
            <w:vAlign w:val="center"/>
          </w:tcPr>
          <w:p w14:paraId="719938A8">
            <w:pPr>
              <w:spacing w:line="440" w:lineRule="exact"/>
              <w:jc w:val="left"/>
              <w:rPr>
                <w:rFonts w:hint="eastAsia" w:ascii="宋体" w:hAnsi="宋体" w:eastAsia="宋体" w:cs="宋体"/>
                <w:b/>
                <w:bCs/>
                <w:sz w:val="24"/>
              </w:rPr>
            </w:pPr>
            <w:r>
              <w:rPr>
                <w:rFonts w:hint="eastAsia" w:ascii="宋体" w:hAnsi="宋体" w:eastAsia="宋体" w:cs="宋体"/>
                <w:b/>
                <w:bCs/>
                <w:sz w:val="24"/>
              </w:rPr>
              <w:t>单位</w:t>
            </w:r>
          </w:p>
        </w:tc>
        <w:tc>
          <w:tcPr>
            <w:tcW w:w="5437" w:type="dxa"/>
            <w:vMerge w:val="restart"/>
            <w:noWrap w:val="0"/>
            <w:vAlign w:val="center"/>
          </w:tcPr>
          <w:p w14:paraId="6E65CBA3">
            <w:pPr>
              <w:spacing w:line="440" w:lineRule="exact"/>
              <w:jc w:val="left"/>
              <w:rPr>
                <w:rFonts w:hint="eastAsia" w:ascii="宋体" w:hAnsi="宋体" w:eastAsia="宋体" w:cs="宋体"/>
                <w:b/>
                <w:bCs/>
                <w:sz w:val="24"/>
              </w:rPr>
            </w:pPr>
            <w:r>
              <w:rPr>
                <w:rFonts w:hint="eastAsia" w:ascii="宋体" w:hAnsi="宋体" w:eastAsia="宋体" w:cs="宋体"/>
                <w:b/>
                <w:bCs/>
                <w:sz w:val="24"/>
              </w:rPr>
              <w:t>具体参数</w:t>
            </w:r>
          </w:p>
        </w:tc>
      </w:tr>
      <w:tr w14:paraId="73EAFB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jc w:val="center"/>
        </w:trPr>
        <w:tc>
          <w:tcPr>
            <w:tcW w:w="744" w:type="dxa"/>
            <w:vMerge w:val="continue"/>
            <w:noWrap w:val="0"/>
            <w:vAlign w:val="center"/>
          </w:tcPr>
          <w:p w14:paraId="79C57FB5">
            <w:pPr>
              <w:spacing w:line="240" w:lineRule="exact"/>
              <w:jc w:val="center"/>
              <w:rPr>
                <w:rFonts w:ascii="华文仿宋" w:hAnsi="华文仿宋" w:eastAsia="华文仿宋" w:cs="宋体"/>
                <w:color w:val="000000"/>
                <w:kern w:val="0"/>
                <w:sz w:val="22"/>
                <w:szCs w:val="22"/>
                <w:lang w:bidi="ar"/>
              </w:rPr>
            </w:pPr>
          </w:p>
        </w:tc>
        <w:tc>
          <w:tcPr>
            <w:tcW w:w="1985" w:type="dxa"/>
            <w:vMerge w:val="continue"/>
            <w:noWrap w:val="0"/>
            <w:vAlign w:val="center"/>
          </w:tcPr>
          <w:p w14:paraId="74D47DCB">
            <w:pPr>
              <w:spacing w:line="240" w:lineRule="exact"/>
              <w:jc w:val="center"/>
              <w:rPr>
                <w:rFonts w:ascii="华文仿宋" w:hAnsi="华文仿宋" w:eastAsia="华文仿宋" w:cs="宋体"/>
                <w:color w:val="000000"/>
                <w:kern w:val="0"/>
                <w:sz w:val="22"/>
                <w:szCs w:val="22"/>
                <w:lang w:bidi="ar"/>
              </w:rPr>
            </w:pPr>
          </w:p>
        </w:tc>
        <w:tc>
          <w:tcPr>
            <w:tcW w:w="1089" w:type="dxa"/>
            <w:vMerge w:val="continue"/>
            <w:noWrap w:val="0"/>
            <w:vAlign w:val="center"/>
          </w:tcPr>
          <w:p w14:paraId="5A6175B4">
            <w:pPr>
              <w:spacing w:line="240" w:lineRule="exact"/>
              <w:jc w:val="center"/>
              <w:rPr>
                <w:rFonts w:ascii="华文仿宋" w:hAnsi="华文仿宋" w:eastAsia="华文仿宋" w:cs="宋体"/>
                <w:color w:val="000000"/>
                <w:kern w:val="0"/>
                <w:sz w:val="22"/>
                <w:szCs w:val="22"/>
                <w:lang w:bidi="ar"/>
              </w:rPr>
            </w:pPr>
          </w:p>
        </w:tc>
        <w:tc>
          <w:tcPr>
            <w:tcW w:w="5437" w:type="dxa"/>
            <w:vMerge w:val="continue"/>
            <w:noWrap w:val="0"/>
            <w:vAlign w:val="center"/>
          </w:tcPr>
          <w:p w14:paraId="0078E44C">
            <w:pPr>
              <w:spacing w:line="240" w:lineRule="exact"/>
              <w:jc w:val="center"/>
              <w:rPr>
                <w:rFonts w:ascii="华文仿宋" w:hAnsi="华文仿宋" w:eastAsia="华文仿宋" w:cs="宋体"/>
                <w:color w:val="000000"/>
                <w:kern w:val="0"/>
                <w:sz w:val="22"/>
                <w:szCs w:val="22"/>
                <w:lang w:bidi="ar"/>
              </w:rPr>
            </w:pPr>
          </w:p>
        </w:tc>
      </w:tr>
      <w:tr w14:paraId="3C0152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44" w:type="dxa"/>
            <w:noWrap w:val="0"/>
            <w:vAlign w:val="center"/>
          </w:tcPr>
          <w:p w14:paraId="23C94D83">
            <w:pPr>
              <w:spacing w:line="440" w:lineRule="exact"/>
              <w:textAlignment w:val="center"/>
              <w:rPr>
                <w:rFonts w:hint="eastAsia" w:ascii="宋体" w:hAnsi="宋体" w:eastAsia="宋体" w:cs="宋体"/>
                <w:sz w:val="22"/>
              </w:rPr>
            </w:pPr>
            <w:r>
              <w:rPr>
                <w:rFonts w:hint="eastAsia" w:ascii="宋体" w:hAnsi="宋体" w:eastAsia="宋体" w:cs="宋体"/>
                <w:sz w:val="22"/>
              </w:rPr>
              <w:t>1</w:t>
            </w:r>
          </w:p>
        </w:tc>
        <w:tc>
          <w:tcPr>
            <w:tcW w:w="1985" w:type="dxa"/>
            <w:noWrap w:val="0"/>
            <w:vAlign w:val="center"/>
          </w:tcPr>
          <w:p w14:paraId="0243D398">
            <w:pPr>
              <w:spacing w:line="440" w:lineRule="exact"/>
              <w:textAlignment w:val="center"/>
              <w:rPr>
                <w:rFonts w:hint="eastAsia" w:ascii="宋体" w:hAnsi="宋体" w:eastAsia="宋体" w:cs="宋体"/>
                <w:sz w:val="22"/>
              </w:rPr>
            </w:pPr>
            <w:r>
              <w:rPr>
                <w:rFonts w:hint="eastAsia" w:ascii="宋体" w:hAnsi="宋体" w:eastAsia="宋体" w:cs="宋体"/>
                <w:sz w:val="22"/>
              </w:rPr>
              <w:t>液压升</w:t>
            </w:r>
            <w:r>
              <w:rPr>
                <w:rFonts w:hint="eastAsia" w:ascii="宋体" w:hAnsi="宋体" w:eastAsia="宋体" w:cs="宋体"/>
                <w:sz w:val="22"/>
                <w:lang w:val="en-US" w:eastAsia="zh-CN"/>
              </w:rPr>
              <w:t>降</w:t>
            </w:r>
            <w:r>
              <w:rPr>
                <w:rFonts w:hint="eastAsia" w:ascii="宋体" w:hAnsi="宋体" w:eastAsia="宋体" w:cs="宋体"/>
                <w:sz w:val="22"/>
              </w:rPr>
              <w:t>平车1</w:t>
            </w:r>
          </w:p>
        </w:tc>
        <w:tc>
          <w:tcPr>
            <w:tcW w:w="1089" w:type="dxa"/>
            <w:noWrap w:val="0"/>
            <w:vAlign w:val="center"/>
          </w:tcPr>
          <w:p w14:paraId="7F624184">
            <w:pPr>
              <w:spacing w:line="440" w:lineRule="exact"/>
              <w:textAlignment w:val="center"/>
              <w:rPr>
                <w:rFonts w:hint="eastAsia" w:ascii="宋体" w:hAnsi="宋体" w:eastAsia="宋体" w:cs="宋体"/>
                <w:sz w:val="22"/>
              </w:rPr>
            </w:pPr>
            <w:r>
              <w:rPr>
                <w:rFonts w:hint="eastAsia" w:ascii="宋体" w:hAnsi="宋体" w:eastAsia="宋体" w:cs="宋体"/>
                <w:sz w:val="22"/>
              </w:rPr>
              <w:t>台</w:t>
            </w:r>
          </w:p>
        </w:tc>
        <w:tc>
          <w:tcPr>
            <w:tcW w:w="5437" w:type="dxa"/>
            <w:noWrap w:val="0"/>
            <w:vAlign w:val="top"/>
          </w:tcPr>
          <w:p w14:paraId="7512B680">
            <w:pPr>
              <w:numPr>
                <w:ilvl w:val="0"/>
                <w:numId w:val="0"/>
              </w:numPr>
              <w:tabs>
                <w:tab w:val="left" w:pos="840"/>
              </w:tabs>
              <w:spacing w:after="0" w:line="360" w:lineRule="exact"/>
              <w:ind w:leftChars="0"/>
              <w:contextualSpacing/>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1）</w:t>
            </w:r>
            <w:r>
              <w:rPr>
                <w:rFonts w:hint="eastAsia" w:ascii="宋体" w:hAnsi="宋体" w:eastAsia="宋体" w:cs="宋体"/>
                <w:kern w:val="0"/>
                <w:sz w:val="22"/>
                <w:szCs w:val="22"/>
              </w:rPr>
              <w:t>外形尺寸（长*宽*高mm）：</w:t>
            </w:r>
            <w:r>
              <w:rPr>
                <w:rFonts w:hint="eastAsia" w:ascii="宋体" w:hAnsi="宋体" w:eastAsia="宋体" w:cs="宋体"/>
                <w:color w:val="FF0000"/>
                <w:kern w:val="0"/>
                <w:sz w:val="22"/>
                <w:szCs w:val="22"/>
              </w:rPr>
              <w:t>3500*1100*570</w:t>
            </w:r>
          </w:p>
          <w:p w14:paraId="6F472254">
            <w:pPr>
              <w:numPr>
                <w:ilvl w:val="0"/>
                <w:numId w:val="0"/>
              </w:numPr>
              <w:tabs>
                <w:tab w:val="left" w:pos="840"/>
              </w:tabs>
              <w:spacing w:after="0" w:line="360" w:lineRule="exact"/>
              <w:ind w:leftChars="0"/>
              <w:contextualSpacing/>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2）</w:t>
            </w:r>
            <w:r>
              <w:rPr>
                <w:rFonts w:hint="eastAsia" w:ascii="宋体" w:hAnsi="宋体" w:eastAsia="宋体" w:cs="宋体"/>
                <w:kern w:val="0"/>
                <w:sz w:val="22"/>
                <w:szCs w:val="22"/>
              </w:rPr>
              <w:t>承载能力：≥1</w:t>
            </w:r>
            <w:r>
              <w:rPr>
                <w:rFonts w:hint="eastAsia" w:ascii="宋体" w:hAnsi="宋体" w:eastAsia="宋体" w:cs="宋体"/>
                <w:kern w:val="0"/>
                <w:sz w:val="22"/>
                <w:szCs w:val="22"/>
                <w:lang w:val="en-US" w:eastAsia="zh-CN"/>
              </w:rPr>
              <w:t>6</w:t>
            </w:r>
            <w:r>
              <w:rPr>
                <w:rFonts w:hint="eastAsia" w:ascii="宋体" w:hAnsi="宋体" w:eastAsia="宋体" w:cs="宋体"/>
                <w:kern w:val="0"/>
                <w:sz w:val="22"/>
                <w:szCs w:val="22"/>
              </w:rPr>
              <w:t xml:space="preserve">000kg； </w:t>
            </w:r>
          </w:p>
          <w:p w14:paraId="05DEDCB8">
            <w:pPr>
              <w:numPr>
                <w:ilvl w:val="0"/>
                <w:numId w:val="0"/>
              </w:numPr>
              <w:tabs>
                <w:tab w:val="left" w:pos="840"/>
              </w:tabs>
              <w:spacing w:after="0" w:line="360" w:lineRule="exact"/>
              <w:ind w:leftChars="0"/>
              <w:contextualSpacing/>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3）</w:t>
            </w:r>
            <w:r>
              <w:rPr>
                <w:rFonts w:hint="eastAsia" w:ascii="宋体" w:hAnsi="宋体" w:eastAsia="宋体" w:cs="宋体"/>
                <w:kern w:val="0"/>
                <w:sz w:val="22"/>
                <w:szCs w:val="22"/>
              </w:rPr>
              <w:t xml:space="preserve">驱动形式：电驱动； </w:t>
            </w:r>
          </w:p>
          <w:p w14:paraId="02037279">
            <w:pPr>
              <w:numPr>
                <w:ilvl w:val="0"/>
                <w:numId w:val="0"/>
              </w:numPr>
              <w:tabs>
                <w:tab w:val="left" w:pos="840"/>
              </w:tabs>
              <w:spacing w:after="0" w:line="360" w:lineRule="exact"/>
              <w:ind w:leftChars="0"/>
              <w:contextualSpacing/>
              <w:rPr>
                <w:rFonts w:hint="eastAsia" w:ascii="宋体" w:hAnsi="宋体" w:eastAsia="宋体" w:cs="宋体"/>
                <w:color w:val="auto"/>
                <w:kern w:val="0"/>
                <w:sz w:val="22"/>
                <w:szCs w:val="22"/>
              </w:rPr>
            </w:pPr>
            <w:r>
              <w:rPr>
                <w:rFonts w:hint="eastAsia" w:ascii="宋体" w:hAnsi="宋体" w:eastAsia="宋体" w:cs="宋体"/>
                <w:kern w:val="0"/>
                <w:sz w:val="22"/>
                <w:szCs w:val="22"/>
                <w:lang w:val="en-US" w:eastAsia="zh-CN"/>
              </w:rPr>
              <w:t>4</w:t>
            </w:r>
            <w:r>
              <w:rPr>
                <w:rFonts w:hint="eastAsia" w:ascii="宋体" w:hAnsi="宋体" w:eastAsia="宋体" w:cs="宋体"/>
                <w:color w:val="auto"/>
                <w:kern w:val="0"/>
                <w:sz w:val="22"/>
                <w:szCs w:val="22"/>
                <w:lang w:val="en-US" w:eastAsia="zh-CN"/>
              </w:rPr>
              <w:t>）</w:t>
            </w:r>
            <w:r>
              <w:rPr>
                <w:rFonts w:hint="eastAsia" w:ascii="宋体" w:hAnsi="宋体" w:eastAsia="宋体" w:cs="宋体"/>
                <w:color w:val="auto"/>
                <w:kern w:val="0"/>
                <w:sz w:val="22"/>
                <w:szCs w:val="22"/>
              </w:rPr>
              <w:t xml:space="preserve">行走速度：0-18米/min（变频可调）； </w:t>
            </w:r>
          </w:p>
          <w:p w14:paraId="624872B5">
            <w:pPr>
              <w:numPr>
                <w:ilvl w:val="0"/>
                <w:numId w:val="0"/>
              </w:numPr>
              <w:tabs>
                <w:tab w:val="left" w:pos="840"/>
              </w:tabs>
              <w:spacing w:after="0" w:line="360" w:lineRule="exact"/>
              <w:ind w:leftChars="0"/>
              <w:contextualSpacing/>
              <w:rPr>
                <w:rFonts w:hint="eastAsia" w:ascii="宋体" w:hAnsi="宋体" w:eastAsia="宋体" w:cs="宋体"/>
                <w:color w:val="auto"/>
                <w:kern w:val="0"/>
                <w:sz w:val="22"/>
                <w:szCs w:val="22"/>
              </w:rPr>
            </w:pPr>
            <w:r>
              <w:rPr>
                <w:rFonts w:hint="eastAsia" w:ascii="宋体" w:hAnsi="宋体" w:eastAsia="宋体" w:cs="宋体"/>
                <w:color w:val="auto"/>
                <w:kern w:val="0"/>
                <w:sz w:val="22"/>
                <w:szCs w:val="22"/>
                <w:lang w:val="en-US" w:eastAsia="zh-CN"/>
              </w:rPr>
              <w:t>5）</w:t>
            </w:r>
            <w:r>
              <w:rPr>
                <w:rFonts w:hint="eastAsia" w:ascii="宋体" w:hAnsi="宋体" w:eastAsia="宋体" w:cs="宋体"/>
                <w:color w:val="auto"/>
                <w:kern w:val="0"/>
                <w:sz w:val="22"/>
                <w:szCs w:val="22"/>
              </w:rPr>
              <w:t>固定轨道内档尺寸：1162mm、中心距1200mm</w:t>
            </w:r>
            <w:r>
              <w:rPr>
                <w:rFonts w:hint="eastAsia" w:ascii="宋体" w:hAnsi="宋体" w:eastAsia="宋体" w:cs="宋体"/>
                <w:b/>
                <w:bCs/>
                <w:color w:val="auto"/>
                <w:kern w:val="0"/>
                <w:sz w:val="22"/>
                <w:szCs w:val="22"/>
              </w:rPr>
              <w:t>（需现场测量确认）</w:t>
            </w:r>
            <w:r>
              <w:rPr>
                <w:rFonts w:hint="eastAsia" w:ascii="宋体" w:hAnsi="宋体" w:eastAsia="宋体" w:cs="宋体"/>
                <w:color w:val="auto"/>
                <w:kern w:val="0"/>
                <w:sz w:val="22"/>
                <w:szCs w:val="22"/>
              </w:rPr>
              <w:t>；</w:t>
            </w:r>
          </w:p>
          <w:p w14:paraId="04CE3009">
            <w:pPr>
              <w:numPr>
                <w:ilvl w:val="0"/>
                <w:numId w:val="0"/>
              </w:numPr>
              <w:tabs>
                <w:tab w:val="left" w:pos="840"/>
              </w:tabs>
              <w:spacing w:after="0" w:line="360" w:lineRule="exact"/>
              <w:ind w:leftChars="0"/>
              <w:contextualSpacing/>
              <w:rPr>
                <w:rFonts w:hint="eastAsia" w:ascii="宋体" w:hAnsi="宋体" w:eastAsia="宋体" w:cs="宋体"/>
                <w:color w:val="auto"/>
                <w:kern w:val="0"/>
                <w:sz w:val="22"/>
                <w:szCs w:val="22"/>
              </w:rPr>
            </w:pPr>
            <w:r>
              <w:rPr>
                <w:rFonts w:hint="eastAsia" w:ascii="宋体" w:hAnsi="宋体" w:eastAsia="宋体" w:cs="宋体"/>
                <w:color w:val="auto"/>
                <w:kern w:val="0"/>
                <w:sz w:val="22"/>
                <w:szCs w:val="22"/>
                <w:lang w:val="en-US" w:eastAsia="zh-CN"/>
              </w:rPr>
              <w:t>6）</w:t>
            </w:r>
            <w:r>
              <w:rPr>
                <w:rFonts w:hint="eastAsia" w:ascii="宋体" w:hAnsi="宋体" w:eastAsia="宋体" w:cs="宋体"/>
                <w:color w:val="auto"/>
                <w:kern w:val="0"/>
                <w:sz w:val="22"/>
                <w:szCs w:val="22"/>
              </w:rPr>
              <w:t xml:space="preserve">控制方式：遥控（含急停开关、钥匙开关）；备用一套； </w:t>
            </w:r>
          </w:p>
          <w:p w14:paraId="5871BBEA">
            <w:pPr>
              <w:numPr>
                <w:ilvl w:val="0"/>
                <w:numId w:val="0"/>
              </w:numPr>
              <w:tabs>
                <w:tab w:val="left" w:pos="840"/>
              </w:tabs>
              <w:spacing w:after="0" w:line="360" w:lineRule="exact"/>
              <w:ind w:leftChars="0"/>
              <w:contextualSpacing/>
              <w:rPr>
                <w:rFonts w:hint="eastAsia" w:ascii="宋体" w:hAnsi="宋体" w:eastAsia="宋体" w:cs="宋体"/>
                <w:kern w:val="0"/>
                <w:sz w:val="22"/>
                <w:szCs w:val="22"/>
              </w:rPr>
            </w:pPr>
            <w:r>
              <w:rPr>
                <w:rFonts w:hint="eastAsia" w:ascii="宋体" w:hAnsi="宋体" w:eastAsia="宋体" w:cs="宋体"/>
                <w:color w:val="auto"/>
                <w:kern w:val="0"/>
                <w:sz w:val="22"/>
                <w:szCs w:val="22"/>
                <w:lang w:val="en-US" w:eastAsia="zh-CN"/>
              </w:rPr>
              <w:t>7）</w:t>
            </w:r>
            <w:r>
              <w:rPr>
                <w:rFonts w:hint="eastAsia" w:ascii="宋体" w:hAnsi="宋体" w:eastAsia="宋体" w:cs="宋体"/>
                <w:color w:val="auto"/>
                <w:kern w:val="0"/>
                <w:sz w:val="22"/>
                <w:szCs w:val="22"/>
              </w:rPr>
              <w:t>电池相</w:t>
            </w:r>
            <w:r>
              <w:rPr>
                <w:rFonts w:hint="eastAsia" w:ascii="宋体" w:hAnsi="宋体" w:eastAsia="宋体" w:cs="宋体"/>
                <w:kern w:val="0"/>
                <w:sz w:val="22"/>
                <w:szCs w:val="22"/>
              </w:rPr>
              <w:t>关：</w:t>
            </w:r>
            <w:r>
              <w:rPr>
                <w:rFonts w:hint="eastAsia" w:ascii="宋体" w:hAnsi="宋体" w:eastAsia="宋体" w:cs="宋体"/>
                <w:kern w:val="0"/>
                <w:sz w:val="22"/>
                <w:szCs w:val="22"/>
                <w:highlight w:val="green"/>
                <w:lang w:val="en-US" w:eastAsia="zh-CN"/>
              </w:rPr>
              <w:t>磷酸铁锂</w:t>
            </w:r>
            <w:r>
              <w:rPr>
                <w:rFonts w:hint="eastAsia" w:ascii="宋体" w:hAnsi="宋体" w:eastAsia="宋体" w:cs="宋体"/>
                <w:kern w:val="0"/>
                <w:sz w:val="22"/>
                <w:szCs w:val="22"/>
                <w:highlight w:val="green"/>
              </w:rPr>
              <w:t>电池</w:t>
            </w:r>
            <w:r>
              <w:rPr>
                <w:rFonts w:hint="eastAsia" w:ascii="宋体" w:hAnsi="宋体" w:eastAsia="宋体" w:cs="宋体"/>
                <w:kern w:val="0"/>
                <w:sz w:val="22"/>
                <w:szCs w:val="22"/>
              </w:rPr>
              <w:t>，容量≥</w:t>
            </w:r>
            <w:r>
              <w:rPr>
                <w:rFonts w:hint="eastAsia" w:ascii="宋体" w:hAnsi="宋体" w:eastAsia="宋体" w:cs="宋体"/>
                <w:kern w:val="0"/>
                <w:sz w:val="22"/>
                <w:szCs w:val="22"/>
                <w:lang w:val="en-US" w:eastAsia="zh-CN"/>
              </w:rPr>
              <w:t>40</w:t>
            </w:r>
            <w:r>
              <w:rPr>
                <w:rFonts w:hint="eastAsia" w:ascii="宋体" w:hAnsi="宋体" w:eastAsia="宋体" w:cs="宋体"/>
                <w:kern w:val="0"/>
                <w:sz w:val="22"/>
                <w:szCs w:val="22"/>
              </w:rPr>
              <w:t>0Ah，配独立充电机，充电线长≥5m；方便更换电瓶，充电时间</w:t>
            </w:r>
            <w:r>
              <w:rPr>
                <w:rFonts w:hint="eastAsia" w:ascii="宋体" w:hAnsi="宋体" w:eastAsia="宋体" w:cs="宋体"/>
                <w:kern w:val="0"/>
                <w:sz w:val="22"/>
                <w:szCs w:val="22"/>
                <w:lang w:val="en-US" w:eastAsia="zh-CN"/>
              </w:rPr>
              <w:t>≤4</w:t>
            </w:r>
            <w:r>
              <w:rPr>
                <w:rFonts w:hint="eastAsia" w:ascii="宋体" w:hAnsi="宋体" w:eastAsia="宋体" w:cs="宋体"/>
                <w:kern w:val="0"/>
                <w:sz w:val="22"/>
                <w:szCs w:val="22"/>
              </w:rPr>
              <w:t>h，循环充电次数≥</w:t>
            </w:r>
            <w:r>
              <w:rPr>
                <w:rFonts w:hint="eastAsia" w:ascii="宋体" w:hAnsi="宋体" w:eastAsia="宋体" w:cs="宋体"/>
                <w:kern w:val="0"/>
                <w:sz w:val="22"/>
                <w:szCs w:val="22"/>
                <w:lang w:val="en-US" w:eastAsia="zh-CN"/>
              </w:rPr>
              <w:t>2</w:t>
            </w:r>
            <w:r>
              <w:rPr>
                <w:rFonts w:hint="eastAsia" w:ascii="宋体" w:hAnsi="宋体" w:eastAsia="宋体" w:cs="宋体"/>
                <w:kern w:val="0"/>
                <w:sz w:val="22"/>
                <w:szCs w:val="22"/>
              </w:rPr>
              <w:t>500次，容量≥50%。</w:t>
            </w:r>
          </w:p>
          <w:p w14:paraId="58FF0DF7">
            <w:pPr>
              <w:numPr>
                <w:ilvl w:val="0"/>
                <w:numId w:val="0"/>
              </w:numPr>
              <w:tabs>
                <w:tab w:val="left" w:pos="840"/>
              </w:tabs>
              <w:spacing w:after="0" w:line="360" w:lineRule="exact"/>
              <w:ind w:leftChars="0"/>
              <w:contextualSpacing/>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8）</w:t>
            </w:r>
            <w:r>
              <w:rPr>
                <w:rFonts w:hint="eastAsia" w:ascii="宋体" w:hAnsi="宋体" w:eastAsia="宋体" w:cs="宋体"/>
                <w:kern w:val="0"/>
                <w:sz w:val="22"/>
                <w:szCs w:val="22"/>
              </w:rPr>
              <w:t>安全配置：配置声光报警灯与自动避障功能（带手动切换，避障距离300mm±30mm）；</w:t>
            </w:r>
          </w:p>
          <w:p w14:paraId="7B3D4B7C">
            <w:pPr>
              <w:numPr>
                <w:ilvl w:val="0"/>
                <w:numId w:val="0"/>
              </w:numPr>
              <w:spacing w:after="0" w:line="360" w:lineRule="exact"/>
              <w:ind w:leftChars="0"/>
              <w:contextualSpacing/>
              <w:rPr>
                <w:rFonts w:hint="eastAsia"/>
              </w:rPr>
            </w:pPr>
            <w:r>
              <w:rPr>
                <w:rFonts w:hint="eastAsia" w:ascii="宋体" w:hAnsi="宋体" w:eastAsia="宋体" w:cs="宋体"/>
                <w:kern w:val="0"/>
                <w:sz w:val="22"/>
                <w:szCs w:val="22"/>
                <w:lang w:val="en-US" w:eastAsia="zh-CN"/>
              </w:rPr>
              <w:t>9）</w:t>
            </w:r>
            <w:r>
              <w:rPr>
                <w:rFonts w:hint="eastAsia" w:ascii="宋体" w:hAnsi="宋体" w:eastAsia="宋体" w:cs="宋体"/>
                <w:kern w:val="0"/>
                <w:sz w:val="22"/>
                <w:szCs w:val="22"/>
              </w:rPr>
              <w:t>配置扫轨板，及时清除导轨上的杂物</w:t>
            </w:r>
            <w:r>
              <w:rPr>
                <w:rFonts w:hint="eastAsia" w:ascii="宋体" w:hAnsi="宋体" w:eastAsia="宋体" w:cs="宋体"/>
                <w:kern w:val="0"/>
                <w:sz w:val="22"/>
                <w:szCs w:val="22"/>
                <w:lang w:eastAsia="zh-CN"/>
              </w:rPr>
              <w:t>。</w:t>
            </w:r>
          </w:p>
        </w:tc>
      </w:tr>
      <w:tr w14:paraId="33933E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44" w:type="dxa"/>
            <w:noWrap w:val="0"/>
            <w:vAlign w:val="center"/>
          </w:tcPr>
          <w:p w14:paraId="62155582">
            <w:pPr>
              <w:spacing w:line="440" w:lineRule="exact"/>
              <w:textAlignment w:val="center"/>
              <w:rPr>
                <w:rFonts w:hint="eastAsia" w:ascii="宋体" w:hAnsi="宋体" w:eastAsia="宋体" w:cs="宋体"/>
                <w:sz w:val="22"/>
              </w:rPr>
            </w:pPr>
            <w:r>
              <w:rPr>
                <w:rFonts w:hint="eastAsia" w:ascii="宋体" w:hAnsi="宋体" w:eastAsia="宋体" w:cs="宋体"/>
                <w:sz w:val="22"/>
              </w:rPr>
              <w:t>2</w:t>
            </w:r>
          </w:p>
        </w:tc>
        <w:tc>
          <w:tcPr>
            <w:tcW w:w="1985" w:type="dxa"/>
            <w:noWrap w:val="0"/>
            <w:vAlign w:val="center"/>
          </w:tcPr>
          <w:p w14:paraId="6BE6CE11">
            <w:pPr>
              <w:spacing w:line="440" w:lineRule="exact"/>
              <w:textAlignment w:val="center"/>
              <w:rPr>
                <w:rFonts w:hint="eastAsia" w:ascii="宋体" w:hAnsi="宋体" w:eastAsia="宋体" w:cs="宋体"/>
                <w:sz w:val="22"/>
              </w:rPr>
            </w:pPr>
            <w:r>
              <w:rPr>
                <w:rFonts w:hint="eastAsia" w:ascii="宋体" w:hAnsi="宋体" w:eastAsia="宋体" w:cs="宋体"/>
                <w:sz w:val="22"/>
              </w:rPr>
              <w:t>液压升降平车2</w:t>
            </w:r>
          </w:p>
        </w:tc>
        <w:tc>
          <w:tcPr>
            <w:tcW w:w="1089" w:type="dxa"/>
            <w:noWrap w:val="0"/>
            <w:vAlign w:val="center"/>
          </w:tcPr>
          <w:p w14:paraId="45E7B768">
            <w:pPr>
              <w:spacing w:line="440" w:lineRule="exact"/>
              <w:textAlignment w:val="center"/>
              <w:rPr>
                <w:rFonts w:hint="eastAsia" w:ascii="宋体" w:hAnsi="宋体" w:eastAsia="宋体" w:cs="宋体"/>
                <w:sz w:val="22"/>
              </w:rPr>
            </w:pPr>
            <w:r>
              <w:rPr>
                <w:rFonts w:hint="eastAsia" w:ascii="宋体" w:hAnsi="宋体" w:eastAsia="宋体" w:cs="宋体"/>
                <w:sz w:val="22"/>
              </w:rPr>
              <w:t>台</w:t>
            </w:r>
          </w:p>
        </w:tc>
        <w:tc>
          <w:tcPr>
            <w:tcW w:w="5437" w:type="dxa"/>
            <w:noWrap w:val="0"/>
            <w:vAlign w:val="top"/>
          </w:tcPr>
          <w:p w14:paraId="46A27BE9">
            <w:pPr>
              <w:numPr>
                <w:ilvl w:val="0"/>
                <w:numId w:val="0"/>
              </w:numPr>
              <w:tabs>
                <w:tab w:val="left" w:pos="840"/>
              </w:tabs>
              <w:spacing w:after="0" w:line="360" w:lineRule="exact"/>
              <w:ind w:leftChars="0"/>
              <w:contextualSpacing/>
              <w:rPr>
                <w:rFonts w:hint="eastAsia" w:ascii="宋体" w:hAnsi="宋体" w:eastAsia="宋体" w:cs="宋体"/>
                <w:kern w:val="0"/>
                <w:sz w:val="22"/>
                <w:szCs w:val="22"/>
              </w:rPr>
            </w:pPr>
            <w:bookmarkStart w:id="34" w:name="OLE_LINK3"/>
            <w:r>
              <w:rPr>
                <w:rFonts w:hint="eastAsia" w:ascii="宋体" w:hAnsi="宋体" w:eastAsia="宋体" w:cs="宋体"/>
                <w:kern w:val="0"/>
                <w:sz w:val="22"/>
                <w:szCs w:val="22"/>
                <w:lang w:val="en-US" w:eastAsia="zh-CN"/>
              </w:rPr>
              <w:t>1）</w:t>
            </w:r>
            <w:r>
              <w:rPr>
                <w:rFonts w:hint="eastAsia" w:ascii="宋体" w:hAnsi="宋体" w:eastAsia="宋体" w:cs="宋体"/>
                <w:kern w:val="0"/>
                <w:sz w:val="22"/>
                <w:szCs w:val="22"/>
              </w:rPr>
              <w:t>外形尺寸（长*宽*高mm）：</w:t>
            </w:r>
            <w:r>
              <w:rPr>
                <w:rFonts w:hint="eastAsia" w:ascii="宋体" w:hAnsi="宋体" w:eastAsia="宋体" w:cs="宋体"/>
                <w:color w:val="FF0000"/>
                <w:kern w:val="0"/>
                <w:sz w:val="22"/>
                <w:szCs w:val="22"/>
              </w:rPr>
              <w:t>3500*1100*570</w:t>
            </w:r>
          </w:p>
          <w:p w14:paraId="5E82C93B">
            <w:pPr>
              <w:numPr>
                <w:ilvl w:val="0"/>
                <w:numId w:val="0"/>
              </w:numPr>
              <w:tabs>
                <w:tab w:val="left" w:pos="840"/>
              </w:tabs>
              <w:spacing w:after="0" w:line="360" w:lineRule="exact"/>
              <w:ind w:leftChars="0"/>
              <w:contextualSpacing/>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2）</w:t>
            </w:r>
            <w:r>
              <w:rPr>
                <w:rFonts w:hint="eastAsia" w:ascii="宋体" w:hAnsi="宋体" w:eastAsia="宋体" w:cs="宋体"/>
                <w:kern w:val="0"/>
                <w:sz w:val="22"/>
                <w:szCs w:val="22"/>
              </w:rPr>
              <w:t>承载能力：≥1</w:t>
            </w:r>
            <w:r>
              <w:rPr>
                <w:rFonts w:hint="eastAsia" w:ascii="宋体" w:hAnsi="宋体" w:eastAsia="宋体" w:cs="宋体"/>
                <w:kern w:val="0"/>
                <w:sz w:val="22"/>
                <w:szCs w:val="22"/>
                <w:lang w:val="en-US" w:eastAsia="zh-CN"/>
              </w:rPr>
              <w:t>6</w:t>
            </w:r>
            <w:r>
              <w:rPr>
                <w:rFonts w:hint="eastAsia" w:ascii="宋体" w:hAnsi="宋体" w:eastAsia="宋体" w:cs="宋体"/>
                <w:kern w:val="0"/>
                <w:sz w:val="22"/>
                <w:szCs w:val="22"/>
              </w:rPr>
              <w:t xml:space="preserve">000kg； </w:t>
            </w:r>
          </w:p>
          <w:p w14:paraId="47DD174E">
            <w:pPr>
              <w:numPr>
                <w:ilvl w:val="0"/>
                <w:numId w:val="0"/>
              </w:numPr>
              <w:tabs>
                <w:tab w:val="left" w:pos="840"/>
              </w:tabs>
              <w:spacing w:after="0" w:line="360" w:lineRule="exact"/>
              <w:ind w:leftChars="0"/>
              <w:contextualSpacing/>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3）</w:t>
            </w:r>
            <w:r>
              <w:rPr>
                <w:rFonts w:hint="eastAsia" w:ascii="宋体" w:hAnsi="宋体" w:eastAsia="宋体" w:cs="宋体"/>
                <w:kern w:val="0"/>
                <w:sz w:val="22"/>
                <w:szCs w:val="22"/>
              </w:rPr>
              <w:t xml:space="preserve">驱动形式：电驱动； </w:t>
            </w:r>
          </w:p>
          <w:p w14:paraId="71457443">
            <w:pPr>
              <w:numPr>
                <w:ilvl w:val="0"/>
                <w:numId w:val="0"/>
              </w:numPr>
              <w:tabs>
                <w:tab w:val="left" w:pos="840"/>
              </w:tabs>
              <w:spacing w:after="0" w:line="360" w:lineRule="exact"/>
              <w:ind w:leftChars="0"/>
              <w:contextualSpacing/>
              <w:rPr>
                <w:rFonts w:hint="eastAsia" w:ascii="宋体" w:hAnsi="宋体" w:eastAsia="宋体" w:cs="宋体"/>
                <w:color w:val="auto"/>
                <w:kern w:val="0"/>
                <w:sz w:val="22"/>
                <w:szCs w:val="22"/>
              </w:rPr>
            </w:pPr>
            <w:r>
              <w:rPr>
                <w:rFonts w:hint="eastAsia" w:ascii="宋体" w:hAnsi="宋体" w:eastAsia="宋体" w:cs="宋体"/>
                <w:kern w:val="0"/>
                <w:sz w:val="22"/>
                <w:szCs w:val="22"/>
                <w:lang w:val="en-US" w:eastAsia="zh-CN"/>
              </w:rPr>
              <w:t>4</w:t>
            </w:r>
            <w:r>
              <w:rPr>
                <w:rFonts w:hint="eastAsia" w:ascii="宋体" w:hAnsi="宋体" w:eastAsia="宋体" w:cs="宋体"/>
                <w:color w:val="auto"/>
                <w:kern w:val="0"/>
                <w:sz w:val="22"/>
                <w:szCs w:val="22"/>
                <w:lang w:val="en-US" w:eastAsia="zh-CN"/>
              </w:rPr>
              <w:t>）</w:t>
            </w:r>
            <w:r>
              <w:rPr>
                <w:rFonts w:hint="eastAsia" w:ascii="宋体" w:hAnsi="宋体" w:eastAsia="宋体" w:cs="宋体"/>
                <w:color w:val="auto"/>
                <w:kern w:val="0"/>
                <w:sz w:val="22"/>
                <w:szCs w:val="22"/>
              </w:rPr>
              <w:t xml:space="preserve">行走速度：0-18米/min（变频可调）； </w:t>
            </w:r>
          </w:p>
          <w:p w14:paraId="4FBDA5F0">
            <w:pPr>
              <w:numPr>
                <w:ilvl w:val="0"/>
                <w:numId w:val="0"/>
              </w:numPr>
              <w:tabs>
                <w:tab w:val="left" w:pos="840"/>
              </w:tabs>
              <w:spacing w:after="0" w:line="360" w:lineRule="exact"/>
              <w:ind w:leftChars="0"/>
              <w:contextualSpacing/>
              <w:rPr>
                <w:rFonts w:hint="eastAsia" w:ascii="宋体" w:hAnsi="宋体" w:eastAsia="宋体" w:cs="宋体"/>
                <w:color w:val="auto"/>
                <w:kern w:val="0"/>
                <w:sz w:val="22"/>
                <w:szCs w:val="22"/>
              </w:rPr>
            </w:pPr>
            <w:r>
              <w:rPr>
                <w:rFonts w:hint="eastAsia" w:ascii="宋体" w:hAnsi="宋体" w:eastAsia="宋体" w:cs="宋体"/>
                <w:color w:val="auto"/>
                <w:kern w:val="0"/>
                <w:sz w:val="22"/>
                <w:szCs w:val="22"/>
                <w:lang w:val="en-US" w:eastAsia="zh-CN"/>
              </w:rPr>
              <w:t>5）</w:t>
            </w:r>
            <w:r>
              <w:rPr>
                <w:rFonts w:hint="eastAsia" w:ascii="宋体" w:hAnsi="宋体" w:eastAsia="宋体" w:cs="宋体"/>
                <w:color w:val="auto"/>
                <w:kern w:val="0"/>
                <w:sz w:val="22"/>
                <w:szCs w:val="22"/>
              </w:rPr>
              <w:t>固定轨道内档尺寸：1162mm、中心距1200mm</w:t>
            </w:r>
            <w:r>
              <w:rPr>
                <w:rFonts w:hint="eastAsia" w:ascii="宋体" w:hAnsi="宋体" w:eastAsia="宋体" w:cs="宋体"/>
                <w:b/>
                <w:bCs/>
                <w:color w:val="auto"/>
                <w:kern w:val="0"/>
                <w:sz w:val="22"/>
                <w:szCs w:val="22"/>
              </w:rPr>
              <w:t>（需现场测量确认）</w:t>
            </w:r>
            <w:r>
              <w:rPr>
                <w:rFonts w:hint="eastAsia" w:ascii="宋体" w:hAnsi="宋体" w:eastAsia="宋体" w:cs="宋体"/>
                <w:color w:val="auto"/>
                <w:kern w:val="0"/>
                <w:sz w:val="22"/>
                <w:szCs w:val="22"/>
              </w:rPr>
              <w:t>；</w:t>
            </w:r>
          </w:p>
          <w:p w14:paraId="114C40BC">
            <w:pPr>
              <w:numPr>
                <w:ilvl w:val="0"/>
                <w:numId w:val="0"/>
              </w:numPr>
              <w:tabs>
                <w:tab w:val="left" w:pos="840"/>
              </w:tabs>
              <w:spacing w:after="0" w:line="360" w:lineRule="exact"/>
              <w:ind w:leftChars="0"/>
              <w:contextualSpacing/>
              <w:rPr>
                <w:rFonts w:hint="eastAsia" w:ascii="宋体" w:hAnsi="宋体" w:eastAsia="宋体" w:cs="宋体"/>
                <w:color w:val="auto"/>
                <w:kern w:val="0"/>
                <w:sz w:val="22"/>
                <w:szCs w:val="22"/>
              </w:rPr>
            </w:pPr>
            <w:r>
              <w:rPr>
                <w:rFonts w:hint="eastAsia" w:ascii="宋体" w:hAnsi="宋体" w:eastAsia="宋体" w:cs="宋体"/>
                <w:color w:val="auto"/>
                <w:kern w:val="0"/>
                <w:sz w:val="22"/>
                <w:szCs w:val="22"/>
                <w:lang w:val="en-US" w:eastAsia="zh-CN"/>
              </w:rPr>
              <w:t>6）</w:t>
            </w:r>
            <w:r>
              <w:rPr>
                <w:rFonts w:hint="eastAsia" w:ascii="宋体" w:hAnsi="宋体" w:eastAsia="宋体" w:cs="宋体"/>
                <w:color w:val="auto"/>
                <w:kern w:val="0"/>
                <w:sz w:val="22"/>
                <w:szCs w:val="22"/>
              </w:rPr>
              <w:t xml:space="preserve">控制方式：遥控（含急停开关、钥匙开关）；备用一套； </w:t>
            </w:r>
          </w:p>
          <w:p w14:paraId="4233E63D">
            <w:pPr>
              <w:numPr>
                <w:ilvl w:val="0"/>
                <w:numId w:val="0"/>
              </w:numPr>
              <w:tabs>
                <w:tab w:val="left" w:pos="840"/>
              </w:tabs>
              <w:spacing w:after="0" w:line="360" w:lineRule="exact"/>
              <w:ind w:leftChars="0"/>
              <w:contextualSpacing/>
              <w:rPr>
                <w:rFonts w:hint="eastAsia" w:ascii="宋体" w:hAnsi="宋体" w:eastAsia="宋体" w:cs="宋体"/>
                <w:kern w:val="0"/>
                <w:sz w:val="22"/>
                <w:szCs w:val="22"/>
              </w:rPr>
            </w:pPr>
            <w:r>
              <w:rPr>
                <w:rFonts w:hint="eastAsia" w:ascii="宋体" w:hAnsi="宋体" w:eastAsia="宋体" w:cs="宋体"/>
                <w:color w:val="auto"/>
                <w:kern w:val="0"/>
                <w:sz w:val="22"/>
                <w:szCs w:val="22"/>
                <w:lang w:val="en-US" w:eastAsia="zh-CN"/>
              </w:rPr>
              <w:t>7）</w:t>
            </w:r>
            <w:r>
              <w:rPr>
                <w:rFonts w:hint="eastAsia" w:ascii="宋体" w:hAnsi="宋体" w:eastAsia="宋体" w:cs="宋体"/>
                <w:color w:val="auto"/>
                <w:kern w:val="0"/>
                <w:sz w:val="22"/>
                <w:szCs w:val="22"/>
              </w:rPr>
              <w:t>电池相</w:t>
            </w:r>
            <w:r>
              <w:rPr>
                <w:rFonts w:hint="eastAsia" w:ascii="宋体" w:hAnsi="宋体" w:eastAsia="宋体" w:cs="宋体"/>
                <w:kern w:val="0"/>
                <w:sz w:val="22"/>
                <w:szCs w:val="22"/>
              </w:rPr>
              <w:t>关：</w:t>
            </w:r>
            <w:r>
              <w:rPr>
                <w:rFonts w:hint="eastAsia" w:ascii="宋体" w:hAnsi="宋体" w:eastAsia="宋体" w:cs="宋体"/>
                <w:kern w:val="0"/>
                <w:sz w:val="22"/>
                <w:szCs w:val="22"/>
                <w:highlight w:val="green"/>
                <w:lang w:val="en-US" w:eastAsia="zh-CN"/>
              </w:rPr>
              <w:t>磷酸铁锂</w:t>
            </w:r>
            <w:r>
              <w:rPr>
                <w:rFonts w:hint="eastAsia" w:ascii="宋体" w:hAnsi="宋体" w:eastAsia="宋体" w:cs="宋体"/>
                <w:kern w:val="0"/>
                <w:sz w:val="22"/>
                <w:szCs w:val="22"/>
                <w:highlight w:val="green"/>
              </w:rPr>
              <w:t>电池</w:t>
            </w:r>
            <w:r>
              <w:rPr>
                <w:rFonts w:hint="eastAsia" w:ascii="宋体" w:hAnsi="宋体" w:eastAsia="宋体" w:cs="宋体"/>
                <w:kern w:val="0"/>
                <w:sz w:val="22"/>
                <w:szCs w:val="22"/>
              </w:rPr>
              <w:t>，容量≥</w:t>
            </w:r>
            <w:r>
              <w:rPr>
                <w:rFonts w:hint="eastAsia" w:ascii="宋体" w:hAnsi="宋体" w:eastAsia="宋体" w:cs="宋体"/>
                <w:kern w:val="0"/>
                <w:sz w:val="22"/>
                <w:szCs w:val="22"/>
                <w:lang w:val="en-US" w:eastAsia="zh-CN"/>
              </w:rPr>
              <w:t>40</w:t>
            </w:r>
            <w:r>
              <w:rPr>
                <w:rFonts w:hint="eastAsia" w:ascii="宋体" w:hAnsi="宋体" w:eastAsia="宋体" w:cs="宋体"/>
                <w:kern w:val="0"/>
                <w:sz w:val="22"/>
                <w:szCs w:val="22"/>
              </w:rPr>
              <w:t>0Ah，配独立充电机，充电线长≥5m；方便更换电瓶，充电时间</w:t>
            </w:r>
            <w:r>
              <w:rPr>
                <w:rFonts w:hint="eastAsia" w:ascii="宋体" w:hAnsi="宋体" w:eastAsia="宋体" w:cs="宋体"/>
                <w:kern w:val="0"/>
                <w:sz w:val="22"/>
                <w:szCs w:val="22"/>
                <w:lang w:val="en-US" w:eastAsia="zh-CN"/>
              </w:rPr>
              <w:t>≤4</w:t>
            </w:r>
            <w:r>
              <w:rPr>
                <w:rFonts w:hint="eastAsia" w:ascii="宋体" w:hAnsi="宋体" w:eastAsia="宋体" w:cs="宋体"/>
                <w:kern w:val="0"/>
                <w:sz w:val="22"/>
                <w:szCs w:val="22"/>
              </w:rPr>
              <w:t>h，循环充电次数≥</w:t>
            </w:r>
            <w:r>
              <w:rPr>
                <w:rFonts w:hint="eastAsia" w:ascii="宋体" w:hAnsi="宋体" w:eastAsia="宋体" w:cs="宋体"/>
                <w:kern w:val="0"/>
                <w:sz w:val="22"/>
                <w:szCs w:val="22"/>
                <w:lang w:val="en-US" w:eastAsia="zh-CN"/>
              </w:rPr>
              <w:t>2</w:t>
            </w:r>
            <w:r>
              <w:rPr>
                <w:rFonts w:hint="eastAsia" w:ascii="宋体" w:hAnsi="宋体" w:eastAsia="宋体" w:cs="宋体"/>
                <w:kern w:val="0"/>
                <w:sz w:val="22"/>
                <w:szCs w:val="22"/>
              </w:rPr>
              <w:t>500次，容量≥50%。</w:t>
            </w:r>
          </w:p>
          <w:p w14:paraId="1631AB00">
            <w:pPr>
              <w:numPr>
                <w:ilvl w:val="0"/>
                <w:numId w:val="0"/>
              </w:numPr>
              <w:tabs>
                <w:tab w:val="left" w:pos="840"/>
              </w:tabs>
              <w:spacing w:after="0" w:line="360" w:lineRule="exact"/>
              <w:ind w:leftChars="0"/>
              <w:contextualSpacing/>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8）</w:t>
            </w:r>
            <w:r>
              <w:rPr>
                <w:rFonts w:hint="eastAsia" w:ascii="宋体" w:hAnsi="宋体" w:eastAsia="宋体" w:cs="宋体"/>
                <w:kern w:val="0"/>
                <w:sz w:val="22"/>
                <w:szCs w:val="22"/>
              </w:rPr>
              <w:t>安全配置：配置声光报警灯与自动避障功能（带手动切换，避障距离300mm±30mm）；</w:t>
            </w:r>
          </w:p>
          <w:p w14:paraId="73784C9F">
            <w:pPr>
              <w:spacing w:line="440" w:lineRule="exact"/>
              <w:textAlignment w:val="center"/>
              <w:rPr>
                <w:rFonts w:hint="default" w:ascii="宋体" w:hAnsi="宋体" w:eastAsia="宋体" w:cs="宋体"/>
                <w:sz w:val="22"/>
                <w:lang w:val="en-US" w:eastAsia="zh-CN"/>
              </w:rPr>
            </w:pPr>
            <w:r>
              <w:rPr>
                <w:rFonts w:hint="eastAsia" w:ascii="宋体" w:hAnsi="宋体" w:eastAsia="宋体" w:cs="宋体"/>
                <w:kern w:val="0"/>
                <w:sz w:val="22"/>
                <w:szCs w:val="22"/>
                <w:lang w:val="en-US" w:eastAsia="zh-CN"/>
              </w:rPr>
              <w:t>9）</w:t>
            </w:r>
            <w:r>
              <w:rPr>
                <w:rFonts w:hint="eastAsia" w:ascii="宋体" w:hAnsi="宋体" w:eastAsia="宋体" w:cs="宋体"/>
                <w:kern w:val="0"/>
                <w:sz w:val="22"/>
                <w:szCs w:val="22"/>
              </w:rPr>
              <w:t>配置扫轨板，及时清除导轨上的杂物</w:t>
            </w:r>
            <w:r>
              <w:rPr>
                <w:rFonts w:hint="eastAsia" w:ascii="宋体" w:hAnsi="宋体" w:eastAsia="宋体" w:cs="宋体"/>
                <w:sz w:val="22"/>
              </w:rPr>
              <w:t>。</w:t>
            </w:r>
            <w:bookmarkEnd w:id="34"/>
          </w:p>
        </w:tc>
      </w:tr>
      <w:tr w14:paraId="664427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44" w:type="dxa"/>
            <w:noWrap w:val="0"/>
            <w:vAlign w:val="center"/>
          </w:tcPr>
          <w:p w14:paraId="5B545135">
            <w:pPr>
              <w:spacing w:line="440" w:lineRule="exact"/>
              <w:textAlignment w:val="center"/>
              <w:rPr>
                <w:rFonts w:hint="eastAsia" w:ascii="宋体" w:hAnsi="宋体" w:eastAsia="宋体" w:cs="宋体"/>
                <w:sz w:val="22"/>
              </w:rPr>
            </w:pPr>
            <w:r>
              <w:rPr>
                <w:rFonts w:hint="eastAsia" w:ascii="宋体" w:hAnsi="宋体" w:eastAsia="宋体" w:cs="宋体"/>
                <w:sz w:val="22"/>
              </w:rPr>
              <w:t>3</w:t>
            </w:r>
          </w:p>
        </w:tc>
        <w:tc>
          <w:tcPr>
            <w:tcW w:w="1985" w:type="dxa"/>
            <w:noWrap w:val="0"/>
            <w:vAlign w:val="center"/>
          </w:tcPr>
          <w:p w14:paraId="6302F1FC">
            <w:pPr>
              <w:spacing w:line="440" w:lineRule="exact"/>
              <w:textAlignment w:val="center"/>
              <w:rPr>
                <w:rFonts w:hint="eastAsia" w:ascii="宋体" w:hAnsi="宋体" w:eastAsia="宋体" w:cs="宋体"/>
                <w:sz w:val="22"/>
              </w:rPr>
            </w:pPr>
            <w:r>
              <w:rPr>
                <w:rFonts w:hint="eastAsia" w:ascii="宋体" w:hAnsi="宋体" w:eastAsia="宋体" w:cs="宋体"/>
                <w:sz w:val="22"/>
              </w:rPr>
              <w:t>旋转平台</w:t>
            </w:r>
          </w:p>
        </w:tc>
        <w:tc>
          <w:tcPr>
            <w:tcW w:w="1089" w:type="dxa"/>
            <w:noWrap w:val="0"/>
            <w:vAlign w:val="center"/>
          </w:tcPr>
          <w:p w14:paraId="030DB46D">
            <w:pPr>
              <w:spacing w:line="440" w:lineRule="exact"/>
              <w:textAlignment w:val="center"/>
              <w:rPr>
                <w:rFonts w:hint="eastAsia" w:ascii="宋体" w:hAnsi="宋体" w:eastAsia="宋体" w:cs="宋体"/>
                <w:sz w:val="22"/>
              </w:rPr>
            </w:pPr>
            <w:r>
              <w:rPr>
                <w:rFonts w:hint="eastAsia" w:ascii="宋体" w:hAnsi="宋体" w:eastAsia="宋体" w:cs="宋体"/>
                <w:sz w:val="22"/>
              </w:rPr>
              <w:t>台</w:t>
            </w:r>
          </w:p>
        </w:tc>
        <w:tc>
          <w:tcPr>
            <w:tcW w:w="5437" w:type="dxa"/>
            <w:noWrap w:val="0"/>
            <w:vAlign w:val="top"/>
          </w:tcPr>
          <w:p w14:paraId="1877AE0E">
            <w:pPr>
              <w:spacing w:line="440" w:lineRule="exact"/>
              <w:textAlignment w:val="center"/>
              <w:rPr>
                <w:rFonts w:hint="eastAsia" w:ascii="宋体" w:hAnsi="宋体" w:eastAsia="宋体" w:cs="宋体"/>
                <w:sz w:val="22"/>
              </w:rPr>
            </w:pPr>
            <w:r>
              <w:rPr>
                <w:rFonts w:hint="eastAsia" w:ascii="宋体" w:hAnsi="宋体" w:eastAsia="宋体" w:cs="宋体"/>
                <w:sz w:val="22"/>
              </w:rPr>
              <w:t>1)</w:t>
            </w:r>
            <w:r>
              <w:rPr>
                <w:rFonts w:hint="eastAsia" w:ascii="宋体" w:hAnsi="宋体" w:eastAsia="宋体" w:cs="宋体"/>
                <w:sz w:val="22"/>
              </w:rPr>
              <w:tab/>
            </w:r>
            <w:r>
              <w:rPr>
                <w:rFonts w:hint="eastAsia" w:ascii="宋体" w:hAnsi="宋体" w:eastAsia="宋体" w:cs="宋体"/>
                <w:sz w:val="22"/>
              </w:rPr>
              <w:t>具备足够的强度，负载能力＞地平车+1</w:t>
            </w:r>
            <w:r>
              <w:rPr>
                <w:rFonts w:hint="eastAsia" w:ascii="宋体" w:hAnsi="宋体" w:eastAsia="宋体" w:cs="宋体"/>
                <w:sz w:val="22"/>
                <w:lang w:val="en-US" w:eastAsia="zh-CN"/>
              </w:rPr>
              <w:t>6</w:t>
            </w:r>
            <w:r>
              <w:rPr>
                <w:rFonts w:hint="eastAsia" w:ascii="宋体" w:hAnsi="宋体" w:eastAsia="宋体" w:cs="宋体"/>
                <w:sz w:val="22"/>
              </w:rPr>
              <w:t xml:space="preserve">t； </w:t>
            </w:r>
          </w:p>
          <w:p w14:paraId="71FC44B0">
            <w:pPr>
              <w:spacing w:line="440" w:lineRule="exact"/>
              <w:textAlignment w:val="center"/>
              <w:rPr>
                <w:rFonts w:hint="eastAsia" w:ascii="宋体" w:hAnsi="宋体" w:eastAsia="宋体" w:cs="宋体"/>
                <w:sz w:val="22"/>
              </w:rPr>
            </w:pPr>
            <w:r>
              <w:rPr>
                <w:rFonts w:hint="eastAsia" w:ascii="宋体" w:hAnsi="宋体" w:eastAsia="宋体" w:cs="宋体"/>
                <w:sz w:val="22"/>
              </w:rPr>
              <w:t>2)</w:t>
            </w:r>
            <w:r>
              <w:rPr>
                <w:rFonts w:hint="eastAsia" w:ascii="宋体" w:hAnsi="宋体" w:eastAsia="宋体" w:cs="宋体"/>
                <w:sz w:val="22"/>
              </w:rPr>
              <w:tab/>
            </w:r>
            <w:r>
              <w:rPr>
                <w:rFonts w:hint="eastAsia" w:ascii="宋体" w:hAnsi="宋体" w:eastAsia="宋体" w:cs="宋体"/>
                <w:color w:val="auto"/>
                <w:sz w:val="22"/>
              </w:rPr>
              <w:t>上平面铺设有地平车运行导轨</w:t>
            </w:r>
            <w:r>
              <w:rPr>
                <w:rFonts w:hint="eastAsia" w:ascii="宋体" w:hAnsi="宋体" w:eastAsia="宋体" w:cs="宋体"/>
                <w:sz w:val="22"/>
              </w:rPr>
              <w:t>；</w:t>
            </w:r>
          </w:p>
          <w:p w14:paraId="2D576082">
            <w:pPr>
              <w:spacing w:line="440" w:lineRule="exact"/>
              <w:textAlignment w:val="center"/>
              <w:rPr>
                <w:rFonts w:hint="eastAsia" w:ascii="宋体" w:hAnsi="宋体" w:eastAsia="宋体" w:cs="宋体"/>
                <w:sz w:val="22"/>
              </w:rPr>
            </w:pPr>
            <w:r>
              <w:rPr>
                <w:rFonts w:hint="eastAsia" w:ascii="宋体" w:hAnsi="宋体" w:eastAsia="宋体" w:cs="宋体"/>
                <w:sz w:val="22"/>
              </w:rPr>
              <w:t>3)</w:t>
            </w:r>
            <w:r>
              <w:rPr>
                <w:rFonts w:hint="eastAsia" w:ascii="宋体" w:hAnsi="宋体" w:eastAsia="宋体" w:cs="宋体"/>
                <w:sz w:val="22"/>
              </w:rPr>
              <w:tab/>
            </w:r>
            <w:r>
              <w:rPr>
                <w:rFonts w:hint="eastAsia" w:ascii="宋体" w:hAnsi="宋体" w:eastAsia="宋体" w:cs="宋体"/>
                <w:sz w:val="22"/>
              </w:rPr>
              <w:t>地平车</w:t>
            </w:r>
            <w:r>
              <w:rPr>
                <w:rFonts w:hint="eastAsia" w:ascii="宋体" w:hAnsi="宋体" w:eastAsia="宋体" w:cs="宋体"/>
                <w:color w:val="auto"/>
                <w:sz w:val="22"/>
              </w:rPr>
              <w:t>运行至旋转平台后停止，旋转平台转动，</w:t>
            </w:r>
            <w:r>
              <w:rPr>
                <w:rFonts w:hint="eastAsia" w:ascii="宋体" w:hAnsi="宋体" w:eastAsia="宋体" w:cs="宋体"/>
                <w:color w:val="auto"/>
                <w:sz w:val="22"/>
                <w:highlight w:val="none"/>
              </w:rPr>
              <w:t>旋转平台表面轨道与通往</w:t>
            </w:r>
            <w:r>
              <w:rPr>
                <w:rFonts w:hint="eastAsia" w:ascii="宋体" w:hAnsi="宋体" w:eastAsia="宋体" w:cs="宋体"/>
                <w:color w:val="auto"/>
                <w:sz w:val="22"/>
                <w:highlight w:val="none"/>
                <w:lang w:val="en-US" w:eastAsia="zh-CN"/>
              </w:rPr>
              <w:t>上料工位</w:t>
            </w:r>
            <w:r>
              <w:rPr>
                <w:rFonts w:hint="eastAsia" w:ascii="宋体" w:hAnsi="宋体" w:eastAsia="宋体" w:cs="宋体"/>
                <w:color w:val="auto"/>
                <w:sz w:val="22"/>
                <w:highlight w:val="none"/>
              </w:rPr>
              <w:t>导轨对齐</w:t>
            </w:r>
            <w:r>
              <w:rPr>
                <w:rFonts w:hint="eastAsia" w:ascii="宋体" w:hAnsi="宋体" w:eastAsia="宋体" w:cs="宋体"/>
                <w:color w:val="auto"/>
                <w:sz w:val="22"/>
              </w:rPr>
              <w:t>；小</w:t>
            </w:r>
            <w:r>
              <w:rPr>
                <w:rFonts w:hint="eastAsia" w:ascii="宋体" w:hAnsi="宋体" w:eastAsia="宋体" w:cs="宋体"/>
                <w:sz w:val="22"/>
              </w:rPr>
              <w:t>车前行举升车箱，将车箱放置</w:t>
            </w:r>
            <w:r>
              <w:rPr>
                <w:rFonts w:hint="eastAsia" w:ascii="宋体" w:hAnsi="宋体" w:eastAsia="宋体" w:cs="宋体"/>
                <w:sz w:val="22"/>
                <w:lang w:val="en-US" w:eastAsia="zh-CN"/>
              </w:rPr>
              <w:t>悬挂系统后，</w:t>
            </w:r>
            <w:r>
              <w:rPr>
                <w:rFonts w:hint="eastAsia" w:ascii="宋体" w:hAnsi="宋体" w:eastAsia="宋体" w:cs="宋体"/>
                <w:sz w:val="22"/>
              </w:rPr>
              <w:t>平台降落，运行至旋转平台后停止；旋转平台反转，对轨，小车返回；</w:t>
            </w:r>
          </w:p>
          <w:p w14:paraId="3245197E">
            <w:pPr>
              <w:spacing w:line="440" w:lineRule="exact"/>
              <w:textAlignment w:val="center"/>
              <w:rPr>
                <w:rFonts w:hint="eastAsia" w:ascii="宋体" w:hAnsi="宋体" w:eastAsia="宋体" w:cs="宋体"/>
                <w:sz w:val="22"/>
              </w:rPr>
            </w:pPr>
            <w:r>
              <w:rPr>
                <w:rFonts w:hint="eastAsia" w:ascii="宋体" w:hAnsi="宋体" w:eastAsia="宋体" w:cs="宋体"/>
                <w:sz w:val="22"/>
              </w:rPr>
              <w:t>4)轨道长度：旋转平台</w:t>
            </w:r>
            <w:r>
              <w:rPr>
                <w:rFonts w:hint="eastAsia" w:ascii="宋体" w:hAnsi="宋体" w:eastAsia="宋体" w:cs="宋体"/>
                <w:sz w:val="22"/>
                <w:lang w:val="en-US" w:eastAsia="zh-CN"/>
              </w:rPr>
              <w:t>直至车箱上线工位</w:t>
            </w:r>
            <w:r>
              <w:rPr>
                <w:rFonts w:hint="eastAsia" w:ascii="宋体" w:hAnsi="宋体" w:eastAsia="宋体" w:cs="宋体"/>
                <w:sz w:val="22"/>
              </w:rPr>
              <w:t>；</w:t>
            </w:r>
          </w:p>
          <w:p w14:paraId="5B010FD1">
            <w:pPr>
              <w:spacing w:line="440" w:lineRule="exact"/>
              <w:textAlignment w:val="center"/>
              <w:rPr>
                <w:rFonts w:hint="eastAsia" w:ascii="宋体" w:hAnsi="宋体" w:eastAsia="宋体" w:cs="宋体"/>
                <w:sz w:val="22"/>
              </w:rPr>
            </w:pPr>
            <w:r>
              <w:rPr>
                <w:rFonts w:hint="eastAsia" w:ascii="宋体" w:hAnsi="宋体" w:eastAsia="宋体" w:cs="宋体"/>
                <w:sz w:val="22"/>
              </w:rPr>
              <w:t>5)旋转平台运行需平稳，避免急速启动和制动。</w:t>
            </w:r>
          </w:p>
          <w:p w14:paraId="22DB3017">
            <w:pPr>
              <w:spacing w:line="440" w:lineRule="exact"/>
              <w:textAlignment w:val="center"/>
              <w:rPr>
                <w:rFonts w:hint="eastAsia" w:ascii="宋体" w:hAnsi="宋体" w:eastAsia="宋体" w:cs="宋体"/>
                <w:sz w:val="22"/>
              </w:rPr>
            </w:pPr>
            <w:r>
              <w:rPr>
                <w:rFonts w:hint="eastAsia" w:ascii="宋体" w:hAnsi="宋体" w:eastAsia="宋体" w:cs="宋体"/>
                <w:sz w:val="22"/>
              </w:rPr>
              <w:t>控制方式：自动控制。</w:t>
            </w:r>
          </w:p>
        </w:tc>
      </w:tr>
      <w:tr w14:paraId="4C4049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44" w:type="dxa"/>
            <w:noWrap w:val="0"/>
            <w:vAlign w:val="center"/>
          </w:tcPr>
          <w:p w14:paraId="22EE29E6">
            <w:pPr>
              <w:spacing w:line="440" w:lineRule="exact"/>
              <w:textAlignment w:val="center"/>
              <w:rPr>
                <w:rFonts w:hint="eastAsia" w:ascii="宋体" w:hAnsi="宋体" w:eastAsia="宋体" w:cs="宋体"/>
                <w:sz w:val="22"/>
              </w:rPr>
            </w:pPr>
            <w:r>
              <w:rPr>
                <w:rFonts w:hint="eastAsia" w:ascii="宋体" w:hAnsi="宋体" w:eastAsia="宋体" w:cs="宋体"/>
                <w:sz w:val="22"/>
              </w:rPr>
              <w:t>4</w:t>
            </w:r>
          </w:p>
        </w:tc>
        <w:tc>
          <w:tcPr>
            <w:tcW w:w="1985" w:type="dxa"/>
            <w:noWrap w:val="0"/>
            <w:vAlign w:val="center"/>
          </w:tcPr>
          <w:p w14:paraId="7D73E6DE">
            <w:pPr>
              <w:spacing w:line="440" w:lineRule="exact"/>
              <w:textAlignment w:val="center"/>
              <w:rPr>
                <w:rFonts w:hint="eastAsia" w:ascii="宋体" w:hAnsi="宋体" w:eastAsia="宋体" w:cs="宋体"/>
                <w:sz w:val="22"/>
              </w:rPr>
            </w:pPr>
            <w:r>
              <w:rPr>
                <w:rFonts w:hint="eastAsia" w:ascii="宋体" w:hAnsi="宋体" w:eastAsia="宋体" w:cs="宋体"/>
                <w:sz w:val="22"/>
              </w:rPr>
              <w:t>液压升降平车3</w:t>
            </w:r>
          </w:p>
        </w:tc>
        <w:tc>
          <w:tcPr>
            <w:tcW w:w="1089" w:type="dxa"/>
            <w:noWrap w:val="0"/>
            <w:vAlign w:val="top"/>
          </w:tcPr>
          <w:p w14:paraId="0FEF36C6">
            <w:pPr>
              <w:spacing w:line="440" w:lineRule="exact"/>
              <w:textAlignment w:val="center"/>
              <w:rPr>
                <w:rFonts w:hint="eastAsia" w:ascii="宋体" w:hAnsi="宋体" w:eastAsia="宋体" w:cs="宋体"/>
                <w:sz w:val="22"/>
              </w:rPr>
            </w:pPr>
            <w:r>
              <w:rPr>
                <w:rFonts w:hint="eastAsia" w:ascii="宋体" w:hAnsi="宋体" w:eastAsia="宋体" w:cs="宋体"/>
                <w:sz w:val="22"/>
              </w:rPr>
              <w:t>台</w:t>
            </w:r>
          </w:p>
        </w:tc>
        <w:tc>
          <w:tcPr>
            <w:tcW w:w="5437" w:type="dxa"/>
            <w:noWrap w:val="0"/>
            <w:vAlign w:val="top"/>
          </w:tcPr>
          <w:p w14:paraId="31A7CAF0">
            <w:pPr>
              <w:numPr>
                <w:ilvl w:val="0"/>
                <w:numId w:val="0"/>
              </w:numPr>
              <w:tabs>
                <w:tab w:val="left" w:pos="840"/>
              </w:tabs>
              <w:spacing w:after="0" w:line="360" w:lineRule="exact"/>
              <w:ind w:leftChars="0"/>
              <w:contextualSpacing/>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1）</w:t>
            </w:r>
            <w:r>
              <w:rPr>
                <w:rFonts w:hint="eastAsia" w:ascii="宋体" w:hAnsi="宋体" w:eastAsia="宋体" w:cs="宋体"/>
                <w:kern w:val="0"/>
                <w:sz w:val="22"/>
                <w:szCs w:val="22"/>
              </w:rPr>
              <w:t>外形尺寸（长*宽*高mm）：</w:t>
            </w:r>
            <w:r>
              <w:rPr>
                <w:rFonts w:hint="eastAsia" w:ascii="宋体" w:hAnsi="宋体" w:eastAsia="宋体" w:cs="宋体"/>
                <w:color w:val="FF0000"/>
                <w:kern w:val="0"/>
                <w:sz w:val="22"/>
                <w:szCs w:val="22"/>
              </w:rPr>
              <w:t>3500*1100*570</w:t>
            </w:r>
          </w:p>
          <w:p w14:paraId="3FA79D7A">
            <w:pPr>
              <w:numPr>
                <w:ilvl w:val="0"/>
                <w:numId w:val="0"/>
              </w:numPr>
              <w:tabs>
                <w:tab w:val="left" w:pos="840"/>
              </w:tabs>
              <w:spacing w:after="0" w:line="360" w:lineRule="exact"/>
              <w:ind w:leftChars="0"/>
              <w:contextualSpacing/>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2）</w:t>
            </w:r>
            <w:r>
              <w:rPr>
                <w:rFonts w:hint="eastAsia" w:ascii="宋体" w:hAnsi="宋体" w:eastAsia="宋体" w:cs="宋体"/>
                <w:kern w:val="0"/>
                <w:sz w:val="22"/>
                <w:szCs w:val="22"/>
              </w:rPr>
              <w:t>承载能力：≥1</w:t>
            </w:r>
            <w:r>
              <w:rPr>
                <w:rFonts w:hint="eastAsia" w:ascii="宋体" w:hAnsi="宋体" w:eastAsia="宋体" w:cs="宋体"/>
                <w:kern w:val="0"/>
                <w:sz w:val="22"/>
                <w:szCs w:val="22"/>
                <w:lang w:val="en-US" w:eastAsia="zh-CN"/>
              </w:rPr>
              <w:t>6</w:t>
            </w:r>
            <w:r>
              <w:rPr>
                <w:rFonts w:hint="eastAsia" w:ascii="宋体" w:hAnsi="宋体" w:eastAsia="宋体" w:cs="宋体"/>
                <w:kern w:val="0"/>
                <w:sz w:val="22"/>
                <w:szCs w:val="22"/>
              </w:rPr>
              <w:t xml:space="preserve">000kg； </w:t>
            </w:r>
          </w:p>
          <w:p w14:paraId="7A8C9E3A">
            <w:pPr>
              <w:numPr>
                <w:ilvl w:val="0"/>
                <w:numId w:val="0"/>
              </w:numPr>
              <w:tabs>
                <w:tab w:val="left" w:pos="840"/>
              </w:tabs>
              <w:spacing w:after="0" w:line="360" w:lineRule="exact"/>
              <w:ind w:leftChars="0"/>
              <w:contextualSpacing/>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3）</w:t>
            </w:r>
            <w:r>
              <w:rPr>
                <w:rFonts w:hint="eastAsia" w:ascii="宋体" w:hAnsi="宋体" w:eastAsia="宋体" w:cs="宋体"/>
                <w:kern w:val="0"/>
                <w:sz w:val="22"/>
                <w:szCs w:val="22"/>
              </w:rPr>
              <w:t xml:space="preserve">驱动形式：电驱动； </w:t>
            </w:r>
          </w:p>
          <w:p w14:paraId="4A8CBC29">
            <w:pPr>
              <w:numPr>
                <w:ilvl w:val="0"/>
                <w:numId w:val="0"/>
              </w:numPr>
              <w:tabs>
                <w:tab w:val="left" w:pos="840"/>
              </w:tabs>
              <w:spacing w:after="0" w:line="360" w:lineRule="exact"/>
              <w:ind w:leftChars="0"/>
              <w:contextualSpacing/>
              <w:rPr>
                <w:rFonts w:hint="eastAsia" w:ascii="宋体" w:hAnsi="宋体" w:eastAsia="宋体" w:cs="宋体"/>
                <w:color w:val="auto"/>
                <w:kern w:val="0"/>
                <w:sz w:val="22"/>
                <w:szCs w:val="22"/>
              </w:rPr>
            </w:pPr>
            <w:r>
              <w:rPr>
                <w:rFonts w:hint="eastAsia" w:ascii="宋体" w:hAnsi="宋体" w:eastAsia="宋体" w:cs="宋体"/>
                <w:kern w:val="0"/>
                <w:sz w:val="22"/>
                <w:szCs w:val="22"/>
                <w:lang w:val="en-US" w:eastAsia="zh-CN"/>
              </w:rPr>
              <w:t>4</w:t>
            </w:r>
            <w:r>
              <w:rPr>
                <w:rFonts w:hint="eastAsia" w:ascii="宋体" w:hAnsi="宋体" w:eastAsia="宋体" w:cs="宋体"/>
                <w:color w:val="auto"/>
                <w:kern w:val="0"/>
                <w:sz w:val="22"/>
                <w:szCs w:val="22"/>
                <w:lang w:val="en-US" w:eastAsia="zh-CN"/>
              </w:rPr>
              <w:t>）</w:t>
            </w:r>
            <w:r>
              <w:rPr>
                <w:rFonts w:hint="eastAsia" w:ascii="宋体" w:hAnsi="宋体" w:eastAsia="宋体" w:cs="宋体"/>
                <w:color w:val="auto"/>
                <w:kern w:val="0"/>
                <w:sz w:val="22"/>
                <w:szCs w:val="22"/>
              </w:rPr>
              <w:t xml:space="preserve">行走速度：0-18米/min（变频可调）； </w:t>
            </w:r>
          </w:p>
          <w:p w14:paraId="43262329">
            <w:pPr>
              <w:numPr>
                <w:ilvl w:val="0"/>
                <w:numId w:val="0"/>
              </w:numPr>
              <w:tabs>
                <w:tab w:val="left" w:pos="840"/>
              </w:tabs>
              <w:spacing w:after="0" w:line="360" w:lineRule="exact"/>
              <w:ind w:leftChars="0"/>
              <w:contextualSpacing/>
              <w:rPr>
                <w:rFonts w:hint="eastAsia" w:ascii="宋体" w:hAnsi="宋体" w:eastAsia="宋体" w:cs="宋体"/>
                <w:color w:val="auto"/>
                <w:kern w:val="0"/>
                <w:sz w:val="22"/>
                <w:szCs w:val="22"/>
              </w:rPr>
            </w:pPr>
            <w:r>
              <w:rPr>
                <w:rFonts w:hint="eastAsia" w:ascii="宋体" w:hAnsi="宋体" w:eastAsia="宋体" w:cs="宋体"/>
                <w:color w:val="auto"/>
                <w:kern w:val="0"/>
                <w:sz w:val="22"/>
                <w:szCs w:val="22"/>
                <w:lang w:val="en-US" w:eastAsia="zh-CN"/>
              </w:rPr>
              <w:t>5）</w:t>
            </w:r>
            <w:r>
              <w:rPr>
                <w:rFonts w:hint="eastAsia" w:ascii="宋体" w:hAnsi="宋体" w:eastAsia="宋体" w:cs="宋体"/>
                <w:color w:val="auto"/>
                <w:kern w:val="0"/>
                <w:sz w:val="22"/>
                <w:szCs w:val="22"/>
              </w:rPr>
              <w:t>固定轨道内档尺寸：1162mm、中心距1200mm</w:t>
            </w:r>
            <w:r>
              <w:rPr>
                <w:rFonts w:hint="eastAsia" w:ascii="宋体" w:hAnsi="宋体" w:eastAsia="宋体" w:cs="宋体"/>
                <w:b/>
                <w:bCs/>
                <w:color w:val="auto"/>
                <w:kern w:val="0"/>
                <w:sz w:val="22"/>
                <w:szCs w:val="22"/>
              </w:rPr>
              <w:t>（需现场测量确认）</w:t>
            </w:r>
            <w:r>
              <w:rPr>
                <w:rFonts w:hint="eastAsia" w:ascii="宋体" w:hAnsi="宋体" w:eastAsia="宋体" w:cs="宋体"/>
                <w:color w:val="auto"/>
                <w:kern w:val="0"/>
                <w:sz w:val="22"/>
                <w:szCs w:val="22"/>
              </w:rPr>
              <w:t>；</w:t>
            </w:r>
          </w:p>
          <w:p w14:paraId="7B62BA10">
            <w:pPr>
              <w:numPr>
                <w:ilvl w:val="0"/>
                <w:numId w:val="0"/>
              </w:numPr>
              <w:tabs>
                <w:tab w:val="left" w:pos="840"/>
              </w:tabs>
              <w:spacing w:after="0" w:line="360" w:lineRule="exact"/>
              <w:ind w:leftChars="0"/>
              <w:contextualSpacing/>
              <w:rPr>
                <w:rFonts w:hint="eastAsia" w:ascii="宋体" w:hAnsi="宋体" w:eastAsia="宋体" w:cs="宋体"/>
                <w:color w:val="auto"/>
                <w:kern w:val="0"/>
                <w:sz w:val="22"/>
                <w:szCs w:val="22"/>
              </w:rPr>
            </w:pPr>
            <w:r>
              <w:rPr>
                <w:rFonts w:hint="eastAsia" w:ascii="宋体" w:hAnsi="宋体" w:eastAsia="宋体" w:cs="宋体"/>
                <w:color w:val="auto"/>
                <w:kern w:val="0"/>
                <w:sz w:val="22"/>
                <w:szCs w:val="22"/>
                <w:lang w:val="en-US" w:eastAsia="zh-CN"/>
              </w:rPr>
              <w:t>6）</w:t>
            </w:r>
            <w:r>
              <w:rPr>
                <w:rFonts w:hint="eastAsia" w:ascii="宋体" w:hAnsi="宋体" w:eastAsia="宋体" w:cs="宋体"/>
                <w:color w:val="auto"/>
                <w:kern w:val="0"/>
                <w:sz w:val="22"/>
                <w:szCs w:val="22"/>
              </w:rPr>
              <w:t xml:space="preserve">控制方式：遥控（含急停开关、钥匙开关）；备用一套； </w:t>
            </w:r>
          </w:p>
          <w:p w14:paraId="7DB151D8">
            <w:pPr>
              <w:numPr>
                <w:ilvl w:val="0"/>
                <w:numId w:val="0"/>
              </w:numPr>
              <w:tabs>
                <w:tab w:val="left" w:pos="840"/>
              </w:tabs>
              <w:spacing w:after="0" w:line="360" w:lineRule="exact"/>
              <w:ind w:leftChars="0"/>
              <w:contextualSpacing/>
              <w:rPr>
                <w:rFonts w:hint="eastAsia" w:ascii="宋体" w:hAnsi="宋体" w:eastAsia="宋体" w:cs="宋体"/>
                <w:kern w:val="0"/>
                <w:sz w:val="22"/>
                <w:szCs w:val="22"/>
              </w:rPr>
            </w:pPr>
            <w:r>
              <w:rPr>
                <w:rFonts w:hint="eastAsia" w:ascii="宋体" w:hAnsi="宋体" w:eastAsia="宋体" w:cs="宋体"/>
                <w:color w:val="auto"/>
                <w:kern w:val="0"/>
                <w:sz w:val="22"/>
                <w:szCs w:val="22"/>
                <w:lang w:val="en-US" w:eastAsia="zh-CN"/>
              </w:rPr>
              <w:t>7）</w:t>
            </w:r>
            <w:r>
              <w:rPr>
                <w:rFonts w:hint="eastAsia" w:ascii="宋体" w:hAnsi="宋体" w:eastAsia="宋体" w:cs="宋体"/>
                <w:color w:val="auto"/>
                <w:kern w:val="0"/>
                <w:sz w:val="22"/>
                <w:szCs w:val="22"/>
              </w:rPr>
              <w:t>电池相</w:t>
            </w:r>
            <w:r>
              <w:rPr>
                <w:rFonts w:hint="eastAsia" w:ascii="宋体" w:hAnsi="宋体" w:eastAsia="宋体" w:cs="宋体"/>
                <w:kern w:val="0"/>
                <w:sz w:val="22"/>
                <w:szCs w:val="22"/>
              </w:rPr>
              <w:t>关：</w:t>
            </w:r>
            <w:r>
              <w:rPr>
                <w:rFonts w:hint="eastAsia" w:ascii="宋体" w:hAnsi="宋体" w:eastAsia="宋体" w:cs="宋体"/>
                <w:kern w:val="0"/>
                <w:sz w:val="22"/>
                <w:szCs w:val="22"/>
                <w:highlight w:val="green"/>
                <w:lang w:val="en-US" w:eastAsia="zh-CN"/>
              </w:rPr>
              <w:t>磷酸铁锂</w:t>
            </w:r>
            <w:r>
              <w:rPr>
                <w:rFonts w:hint="eastAsia" w:ascii="宋体" w:hAnsi="宋体" w:eastAsia="宋体" w:cs="宋体"/>
                <w:kern w:val="0"/>
                <w:sz w:val="22"/>
                <w:szCs w:val="22"/>
                <w:highlight w:val="green"/>
              </w:rPr>
              <w:t>电池</w:t>
            </w:r>
            <w:r>
              <w:rPr>
                <w:rFonts w:hint="eastAsia" w:ascii="宋体" w:hAnsi="宋体" w:eastAsia="宋体" w:cs="宋体"/>
                <w:kern w:val="0"/>
                <w:sz w:val="22"/>
                <w:szCs w:val="22"/>
              </w:rPr>
              <w:t>，容量≥</w:t>
            </w:r>
            <w:r>
              <w:rPr>
                <w:rFonts w:hint="eastAsia" w:ascii="宋体" w:hAnsi="宋体" w:eastAsia="宋体" w:cs="宋体"/>
                <w:kern w:val="0"/>
                <w:sz w:val="22"/>
                <w:szCs w:val="22"/>
                <w:lang w:val="en-US" w:eastAsia="zh-CN"/>
              </w:rPr>
              <w:t>40</w:t>
            </w:r>
            <w:r>
              <w:rPr>
                <w:rFonts w:hint="eastAsia" w:ascii="宋体" w:hAnsi="宋体" w:eastAsia="宋体" w:cs="宋体"/>
                <w:kern w:val="0"/>
                <w:sz w:val="22"/>
                <w:szCs w:val="22"/>
              </w:rPr>
              <w:t>0Ah，配独立充电机，充电线长≥5m；方便更换电瓶，充电时间</w:t>
            </w:r>
            <w:r>
              <w:rPr>
                <w:rFonts w:hint="eastAsia" w:ascii="宋体" w:hAnsi="宋体" w:eastAsia="宋体" w:cs="宋体"/>
                <w:kern w:val="0"/>
                <w:sz w:val="22"/>
                <w:szCs w:val="22"/>
                <w:lang w:val="en-US" w:eastAsia="zh-CN"/>
              </w:rPr>
              <w:t>≤4</w:t>
            </w:r>
            <w:r>
              <w:rPr>
                <w:rFonts w:hint="eastAsia" w:ascii="宋体" w:hAnsi="宋体" w:eastAsia="宋体" w:cs="宋体"/>
                <w:kern w:val="0"/>
                <w:sz w:val="22"/>
                <w:szCs w:val="22"/>
              </w:rPr>
              <w:t>h，循环充电次数≥</w:t>
            </w:r>
            <w:r>
              <w:rPr>
                <w:rFonts w:hint="eastAsia" w:ascii="宋体" w:hAnsi="宋体" w:eastAsia="宋体" w:cs="宋体"/>
                <w:kern w:val="0"/>
                <w:sz w:val="22"/>
                <w:szCs w:val="22"/>
                <w:lang w:val="en-US" w:eastAsia="zh-CN"/>
              </w:rPr>
              <w:t>2</w:t>
            </w:r>
            <w:r>
              <w:rPr>
                <w:rFonts w:hint="eastAsia" w:ascii="宋体" w:hAnsi="宋体" w:eastAsia="宋体" w:cs="宋体"/>
                <w:kern w:val="0"/>
                <w:sz w:val="22"/>
                <w:szCs w:val="22"/>
              </w:rPr>
              <w:t>500次，容量≥50%。</w:t>
            </w:r>
          </w:p>
          <w:p w14:paraId="08DE5805">
            <w:pPr>
              <w:numPr>
                <w:ilvl w:val="0"/>
                <w:numId w:val="0"/>
              </w:numPr>
              <w:tabs>
                <w:tab w:val="left" w:pos="840"/>
              </w:tabs>
              <w:spacing w:after="0" w:line="360" w:lineRule="exact"/>
              <w:ind w:leftChars="0"/>
              <w:contextualSpacing/>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8）</w:t>
            </w:r>
            <w:r>
              <w:rPr>
                <w:rFonts w:hint="eastAsia" w:ascii="宋体" w:hAnsi="宋体" w:eastAsia="宋体" w:cs="宋体"/>
                <w:kern w:val="0"/>
                <w:sz w:val="22"/>
                <w:szCs w:val="22"/>
              </w:rPr>
              <w:t>安全配置：配置声光报警灯与自动避障功能（带手动切换，避障距离300mm±30mm）；</w:t>
            </w:r>
          </w:p>
          <w:p w14:paraId="2F1BF70F">
            <w:pPr>
              <w:spacing w:line="440" w:lineRule="exact"/>
              <w:textAlignment w:val="center"/>
              <w:rPr>
                <w:rFonts w:hint="eastAsia" w:ascii="宋体" w:hAnsi="宋体" w:eastAsia="宋体" w:cs="宋体"/>
                <w:sz w:val="22"/>
              </w:rPr>
            </w:pPr>
            <w:r>
              <w:rPr>
                <w:rFonts w:hint="eastAsia" w:ascii="宋体" w:hAnsi="宋体" w:eastAsia="宋体" w:cs="宋体"/>
                <w:kern w:val="0"/>
                <w:sz w:val="22"/>
                <w:szCs w:val="22"/>
                <w:lang w:val="en-US" w:eastAsia="zh-CN"/>
              </w:rPr>
              <w:t>9）</w:t>
            </w:r>
            <w:r>
              <w:rPr>
                <w:rFonts w:hint="eastAsia" w:ascii="宋体" w:hAnsi="宋体" w:eastAsia="宋体" w:cs="宋体"/>
                <w:kern w:val="0"/>
                <w:sz w:val="22"/>
                <w:szCs w:val="22"/>
              </w:rPr>
              <w:t>配置扫轨板，及时清除导轨上的杂物</w:t>
            </w:r>
            <w:r>
              <w:rPr>
                <w:rFonts w:hint="eastAsia" w:ascii="宋体" w:hAnsi="宋体" w:eastAsia="宋体" w:cs="宋体"/>
                <w:sz w:val="22"/>
              </w:rPr>
              <w:t>。</w:t>
            </w:r>
          </w:p>
        </w:tc>
      </w:tr>
      <w:tr w14:paraId="02F9A7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44" w:type="dxa"/>
            <w:noWrap w:val="0"/>
            <w:vAlign w:val="center"/>
          </w:tcPr>
          <w:p w14:paraId="740DEAEE">
            <w:pPr>
              <w:spacing w:line="440" w:lineRule="exact"/>
              <w:textAlignment w:val="center"/>
              <w:rPr>
                <w:rFonts w:hint="eastAsia" w:ascii="宋体" w:hAnsi="宋体" w:eastAsia="宋体" w:cs="宋体"/>
                <w:sz w:val="22"/>
              </w:rPr>
            </w:pPr>
            <w:r>
              <w:rPr>
                <w:rFonts w:hint="eastAsia" w:ascii="宋体" w:hAnsi="宋体" w:eastAsia="宋体" w:cs="宋体"/>
                <w:sz w:val="22"/>
              </w:rPr>
              <w:t>5</w:t>
            </w:r>
          </w:p>
        </w:tc>
        <w:tc>
          <w:tcPr>
            <w:tcW w:w="1985" w:type="dxa"/>
            <w:noWrap w:val="0"/>
            <w:vAlign w:val="center"/>
          </w:tcPr>
          <w:p w14:paraId="44DC146B">
            <w:pPr>
              <w:spacing w:line="440" w:lineRule="exact"/>
              <w:textAlignment w:val="center"/>
              <w:rPr>
                <w:rFonts w:hint="eastAsia" w:ascii="宋体" w:hAnsi="宋体" w:eastAsia="宋体" w:cs="宋体"/>
                <w:sz w:val="22"/>
              </w:rPr>
            </w:pPr>
            <w:r>
              <w:rPr>
                <w:rFonts w:hint="eastAsia" w:ascii="宋体" w:hAnsi="宋体" w:eastAsia="宋体" w:cs="宋体"/>
                <w:sz w:val="22"/>
              </w:rPr>
              <w:t>下料平车</w:t>
            </w:r>
          </w:p>
        </w:tc>
        <w:tc>
          <w:tcPr>
            <w:tcW w:w="1089" w:type="dxa"/>
            <w:noWrap w:val="0"/>
            <w:vAlign w:val="top"/>
          </w:tcPr>
          <w:p w14:paraId="2FCD9906">
            <w:pPr>
              <w:spacing w:line="440" w:lineRule="exact"/>
              <w:textAlignment w:val="center"/>
              <w:rPr>
                <w:rFonts w:hint="eastAsia" w:ascii="宋体" w:hAnsi="宋体" w:eastAsia="宋体" w:cs="宋体"/>
                <w:sz w:val="22"/>
              </w:rPr>
            </w:pPr>
            <w:r>
              <w:rPr>
                <w:rFonts w:hint="eastAsia" w:ascii="宋体" w:hAnsi="宋体" w:eastAsia="宋体" w:cs="宋体"/>
                <w:sz w:val="22"/>
              </w:rPr>
              <w:t>台</w:t>
            </w:r>
          </w:p>
        </w:tc>
        <w:tc>
          <w:tcPr>
            <w:tcW w:w="5437" w:type="dxa"/>
            <w:noWrap w:val="0"/>
            <w:vAlign w:val="top"/>
          </w:tcPr>
          <w:p w14:paraId="67176DD2">
            <w:pPr>
              <w:numPr>
                <w:ilvl w:val="0"/>
                <w:numId w:val="0"/>
              </w:numPr>
              <w:tabs>
                <w:tab w:val="left" w:pos="840"/>
              </w:tabs>
              <w:spacing w:after="0" w:line="360" w:lineRule="exact"/>
              <w:ind w:leftChars="0"/>
              <w:contextualSpacing/>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1）</w:t>
            </w:r>
            <w:r>
              <w:rPr>
                <w:rFonts w:hint="eastAsia" w:ascii="宋体" w:hAnsi="宋体" w:eastAsia="宋体" w:cs="宋体"/>
                <w:kern w:val="0"/>
                <w:sz w:val="22"/>
                <w:szCs w:val="22"/>
              </w:rPr>
              <w:t>外形尺寸（长*宽*高mm）：</w:t>
            </w:r>
            <w:r>
              <w:rPr>
                <w:rFonts w:hint="eastAsia" w:ascii="宋体" w:hAnsi="宋体" w:eastAsia="宋体" w:cs="宋体"/>
                <w:color w:val="FF0000"/>
                <w:kern w:val="0"/>
                <w:sz w:val="22"/>
                <w:szCs w:val="22"/>
              </w:rPr>
              <w:t>3500*1100*570</w:t>
            </w:r>
          </w:p>
          <w:p w14:paraId="6C49E8F3">
            <w:pPr>
              <w:numPr>
                <w:ilvl w:val="0"/>
                <w:numId w:val="0"/>
              </w:numPr>
              <w:tabs>
                <w:tab w:val="left" w:pos="840"/>
              </w:tabs>
              <w:spacing w:after="0" w:line="360" w:lineRule="exact"/>
              <w:ind w:leftChars="0"/>
              <w:contextualSpacing/>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2）</w:t>
            </w:r>
            <w:r>
              <w:rPr>
                <w:rFonts w:hint="eastAsia" w:ascii="宋体" w:hAnsi="宋体" w:eastAsia="宋体" w:cs="宋体"/>
                <w:kern w:val="0"/>
                <w:sz w:val="22"/>
                <w:szCs w:val="22"/>
              </w:rPr>
              <w:t>承载能力：≥1</w:t>
            </w:r>
            <w:r>
              <w:rPr>
                <w:rFonts w:hint="eastAsia" w:ascii="宋体" w:hAnsi="宋体" w:eastAsia="宋体" w:cs="宋体"/>
                <w:kern w:val="0"/>
                <w:sz w:val="22"/>
                <w:szCs w:val="22"/>
                <w:lang w:val="en-US" w:eastAsia="zh-CN"/>
              </w:rPr>
              <w:t>6</w:t>
            </w:r>
            <w:r>
              <w:rPr>
                <w:rFonts w:hint="eastAsia" w:ascii="宋体" w:hAnsi="宋体" w:eastAsia="宋体" w:cs="宋体"/>
                <w:kern w:val="0"/>
                <w:sz w:val="22"/>
                <w:szCs w:val="22"/>
              </w:rPr>
              <w:t xml:space="preserve">000kg； </w:t>
            </w:r>
          </w:p>
          <w:p w14:paraId="5C975408">
            <w:pPr>
              <w:numPr>
                <w:ilvl w:val="0"/>
                <w:numId w:val="0"/>
              </w:numPr>
              <w:tabs>
                <w:tab w:val="left" w:pos="840"/>
              </w:tabs>
              <w:spacing w:after="0" w:line="360" w:lineRule="exact"/>
              <w:ind w:leftChars="0"/>
              <w:contextualSpacing/>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3）</w:t>
            </w:r>
            <w:r>
              <w:rPr>
                <w:rFonts w:hint="eastAsia" w:ascii="宋体" w:hAnsi="宋体" w:eastAsia="宋体" w:cs="宋体"/>
                <w:kern w:val="0"/>
                <w:sz w:val="22"/>
                <w:szCs w:val="22"/>
              </w:rPr>
              <w:t xml:space="preserve">驱动形式：电驱动； </w:t>
            </w:r>
          </w:p>
          <w:p w14:paraId="62B2A4A0">
            <w:pPr>
              <w:numPr>
                <w:ilvl w:val="0"/>
                <w:numId w:val="0"/>
              </w:numPr>
              <w:tabs>
                <w:tab w:val="left" w:pos="840"/>
              </w:tabs>
              <w:spacing w:after="0" w:line="360" w:lineRule="exact"/>
              <w:ind w:leftChars="0"/>
              <w:contextualSpacing/>
              <w:rPr>
                <w:rFonts w:hint="eastAsia" w:ascii="宋体" w:hAnsi="宋体" w:eastAsia="宋体" w:cs="宋体"/>
                <w:color w:val="auto"/>
                <w:kern w:val="0"/>
                <w:sz w:val="22"/>
                <w:szCs w:val="22"/>
              </w:rPr>
            </w:pPr>
            <w:r>
              <w:rPr>
                <w:rFonts w:hint="eastAsia" w:ascii="宋体" w:hAnsi="宋体" w:eastAsia="宋体" w:cs="宋体"/>
                <w:kern w:val="0"/>
                <w:sz w:val="22"/>
                <w:szCs w:val="22"/>
                <w:lang w:val="en-US" w:eastAsia="zh-CN"/>
              </w:rPr>
              <w:t>4</w:t>
            </w:r>
            <w:r>
              <w:rPr>
                <w:rFonts w:hint="eastAsia" w:ascii="宋体" w:hAnsi="宋体" w:eastAsia="宋体" w:cs="宋体"/>
                <w:color w:val="auto"/>
                <w:kern w:val="0"/>
                <w:sz w:val="22"/>
                <w:szCs w:val="22"/>
                <w:lang w:val="en-US" w:eastAsia="zh-CN"/>
              </w:rPr>
              <w:t>）</w:t>
            </w:r>
            <w:r>
              <w:rPr>
                <w:rFonts w:hint="eastAsia" w:ascii="宋体" w:hAnsi="宋体" w:eastAsia="宋体" w:cs="宋体"/>
                <w:color w:val="auto"/>
                <w:kern w:val="0"/>
                <w:sz w:val="22"/>
                <w:szCs w:val="22"/>
              </w:rPr>
              <w:t xml:space="preserve">行走速度：0-18米/min（变频可调）； </w:t>
            </w:r>
          </w:p>
          <w:p w14:paraId="4336530D">
            <w:pPr>
              <w:numPr>
                <w:ilvl w:val="0"/>
                <w:numId w:val="0"/>
              </w:numPr>
              <w:tabs>
                <w:tab w:val="left" w:pos="840"/>
              </w:tabs>
              <w:spacing w:after="0" w:line="360" w:lineRule="exact"/>
              <w:ind w:leftChars="0"/>
              <w:contextualSpacing/>
              <w:rPr>
                <w:rFonts w:hint="eastAsia" w:ascii="宋体" w:hAnsi="宋体" w:eastAsia="宋体" w:cs="宋体"/>
                <w:color w:val="auto"/>
                <w:kern w:val="0"/>
                <w:sz w:val="22"/>
                <w:szCs w:val="22"/>
              </w:rPr>
            </w:pPr>
            <w:r>
              <w:rPr>
                <w:rFonts w:hint="eastAsia" w:ascii="宋体" w:hAnsi="宋体" w:eastAsia="宋体" w:cs="宋体"/>
                <w:color w:val="auto"/>
                <w:kern w:val="0"/>
                <w:sz w:val="22"/>
                <w:szCs w:val="22"/>
                <w:lang w:val="en-US" w:eastAsia="zh-CN"/>
              </w:rPr>
              <w:t>5）</w:t>
            </w:r>
            <w:r>
              <w:rPr>
                <w:rFonts w:hint="eastAsia" w:ascii="宋体" w:hAnsi="宋体" w:eastAsia="宋体" w:cs="宋体"/>
                <w:color w:val="auto"/>
                <w:kern w:val="0"/>
                <w:sz w:val="22"/>
                <w:szCs w:val="22"/>
              </w:rPr>
              <w:t>固定轨道内档尺寸：1162mm、中心距1200mm</w:t>
            </w:r>
            <w:r>
              <w:rPr>
                <w:rFonts w:hint="eastAsia" w:ascii="宋体" w:hAnsi="宋体" w:eastAsia="宋体" w:cs="宋体"/>
                <w:b/>
                <w:bCs/>
                <w:color w:val="auto"/>
                <w:kern w:val="0"/>
                <w:sz w:val="22"/>
                <w:szCs w:val="22"/>
              </w:rPr>
              <w:t>（需现场测量确认）</w:t>
            </w:r>
            <w:r>
              <w:rPr>
                <w:rFonts w:hint="eastAsia" w:ascii="宋体" w:hAnsi="宋体" w:eastAsia="宋体" w:cs="宋体"/>
                <w:color w:val="auto"/>
                <w:kern w:val="0"/>
                <w:sz w:val="22"/>
                <w:szCs w:val="22"/>
              </w:rPr>
              <w:t>；</w:t>
            </w:r>
          </w:p>
          <w:p w14:paraId="7355C07C">
            <w:pPr>
              <w:numPr>
                <w:ilvl w:val="0"/>
                <w:numId w:val="0"/>
              </w:numPr>
              <w:tabs>
                <w:tab w:val="left" w:pos="840"/>
              </w:tabs>
              <w:spacing w:after="0" w:line="360" w:lineRule="exact"/>
              <w:ind w:leftChars="0"/>
              <w:contextualSpacing/>
              <w:rPr>
                <w:rFonts w:hint="eastAsia" w:ascii="宋体" w:hAnsi="宋体" w:eastAsia="宋体" w:cs="宋体"/>
                <w:color w:val="auto"/>
                <w:kern w:val="0"/>
                <w:sz w:val="22"/>
                <w:szCs w:val="22"/>
              </w:rPr>
            </w:pPr>
            <w:r>
              <w:rPr>
                <w:rFonts w:hint="eastAsia" w:ascii="宋体" w:hAnsi="宋体" w:eastAsia="宋体" w:cs="宋体"/>
                <w:color w:val="auto"/>
                <w:kern w:val="0"/>
                <w:sz w:val="22"/>
                <w:szCs w:val="22"/>
                <w:lang w:val="en-US" w:eastAsia="zh-CN"/>
              </w:rPr>
              <w:t>6）</w:t>
            </w:r>
            <w:r>
              <w:rPr>
                <w:rFonts w:hint="eastAsia" w:ascii="宋体" w:hAnsi="宋体" w:eastAsia="宋体" w:cs="宋体"/>
                <w:color w:val="auto"/>
                <w:kern w:val="0"/>
                <w:sz w:val="22"/>
                <w:szCs w:val="22"/>
              </w:rPr>
              <w:t xml:space="preserve">控制方式：遥控（含急停开关、钥匙开关）；备用一套； </w:t>
            </w:r>
          </w:p>
          <w:p w14:paraId="1EAFE6EF">
            <w:pPr>
              <w:numPr>
                <w:ilvl w:val="0"/>
                <w:numId w:val="0"/>
              </w:numPr>
              <w:tabs>
                <w:tab w:val="left" w:pos="840"/>
              </w:tabs>
              <w:spacing w:after="0" w:line="360" w:lineRule="exact"/>
              <w:ind w:leftChars="0"/>
              <w:contextualSpacing/>
              <w:rPr>
                <w:rFonts w:hint="eastAsia" w:ascii="宋体" w:hAnsi="宋体" w:eastAsia="宋体" w:cs="宋体"/>
                <w:kern w:val="0"/>
                <w:sz w:val="22"/>
                <w:szCs w:val="22"/>
              </w:rPr>
            </w:pPr>
            <w:r>
              <w:rPr>
                <w:rFonts w:hint="eastAsia" w:ascii="宋体" w:hAnsi="宋体" w:eastAsia="宋体" w:cs="宋体"/>
                <w:color w:val="auto"/>
                <w:kern w:val="0"/>
                <w:sz w:val="22"/>
                <w:szCs w:val="22"/>
                <w:lang w:val="en-US" w:eastAsia="zh-CN"/>
              </w:rPr>
              <w:t>7）</w:t>
            </w:r>
            <w:r>
              <w:rPr>
                <w:rFonts w:hint="eastAsia" w:ascii="宋体" w:hAnsi="宋体" w:eastAsia="宋体" w:cs="宋体"/>
                <w:color w:val="auto"/>
                <w:kern w:val="0"/>
                <w:sz w:val="22"/>
                <w:szCs w:val="22"/>
              </w:rPr>
              <w:t>电池相</w:t>
            </w:r>
            <w:r>
              <w:rPr>
                <w:rFonts w:hint="eastAsia" w:ascii="宋体" w:hAnsi="宋体" w:eastAsia="宋体" w:cs="宋体"/>
                <w:kern w:val="0"/>
                <w:sz w:val="22"/>
                <w:szCs w:val="22"/>
              </w:rPr>
              <w:t>关：</w:t>
            </w:r>
            <w:r>
              <w:rPr>
                <w:rFonts w:hint="eastAsia" w:ascii="宋体" w:hAnsi="宋体" w:eastAsia="宋体" w:cs="宋体"/>
                <w:kern w:val="0"/>
                <w:sz w:val="22"/>
                <w:szCs w:val="22"/>
                <w:highlight w:val="green"/>
                <w:lang w:val="en-US" w:eastAsia="zh-CN"/>
              </w:rPr>
              <w:t>磷酸铁锂</w:t>
            </w:r>
            <w:r>
              <w:rPr>
                <w:rFonts w:hint="eastAsia" w:ascii="宋体" w:hAnsi="宋体" w:eastAsia="宋体" w:cs="宋体"/>
                <w:kern w:val="0"/>
                <w:sz w:val="22"/>
                <w:szCs w:val="22"/>
                <w:highlight w:val="green"/>
              </w:rPr>
              <w:t>电池</w:t>
            </w:r>
            <w:r>
              <w:rPr>
                <w:rFonts w:hint="eastAsia" w:ascii="宋体" w:hAnsi="宋体" w:eastAsia="宋体" w:cs="宋体"/>
                <w:kern w:val="0"/>
                <w:sz w:val="22"/>
                <w:szCs w:val="22"/>
              </w:rPr>
              <w:t>，容量≥</w:t>
            </w:r>
            <w:r>
              <w:rPr>
                <w:rFonts w:hint="eastAsia" w:ascii="宋体" w:hAnsi="宋体" w:eastAsia="宋体" w:cs="宋体"/>
                <w:kern w:val="0"/>
                <w:sz w:val="22"/>
                <w:szCs w:val="22"/>
                <w:lang w:val="en-US" w:eastAsia="zh-CN"/>
              </w:rPr>
              <w:t>40</w:t>
            </w:r>
            <w:r>
              <w:rPr>
                <w:rFonts w:hint="eastAsia" w:ascii="宋体" w:hAnsi="宋体" w:eastAsia="宋体" w:cs="宋体"/>
                <w:kern w:val="0"/>
                <w:sz w:val="22"/>
                <w:szCs w:val="22"/>
              </w:rPr>
              <w:t>0Ah，配独立充电机，充电线长≥5m；方便更换电瓶，充电时间</w:t>
            </w:r>
            <w:r>
              <w:rPr>
                <w:rFonts w:hint="eastAsia" w:ascii="宋体" w:hAnsi="宋体" w:eastAsia="宋体" w:cs="宋体"/>
                <w:kern w:val="0"/>
                <w:sz w:val="22"/>
                <w:szCs w:val="22"/>
                <w:lang w:val="en-US" w:eastAsia="zh-CN"/>
              </w:rPr>
              <w:t>≤4</w:t>
            </w:r>
            <w:r>
              <w:rPr>
                <w:rFonts w:hint="eastAsia" w:ascii="宋体" w:hAnsi="宋体" w:eastAsia="宋体" w:cs="宋体"/>
                <w:kern w:val="0"/>
                <w:sz w:val="22"/>
                <w:szCs w:val="22"/>
              </w:rPr>
              <w:t>h，循环充电次数≥</w:t>
            </w:r>
            <w:r>
              <w:rPr>
                <w:rFonts w:hint="eastAsia" w:ascii="宋体" w:hAnsi="宋体" w:eastAsia="宋体" w:cs="宋体"/>
                <w:kern w:val="0"/>
                <w:sz w:val="22"/>
                <w:szCs w:val="22"/>
                <w:lang w:val="en-US" w:eastAsia="zh-CN"/>
              </w:rPr>
              <w:t>2</w:t>
            </w:r>
            <w:r>
              <w:rPr>
                <w:rFonts w:hint="eastAsia" w:ascii="宋体" w:hAnsi="宋体" w:eastAsia="宋体" w:cs="宋体"/>
                <w:kern w:val="0"/>
                <w:sz w:val="22"/>
                <w:szCs w:val="22"/>
              </w:rPr>
              <w:t>500次，容量≥50%。</w:t>
            </w:r>
          </w:p>
          <w:p w14:paraId="30FA2FB6">
            <w:pPr>
              <w:numPr>
                <w:ilvl w:val="0"/>
                <w:numId w:val="0"/>
              </w:numPr>
              <w:tabs>
                <w:tab w:val="left" w:pos="840"/>
              </w:tabs>
              <w:spacing w:after="0" w:line="360" w:lineRule="exact"/>
              <w:ind w:leftChars="0"/>
              <w:contextualSpacing/>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8）</w:t>
            </w:r>
            <w:r>
              <w:rPr>
                <w:rFonts w:hint="eastAsia" w:ascii="宋体" w:hAnsi="宋体" w:eastAsia="宋体" w:cs="宋体"/>
                <w:kern w:val="0"/>
                <w:sz w:val="22"/>
                <w:szCs w:val="22"/>
              </w:rPr>
              <w:t>安全配置：配置声光报警灯与自动避障功能（带手动切换，避障距离300mm±30mm）；</w:t>
            </w:r>
          </w:p>
          <w:p w14:paraId="64F11982">
            <w:pPr>
              <w:spacing w:line="440" w:lineRule="exact"/>
              <w:textAlignment w:val="center"/>
              <w:rPr>
                <w:rFonts w:hint="eastAsia" w:ascii="宋体" w:hAnsi="宋体" w:eastAsia="宋体" w:cs="宋体"/>
                <w:sz w:val="22"/>
              </w:rPr>
            </w:pPr>
            <w:r>
              <w:rPr>
                <w:rFonts w:hint="eastAsia" w:ascii="宋体" w:hAnsi="宋体" w:eastAsia="宋体" w:cs="宋体"/>
                <w:kern w:val="0"/>
                <w:sz w:val="22"/>
                <w:szCs w:val="22"/>
                <w:lang w:val="en-US" w:eastAsia="zh-CN"/>
              </w:rPr>
              <w:t>9）</w:t>
            </w:r>
            <w:r>
              <w:rPr>
                <w:rFonts w:hint="eastAsia" w:ascii="宋体" w:hAnsi="宋体" w:eastAsia="宋体" w:cs="宋体"/>
                <w:kern w:val="0"/>
                <w:sz w:val="22"/>
                <w:szCs w:val="22"/>
              </w:rPr>
              <w:t>配置扫轨板，及时清除导轨上的杂物</w:t>
            </w:r>
            <w:r>
              <w:rPr>
                <w:rFonts w:hint="eastAsia" w:ascii="宋体" w:hAnsi="宋体" w:eastAsia="宋体" w:cs="宋体"/>
                <w:sz w:val="22"/>
              </w:rPr>
              <w:t>。</w:t>
            </w:r>
          </w:p>
        </w:tc>
      </w:tr>
      <w:tr w14:paraId="6E8D18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44" w:type="dxa"/>
            <w:noWrap w:val="0"/>
            <w:vAlign w:val="center"/>
          </w:tcPr>
          <w:p w14:paraId="4A0C698F">
            <w:pPr>
              <w:spacing w:line="440" w:lineRule="exact"/>
              <w:textAlignment w:val="center"/>
              <w:rPr>
                <w:rFonts w:hint="eastAsia" w:ascii="宋体" w:hAnsi="宋体" w:eastAsia="宋体" w:cs="宋体"/>
                <w:sz w:val="22"/>
              </w:rPr>
            </w:pPr>
            <w:r>
              <w:rPr>
                <w:rFonts w:hint="eastAsia" w:ascii="宋体" w:hAnsi="宋体" w:eastAsia="宋体" w:cs="宋体"/>
                <w:sz w:val="22"/>
              </w:rPr>
              <w:t>6</w:t>
            </w:r>
          </w:p>
        </w:tc>
        <w:tc>
          <w:tcPr>
            <w:tcW w:w="1985" w:type="dxa"/>
            <w:noWrap w:val="0"/>
            <w:vAlign w:val="center"/>
          </w:tcPr>
          <w:p w14:paraId="4382072B">
            <w:pPr>
              <w:spacing w:line="440" w:lineRule="exact"/>
              <w:textAlignment w:val="center"/>
              <w:rPr>
                <w:rFonts w:hint="eastAsia" w:ascii="宋体" w:hAnsi="宋体" w:eastAsia="宋体" w:cs="宋体"/>
                <w:sz w:val="22"/>
              </w:rPr>
            </w:pPr>
            <w:r>
              <w:rPr>
                <w:rFonts w:hint="eastAsia" w:ascii="宋体" w:hAnsi="宋体" w:eastAsia="宋体" w:cs="宋体"/>
                <w:sz w:val="22"/>
              </w:rPr>
              <w:t>轨道</w:t>
            </w:r>
          </w:p>
        </w:tc>
        <w:tc>
          <w:tcPr>
            <w:tcW w:w="1089" w:type="dxa"/>
            <w:noWrap w:val="0"/>
            <w:vAlign w:val="center"/>
          </w:tcPr>
          <w:p w14:paraId="7E11547B">
            <w:pPr>
              <w:spacing w:line="440" w:lineRule="exact"/>
              <w:textAlignment w:val="center"/>
              <w:rPr>
                <w:rFonts w:hint="eastAsia" w:ascii="宋体" w:hAnsi="宋体" w:eastAsia="宋体" w:cs="宋体"/>
                <w:sz w:val="22"/>
              </w:rPr>
            </w:pPr>
            <w:r>
              <w:rPr>
                <w:rFonts w:hint="eastAsia" w:ascii="宋体" w:hAnsi="宋体" w:eastAsia="宋体" w:cs="宋体"/>
                <w:sz w:val="22"/>
              </w:rPr>
              <w:t>套</w:t>
            </w:r>
          </w:p>
        </w:tc>
        <w:tc>
          <w:tcPr>
            <w:tcW w:w="5437" w:type="dxa"/>
            <w:noWrap w:val="0"/>
            <w:vAlign w:val="center"/>
          </w:tcPr>
          <w:p w14:paraId="0C56FD88">
            <w:pPr>
              <w:numPr>
                <w:ilvl w:val="0"/>
                <w:numId w:val="0"/>
              </w:numPr>
              <w:tabs>
                <w:tab w:val="left" w:pos="840"/>
              </w:tabs>
              <w:spacing w:after="0" w:line="360" w:lineRule="exact"/>
              <w:ind w:leftChars="0"/>
              <w:contextualSpacing/>
              <w:rPr>
                <w:rFonts w:hint="eastAsia" w:ascii="宋体" w:hAnsi="宋体" w:eastAsia="宋体" w:cs="宋体"/>
                <w:kern w:val="0"/>
                <w:sz w:val="22"/>
                <w:szCs w:val="22"/>
              </w:rPr>
            </w:pPr>
            <w:r>
              <w:rPr>
                <w:rFonts w:hint="eastAsia" w:ascii="宋体" w:hAnsi="宋体" w:eastAsia="宋体" w:cs="宋体"/>
                <w:kern w:val="0"/>
                <w:sz w:val="22"/>
                <w:szCs w:val="22"/>
              </w:rPr>
              <w:t>1)钢轨型号：</w:t>
            </w:r>
            <w:r>
              <w:rPr>
                <w:rFonts w:hint="eastAsia" w:ascii="宋体" w:hAnsi="宋体" w:eastAsia="宋体" w:cs="宋体"/>
                <w:kern w:val="0"/>
                <w:sz w:val="22"/>
                <w:szCs w:val="22"/>
                <w:lang w:val="en-US" w:eastAsia="zh-CN"/>
              </w:rPr>
              <w:t>43</w:t>
            </w:r>
            <w:r>
              <w:rPr>
                <w:rFonts w:hint="eastAsia" w:ascii="宋体" w:hAnsi="宋体" w:eastAsia="宋体" w:cs="宋体"/>
                <w:kern w:val="0"/>
                <w:sz w:val="22"/>
                <w:szCs w:val="22"/>
              </w:rPr>
              <w:t xml:space="preserve">kg/m； </w:t>
            </w:r>
          </w:p>
          <w:p w14:paraId="7FCFAADE">
            <w:pPr>
              <w:numPr>
                <w:ilvl w:val="0"/>
                <w:numId w:val="0"/>
              </w:numPr>
              <w:tabs>
                <w:tab w:val="left" w:pos="840"/>
              </w:tabs>
              <w:spacing w:after="0" w:line="360" w:lineRule="exact"/>
              <w:ind w:leftChars="0"/>
              <w:contextualSpacing/>
              <w:rPr>
                <w:rFonts w:hint="eastAsia" w:ascii="宋体" w:hAnsi="宋体" w:eastAsia="宋体" w:cs="宋体"/>
                <w:kern w:val="0"/>
                <w:sz w:val="22"/>
                <w:szCs w:val="22"/>
              </w:rPr>
            </w:pPr>
            <w:r>
              <w:rPr>
                <w:rFonts w:hint="eastAsia" w:ascii="宋体" w:hAnsi="宋体" w:eastAsia="宋体" w:cs="宋体"/>
                <w:kern w:val="0"/>
                <w:sz w:val="22"/>
                <w:szCs w:val="22"/>
              </w:rPr>
              <w:t>2)中心距1200mm（需现场测量确认）。</w:t>
            </w:r>
          </w:p>
          <w:p w14:paraId="671C2DC0">
            <w:pPr>
              <w:numPr>
                <w:ilvl w:val="0"/>
                <w:numId w:val="0"/>
              </w:numPr>
              <w:tabs>
                <w:tab w:val="left" w:pos="840"/>
              </w:tabs>
              <w:spacing w:after="0" w:line="360" w:lineRule="exact"/>
              <w:ind w:leftChars="0"/>
              <w:contextualSpacing/>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3）</w:t>
            </w:r>
            <w:r>
              <w:rPr>
                <w:rFonts w:hint="eastAsia" w:ascii="宋体" w:hAnsi="宋体" w:eastAsia="宋体" w:cs="宋体"/>
                <w:kern w:val="0"/>
                <w:sz w:val="22"/>
                <w:szCs w:val="22"/>
              </w:rPr>
              <w:t>轨道长度：</w:t>
            </w:r>
            <w:r>
              <w:rPr>
                <w:rFonts w:hint="eastAsia" w:ascii="宋体" w:hAnsi="宋体" w:eastAsia="宋体" w:cs="宋体"/>
                <w:kern w:val="0"/>
                <w:sz w:val="22"/>
                <w:szCs w:val="22"/>
                <w:lang w:val="en-US" w:eastAsia="zh-CN"/>
              </w:rPr>
              <w:t>约160米，2根共320米</w:t>
            </w:r>
            <w:r>
              <w:rPr>
                <w:rFonts w:hint="eastAsia" w:ascii="宋体" w:hAnsi="宋体" w:eastAsia="宋体" w:cs="宋体"/>
                <w:kern w:val="0"/>
                <w:sz w:val="22"/>
                <w:szCs w:val="22"/>
              </w:rPr>
              <w:t>。（此长度为预估，具体尺寸需现场测量。）</w:t>
            </w:r>
          </w:p>
          <w:p w14:paraId="270E33F3">
            <w:pPr>
              <w:numPr>
                <w:ilvl w:val="0"/>
                <w:numId w:val="0"/>
              </w:numPr>
              <w:tabs>
                <w:tab w:val="left" w:pos="840"/>
              </w:tabs>
              <w:spacing w:after="0" w:line="360" w:lineRule="exact"/>
              <w:ind w:leftChars="0"/>
              <w:contextualSpacing/>
              <w:rPr>
                <w:rFonts w:hint="default" w:eastAsia="宋体"/>
                <w:lang w:val="en-US" w:eastAsia="zh-CN"/>
              </w:rPr>
            </w:pPr>
            <w:r>
              <w:rPr>
                <w:rFonts w:hint="eastAsia" w:ascii="宋体" w:hAnsi="宋体" w:eastAsia="宋体" w:cs="宋体"/>
                <w:kern w:val="0"/>
                <w:sz w:val="22"/>
                <w:szCs w:val="22"/>
                <w:lang w:val="en-US" w:eastAsia="zh-CN"/>
              </w:rPr>
              <w:t>4）每500mm两块压板，含垫板，调节垫板等。</w:t>
            </w:r>
          </w:p>
        </w:tc>
      </w:tr>
    </w:tbl>
    <w:p w14:paraId="5199A88E">
      <w:pPr>
        <w:pStyle w:val="212"/>
        <w:rPr>
          <w:rFonts w:hint="eastAsia" w:ascii="宋体" w:hAnsi="宋体" w:cs="宋体"/>
          <w:b/>
          <w:bCs/>
          <w:kern w:val="2"/>
          <w:sz w:val="24"/>
          <w:szCs w:val="32"/>
          <w:lang w:val="en-US" w:eastAsia="zh-CN" w:bidi="ar-SA"/>
        </w:rPr>
      </w:pPr>
      <w:r>
        <w:rPr>
          <w:rFonts w:hint="eastAsia" w:ascii="宋体" w:hAnsi="宋体" w:cs="宋体"/>
          <w:b/>
          <w:bCs/>
          <w:kern w:val="2"/>
          <w:sz w:val="24"/>
          <w:szCs w:val="32"/>
          <w:lang w:val="en-US" w:eastAsia="zh-CN" w:bidi="ar-SA"/>
        </w:rPr>
        <w:t>2.4数据信息化</w:t>
      </w:r>
    </w:p>
    <w:tbl>
      <w:tblPr>
        <w:tblStyle w:val="4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44"/>
        <w:gridCol w:w="1985"/>
        <w:gridCol w:w="1089"/>
        <w:gridCol w:w="5437"/>
      </w:tblGrid>
      <w:tr w14:paraId="5641CB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jc w:val="center"/>
        </w:trPr>
        <w:tc>
          <w:tcPr>
            <w:tcW w:w="744" w:type="dxa"/>
            <w:vMerge w:val="restart"/>
            <w:noWrap w:val="0"/>
            <w:vAlign w:val="center"/>
          </w:tcPr>
          <w:p w14:paraId="13CD8714">
            <w:pPr>
              <w:spacing w:line="440" w:lineRule="exact"/>
              <w:jc w:val="left"/>
              <w:rPr>
                <w:rFonts w:hint="eastAsia" w:ascii="宋体" w:hAnsi="宋体" w:eastAsia="宋体" w:cs="宋体"/>
                <w:b/>
                <w:bCs/>
                <w:sz w:val="24"/>
              </w:rPr>
            </w:pPr>
            <w:r>
              <w:rPr>
                <w:rFonts w:hint="eastAsia" w:ascii="宋体" w:hAnsi="宋体" w:eastAsia="宋体" w:cs="宋体"/>
                <w:b/>
                <w:bCs/>
                <w:sz w:val="24"/>
              </w:rPr>
              <w:t>序号</w:t>
            </w:r>
          </w:p>
        </w:tc>
        <w:tc>
          <w:tcPr>
            <w:tcW w:w="1985" w:type="dxa"/>
            <w:vMerge w:val="restart"/>
            <w:noWrap w:val="0"/>
            <w:vAlign w:val="center"/>
          </w:tcPr>
          <w:p w14:paraId="7B4C5ADA">
            <w:pPr>
              <w:spacing w:line="440" w:lineRule="exact"/>
              <w:jc w:val="left"/>
              <w:rPr>
                <w:rFonts w:hint="eastAsia" w:ascii="宋体" w:hAnsi="宋体" w:eastAsia="宋体" w:cs="宋体"/>
                <w:b/>
                <w:bCs/>
                <w:sz w:val="24"/>
              </w:rPr>
            </w:pPr>
            <w:r>
              <w:rPr>
                <w:rFonts w:hint="eastAsia" w:ascii="宋体" w:hAnsi="宋体" w:eastAsia="宋体" w:cs="宋体"/>
                <w:b/>
                <w:bCs/>
                <w:sz w:val="24"/>
              </w:rPr>
              <w:t>项  目</w:t>
            </w:r>
          </w:p>
        </w:tc>
        <w:tc>
          <w:tcPr>
            <w:tcW w:w="1089" w:type="dxa"/>
            <w:vMerge w:val="restart"/>
            <w:noWrap w:val="0"/>
            <w:vAlign w:val="center"/>
          </w:tcPr>
          <w:p w14:paraId="3389A303">
            <w:pPr>
              <w:spacing w:line="440" w:lineRule="exact"/>
              <w:jc w:val="left"/>
              <w:rPr>
                <w:rFonts w:hint="eastAsia" w:ascii="宋体" w:hAnsi="宋体" w:eastAsia="宋体" w:cs="宋体"/>
                <w:b/>
                <w:bCs/>
                <w:sz w:val="24"/>
              </w:rPr>
            </w:pPr>
            <w:r>
              <w:rPr>
                <w:rFonts w:hint="eastAsia" w:ascii="宋体" w:hAnsi="宋体" w:eastAsia="宋体" w:cs="宋体"/>
                <w:b/>
                <w:bCs/>
                <w:sz w:val="24"/>
              </w:rPr>
              <w:t>单位</w:t>
            </w:r>
          </w:p>
        </w:tc>
        <w:tc>
          <w:tcPr>
            <w:tcW w:w="5437" w:type="dxa"/>
            <w:vMerge w:val="restart"/>
            <w:noWrap w:val="0"/>
            <w:vAlign w:val="center"/>
          </w:tcPr>
          <w:p w14:paraId="22109388">
            <w:pPr>
              <w:spacing w:line="440" w:lineRule="exact"/>
              <w:jc w:val="left"/>
              <w:rPr>
                <w:rFonts w:hint="eastAsia" w:ascii="宋体" w:hAnsi="宋体" w:eastAsia="宋体" w:cs="宋体"/>
                <w:b/>
                <w:bCs/>
                <w:sz w:val="24"/>
              </w:rPr>
            </w:pPr>
            <w:r>
              <w:rPr>
                <w:rFonts w:hint="eastAsia" w:ascii="宋体" w:hAnsi="宋体" w:eastAsia="宋体" w:cs="宋体"/>
                <w:b/>
                <w:bCs/>
                <w:sz w:val="24"/>
              </w:rPr>
              <w:t>具体参数</w:t>
            </w:r>
          </w:p>
        </w:tc>
      </w:tr>
      <w:tr w14:paraId="7F9A81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jc w:val="center"/>
        </w:trPr>
        <w:tc>
          <w:tcPr>
            <w:tcW w:w="744" w:type="dxa"/>
            <w:vMerge w:val="continue"/>
            <w:noWrap w:val="0"/>
            <w:vAlign w:val="center"/>
          </w:tcPr>
          <w:p w14:paraId="3D4FF161">
            <w:pPr>
              <w:spacing w:line="240" w:lineRule="exact"/>
              <w:jc w:val="center"/>
              <w:rPr>
                <w:rFonts w:ascii="华文仿宋" w:hAnsi="华文仿宋" w:eastAsia="华文仿宋" w:cs="宋体"/>
                <w:color w:val="000000"/>
                <w:kern w:val="0"/>
                <w:sz w:val="22"/>
                <w:szCs w:val="22"/>
                <w:lang w:bidi="ar"/>
              </w:rPr>
            </w:pPr>
          </w:p>
        </w:tc>
        <w:tc>
          <w:tcPr>
            <w:tcW w:w="1985" w:type="dxa"/>
            <w:vMerge w:val="continue"/>
            <w:noWrap w:val="0"/>
            <w:vAlign w:val="center"/>
          </w:tcPr>
          <w:p w14:paraId="1B026B87">
            <w:pPr>
              <w:spacing w:line="240" w:lineRule="exact"/>
              <w:jc w:val="center"/>
              <w:rPr>
                <w:rFonts w:ascii="华文仿宋" w:hAnsi="华文仿宋" w:eastAsia="华文仿宋" w:cs="宋体"/>
                <w:color w:val="000000"/>
                <w:kern w:val="0"/>
                <w:sz w:val="22"/>
                <w:szCs w:val="22"/>
                <w:lang w:bidi="ar"/>
              </w:rPr>
            </w:pPr>
          </w:p>
        </w:tc>
        <w:tc>
          <w:tcPr>
            <w:tcW w:w="1089" w:type="dxa"/>
            <w:vMerge w:val="continue"/>
            <w:noWrap w:val="0"/>
            <w:vAlign w:val="center"/>
          </w:tcPr>
          <w:p w14:paraId="188B00DC">
            <w:pPr>
              <w:spacing w:line="240" w:lineRule="exact"/>
              <w:jc w:val="center"/>
              <w:rPr>
                <w:rFonts w:ascii="华文仿宋" w:hAnsi="华文仿宋" w:eastAsia="华文仿宋" w:cs="宋体"/>
                <w:color w:val="000000"/>
                <w:kern w:val="0"/>
                <w:sz w:val="22"/>
                <w:szCs w:val="22"/>
                <w:lang w:bidi="ar"/>
              </w:rPr>
            </w:pPr>
          </w:p>
        </w:tc>
        <w:tc>
          <w:tcPr>
            <w:tcW w:w="5437" w:type="dxa"/>
            <w:vMerge w:val="continue"/>
            <w:noWrap w:val="0"/>
            <w:vAlign w:val="center"/>
          </w:tcPr>
          <w:p w14:paraId="6A023CA0">
            <w:pPr>
              <w:spacing w:line="240" w:lineRule="exact"/>
              <w:jc w:val="center"/>
              <w:rPr>
                <w:rFonts w:ascii="华文仿宋" w:hAnsi="华文仿宋" w:eastAsia="华文仿宋" w:cs="宋体"/>
                <w:color w:val="000000"/>
                <w:kern w:val="0"/>
                <w:sz w:val="22"/>
                <w:szCs w:val="22"/>
                <w:lang w:bidi="ar"/>
              </w:rPr>
            </w:pPr>
          </w:p>
        </w:tc>
      </w:tr>
      <w:tr w14:paraId="58D113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44" w:type="dxa"/>
            <w:noWrap w:val="0"/>
            <w:vAlign w:val="center"/>
          </w:tcPr>
          <w:p w14:paraId="30C7F2C8">
            <w:pPr>
              <w:spacing w:line="440" w:lineRule="exact"/>
              <w:textAlignment w:val="center"/>
              <w:rPr>
                <w:rFonts w:hint="eastAsia" w:ascii="宋体" w:hAnsi="宋体" w:eastAsia="宋体" w:cs="宋体"/>
                <w:sz w:val="22"/>
              </w:rPr>
            </w:pPr>
            <w:r>
              <w:rPr>
                <w:rFonts w:hint="eastAsia" w:ascii="宋体" w:hAnsi="宋体" w:eastAsia="宋体" w:cs="宋体"/>
                <w:sz w:val="22"/>
              </w:rPr>
              <w:t>1</w:t>
            </w:r>
          </w:p>
        </w:tc>
        <w:tc>
          <w:tcPr>
            <w:tcW w:w="1985" w:type="dxa"/>
            <w:noWrap w:val="0"/>
            <w:vAlign w:val="center"/>
          </w:tcPr>
          <w:p w14:paraId="17A71D3B">
            <w:pPr>
              <w:spacing w:line="440" w:lineRule="exact"/>
              <w:textAlignment w:val="center"/>
              <w:rPr>
                <w:rFonts w:hint="eastAsia" w:ascii="宋体" w:hAnsi="宋体" w:eastAsia="宋体" w:cs="宋体"/>
                <w:sz w:val="22"/>
              </w:rPr>
            </w:pPr>
            <w:r>
              <w:rPr>
                <w:rFonts w:hint="eastAsia" w:ascii="宋体" w:hAnsi="宋体" w:eastAsia="宋体" w:cs="宋体"/>
                <w:sz w:val="22"/>
              </w:rPr>
              <w:t>信息化</w:t>
            </w:r>
          </w:p>
        </w:tc>
        <w:tc>
          <w:tcPr>
            <w:tcW w:w="1089" w:type="dxa"/>
            <w:noWrap w:val="0"/>
            <w:vAlign w:val="center"/>
          </w:tcPr>
          <w:p w14:paraId="3B7FFA10">
            <w:pPr>
              <w:spacing w:line="440" w:lineRule="exact"/>
              <w:textAlignment w:val="center"/>
              <w:rPr>
                <w:rFonts w:hint="eastAsia" w:ascii="宋体" w:hAnsi="宋体" w:eastAsia="宋体" w:cs="宋体"/>
                <w:sz w:val="22"/>
                <w:lang w:val="en-US" w:eastAsia="zh-CN"/>
              </w:rPr>
            </w:pPr>
            <w:r>
              <w:rPr>
                <w:rFonts w:hint="eastAsia" w:ascii="宋体" w:hAnsi="宋体" w:eastAsia="宋体" w:cs="宋体"/>
                <w:sz w:val="22"/>
                <w:lang w:val="en-US" w:eastAsia="zh-CN"/>
              </w:rPr>
              <w:t>/</w:t>
            </w:r>
          </w:p>
        </w:tc>
        <w:tc>
          <w:tcPr>
            <w:tcW w:w="5437" w:type="dxa"/>
            <w:noWrap w:val="0"/>
            <w:vAlign w:val="top"/>
          </w:tcPr>
          <w:p w14:paraId="5BBBD118">
            <w:pPr>
              <w:numPr>
                <w:ilvl w:val="0"/>
                <w:numId w:val="0"/>
              </w:numPr>
              <w:spacing w:after="0" w:line="360" w:lineRule="exact"/>
              <w:ind w:leftChars="0"/>
              <w:contextualSpacing/>
              <w:rPr>
                <w:rFonts w:hint="eastAsia" w:ascii="宋体" w:hAnsi="宋体" w:eastAsia="宋体" w:cs="宋体"/>
                <w:color w:val="auto"/>
                <w:kern w:val="0"/>
                <w:sz w:val="22"/>
                <w:szCs w:val="22"/>
              </w:rPr>
            </w:pPr>
            <w:r>
              <w:rPr>
                <w:rFonts w:hint="eastAsia" w:ascii="宋体" w:hAnsi="宋体" w:eastAsia="宋体" w:cs="宋体"/>
                <w:color w:val="auto"/>
                <w:kern w:val="0"/>
                <w:sz w:val="22"/>
                <w:szCs w:val="22"/>
              </w:rPr>
              <w:t>①抛丸线主要信息化功能</w:t>
            </w:r>
          </w:p>
          <w:p w14:paraId="58020A60">
            <w:pPr>
              <w:numPr>
                <w:ilvl w:val="0"/>
                <w:numId w:val="0"/>
              </w:numPr>
              <w:spacing w:after="0" w:line="360" w:lineRule="exact"/>
              <w:ind w:leftChars="0"/>
              <w:contextualSpacing/>
              <w:rPr>
                <w:rFonts w:hint="eastAsia" w:ascii="宋体" w:hAnsi="宋体" w:eastAsia="宋体" w:cs="宋体"/>
                <w:color w:val="auto"/>
                <w:kern w:val="0"/>
                <w:sz w:val="22"/>
                <w:szCs w:val="22"/>
              </w:rPr>
            </w:pPr>
            <w:r>
              <w:rPr>
                <w:rFonts w:hint="eastAsia" w:ascii="宋体" w:hAnsi="宋体" w:eastAsia="宋体" w:cs="宋体"/>
                <w:color w:val="auto"/>
                <w:kern w:val="0"/>
                <w:sz w:val="22"/>
                <w:szCs w:val="22"/>
              </w:rPr>
              <w:t xml:space="preserve">a实现抛丸线各工序、主要功能部件吊葫芦等工作的动态模拟，动态显示、监控设备运行状态和故障情况，显示报警信息；对整个生产线进行宏观观察和控制； </w:t>
            </w:r>
          </w:p>
          <w:p w14:paraId="5EFFE14A">
            <w:pPr>
              <w:numPr>
                <w:ilvl w:val="0"/>
                <w:numId w:val="0"/>
              </w:numPr>
              <w:spacing w:after="0" w:line="360" w:lineRule="exact"/>
              <w:ind w:leftChars="0"/>
              <w:contextualSpacing/>
              <w:rPr>
                <w:rFonts w:hint="eastAsia" w:ascii="宋体" w:hAnsi="宋体" w:eastAsia="宋体" w:cs="宋体"/>
                <w:color w:val="auto"/>
                <w:kern w:val="0"/>
                <w:sz w:val="22"/>
                <w:szCs w:val="22"/>
              </w:rPr>
            </w:pPr>
            <w:r>
              <w:rPr>
                <w:rFonts w:hint="eastAsia" w:ascii="宋体" w:hAnsi="宋体" w:eastAsia="宋体" w:cs="宋体"/>
                <w:color w:val="auto"/>
                <w:kern w:val="0"/>
                <w:sz w:val="22"/>
                <w:szCs w:val="22"/>
              </w:rPr>
              <w:t>b上、下线时间、节拍信息采集、记录、统计</w:t>
            </w:r>
          </w:p>
          <w:p w14:paraId="173BF212">
            <w:pPr>
              <w:numPr>
                <w:ilvl w:val="0"/>
                <w:numId w:val="0"/>
              </w:numPr>
              <w:spacing w:after="0" w:line="360" w:lineRule="exact"/>
              <w:ind w:leftChars="0"/>
              <w:contextualSpacing/>
              <w:rPr>
                <w:rFonts w:hint="eastAsia" w:ascii="宋体" w:hAnsi="宋体" w:eastAsia="宋体" w:cs="宋体"/>
                <w:color w:val="auto"/>
                <w:kern w:val="0"/>
                <w:sz w:val="22"/>
                <w:szCs w:val="22"/>
              </w:rPr>
            </w:pPr>
            <w:r>
              <w:rPr>
                <w:rFonts w:hint="eastAsia" w:ascii="宋体" w:hAnsi="宋体" w:eastAsia="宋体" w:cs="宋体"/>
                <w:color w:val="auto"/>
                <w:kern w:val="0"/>
                <w:sz w:val="22"/>
                <w:szCs w:val="22"/>
              </w:rPr>
              <w:t>可采用扫描模式、APP手机扫描或输入模式。</w:t>
            </w:r>
          </w:p>
          <w:p w14:paraId="3CA1B30D">
            <w:pPr>
              <w:numPr>
                <w:ilvl w:val="0"/>
                <w:numId w:val="0"/>
              </w:numPr>
              <w:spacing w:after="0" w:line="360" w:lineRule="exact"/>
              <w:ind w:leftChars="0"/>
              <w:contextualSpacing/>
              <w:rPr>
                <w:rFonts w:hint="eastAsia" w:ascii="宋体" w:hAnsi="宋体" w:eastAsia="宋体" w:cs="宋体"/>
                <w:color w:val="auto"/>
                <w:kern w:val="0"/>
                <w:sz w:val="22"/>
                <w:szCs w:val="22"/>
              </w:rPr>
            </w:pPr>
            <w:r>
              <w:rPr>
                <w:rFonts w:hint="eastAsia" w:ascii="宋体" w:hAnsi="宋体" w:eastAsia="宋体" w:cs="宋体"/>
                <w:color w:val="auto"/>
                <w:kern w:val="0"/>
                <w:sz w:val="22"/>
                <w:szCs w:val="22"/>
              </w:rPr>
              <w:t>采集信息：订单号、生产流水号、上下线时间（同时计算节拍）；</w:t>
            </w:r>
          </w:p>
          <w:p w14:paraId="742A8B59">
            <w:pPr>
              <w:numPr>
                <w:ilvl w:val="0"/>
                <w:numId w:val="0"/>
              </w:numPr>
              <w:spacing w:after="0" w:line="360" w:lineRule="exact"/>
              <w:ind w:leftChars="0"/>
              <w:contextualSpacing/>
              <w:rPr>
                <w:rFonts w:hint="eastAsia" w:ascii="宋体" w:hAnsi="宋体" w:eastAsia="宋体" w:cs="宋体"/>
                <w:color w:val="auto"/>
                <w:kern w:val="0"/>
                <w:sz w:val="22"/>
                <w:szCs w:val="22"/>
              </w:rPr>
            </w:pPr>
            <w:r>
              <w:rPr>
                <w:rFonts w:hint="eastAsia" w:ascii="宋体" w:hAnsi="宋体" w:eastAsia="宋体" w:cs="宋体"/>
                <w:color w:val="auto"/>
                <w:kern w:val="0"/>
                <w:sz w:val="22"/>
                <w:szCs w:val="22"/>
              </w:rPr>
              <w:t>统计：记录产线日抛丸时间、空运行时间、工作时间、抛丸工件数量，可输出统计表；按日、月、累计等间隔，可整体或分产品类统计产出。</w:t>
            </w:r>
          </w:p>
          <w:p w14:paraId="2AFA1A6F">
            <w:pPr>
              <w:numPr>
                <w:ilvl w:val="0"/>
                <w:numId w:val="0"/>
              </w:numPr>
              <w:spacing w:after="0" w:line="360" w:lineRule="exact"/>
              <w:ind w:leftChars="0"/>
              <w:contextualSpacing/>
              <w:rPr>
                <w:rFonts w:hint="eastAsia" w:ascii="宋体" w:hAnsi="宋体" w:eastAsia="宋体" w:cs="宋体"/>
                <w:color w:val="auto"/>
                <w:kern w:val="0"/>
                <w:sz w:val="22"/>
                <w:szCs w:val="22"/>
              </w:rPr>
            </w:pPr>
            <w:r>
              <w:rPr>
                <w:rFonts w:hint="eastAsia" w:ascii="宋体" w:hAnsi="宋体" w:eastAsia="宋体" w:cs="宋体"/>
                <w:color w:val="auto"/>
                <w:kern w:val="0"/>
                <w:sz w:val="22"/>
                <w:szCs w:val="22"/>
              </w:rPr>
              <w:t>c下线转运至涂装工位设置车箱质量高清晰图片或视频信息采集、记录</w:t>
            </w:r>
          </w:p>
          <w:p w14:paraId="0E8D4F23">
            <w:pPr>
              <w:numPr>
                <w:ilvl w:val="0"/>
                <w:numId w:val="0"/>
              </w:numPr>
              <w:spacing w:after="0" w:line="360" w:lineRule="exact"/>
              <w:ind w:leftChars="0"/>
              <w:contextualSpacing/>
              <w:rPr>
                <w:rFonts w:hint="eastAsia" w:ascii="宋体" w:hAnsi="宋体" w:eastAsia="宋体" w:cs="宋体"/>
                <w:color w:val="auto"/>
                <w:kern w:val="0"/>
                <w:sz w:val="22"/>
                <w:szCs w:val="22"/>
              </w:rPr>
            </w:pPr>
            <w:r>
              <w:rPr>
                <w:rFonts w:hint="eastAsia" w:ascii="宋体" w:hAnsi="宋体" w:eastAsia="宋体" w:cs="宋体"/>
                <w:color w:val="auto"/>
                <w:kern w:val="0"/>
                <w:sz w:val="22"/>
                <w:szCs w:val="22"/>
              </w:rPr>
              <w:t>采集信息：车箱顶部俯视图片，车箱前、边、后及不同角度（可调）图片或视频；</w:t>
            </w:r>
          </w:p>
          <w:p w14:paraId="3180FE35">
            <w:pPr>
              <w:numPr>
                <w:ilvl w:val="0"/>
                <w:numId w:val="0"/>
              </w:numPr>
              <w:spacing w:after="0" w:line="360" w:lineRule="exact"/>
              <w:ind w:leftChars="0"/>
              <w:contextualSpacing/>
              <w:rPr>
                <w:rFonts w:hint="eastAsia" w:ascii="宋体" w:hAnsi="宋体" w:eastAsia="宋体" w:cs="宋体"/>
                <w:color w:val="auto"/>
                <w:kern w:val="0"/>
                <w:sz w:val="22"/>
                <w:szCs w:val="22"/>
              </w:rPr>
            </w:pPr>
            <w:r>
              <w:rPr>
                <w:rFonts w:hint="eastAsia" w:ascii="宋体" w:hAnsi="宋体" w:eastAsia="宋体" w:cs="宋体"/>
                <w:color w:val="auto"/>
                <w:kern w:val="0"/>
                <w:sz w:val="22"/>
                <w:szCs w:val="22"/>
              </w:rPr>
              <w:t xml:space="preserve">采集的信息需与上线信息相关联。 </w:t>
            </w:r>
          </w:p>
          <w:p w14:paraId="465FA628">
            <w:pPr>
              <w:numPr>
                <w:ilvl w:val="0"/>
                <w:numId w:val="0"/>
              </w:numPr>
              <w:spacing w:after="0" w:line="360" w:lineRule="exact"/>
              <w:ind w:leftChars="0"/>
              <w:contextualSpacing/>
              <w:rPr>
                <w:rFonts w:hint="eastAsia" w:ascii="宋体" w:hAnsi="宋体" w:eastAsia="宋体" w:cs="宋体"/>
                <w:color w:val="auto"/>
                <w:kern w:val="0"/>
                <w:sz w:val="22"/>
                <w:szCs w:val="22"/>
              </w:rPr>
            </w:pPr>
            <w:r>
              <w:rPr>
                <w:rFonts w:hint="eastAsia" w:ascii="宋体" w:hAnsi="宋体" w:eastAsia="宋体" w:cs="宋体"/>
                <w:color w:val="auto"/>
                <w:kern w:val="0"/>
                <w:sz w:val="22"/>
                <w:szCs w:val="22"/>
              </w:rPr>
              <w:t>d设备能源信息采集、记录、统计</w:t>
            </w:r>
          </w:p>
          <w:p w14:paraId="49B52499">
            <w:pPr>
              <w:numPr>
                <w:ilvl w:val="0"/>
                <w:numId w:val="0"/>
              </w:numPr>
              <w:spacing w:after="0" w:line="360" w:lineRule="exact"/>
              <w:ind w:leftChars="0"/>
              <w:contextualSpacing/>
              <w:rPr>
                <w:rFonts w:hint="eastAsia" w:ascii="宋体" w:hAnsi="宋体" w:eastAsia="宋体" w:cs="宋体"/>
                <w:color w:val="auto"/>
                <w:kern w:val="0"/>
                <w:sz w:val="22"/>
                <w:szCs w:val="22"/>
              </w:rPr>
            </w:pPr>
            <w:r>
              <w:rPr>
                <w:rFonts w:hint="eastAsia" w:ascii="宋体" w:hAnsi="宋体" w:eastAsia="宋体" w:cs="宋体"/>
                <w:color w:val="auto"/>
                <w:kern w:val="0"/>
                <w:sz w:val="22"/>
                <w:szCs w:val="22"/>
              </w:rPr>
              <w:t xml:space="preserve">采集信息：监测记录设备的电能、气体等消耗，可输出统计表； </w:t>
            </w:r>
          </w:p>
          <w:p w14:paraId="44E8E48D">
            <w:pPr>
              <w:numPr>
                <w:ilvl w:val="0"/>
                <w:numId w:val="0"/>
              </w:numPr>
              <w:spacing w:after="0" w:line="360" w:lineRule="exact"/>
              <w:ind w:leftChars="0"/>
              <w:contextualSpacing/>
              <w:rPr>
                <w:rFonts w:hint="eastAsia" w:ascii="宋体" w:hAnsi="宋体" w:eastAsia="宋体" w:cs="宋体"/>
                <w:color w:val="auto"/>
                <w:kern w:val="0"/>
                <w:sz w:val="22"/>
                <w:szCs w:val="22"/>
              </w:rPr>
            </w:pPr>
            <w:r>
              <w:rPr>
                <w:rFonts w:hint="eastAsia" w:ascii="宋体" w:hAnsi="宋体" w:eastAsia="宋体" w:cs="宋体"/>
                <w:color w:val="auto"/>
                <w:kern w:val="0"/>
                <w:sz w:val="22"/>
                <w:szCs w:val="22"/>
              </w:rPr>
              <w:t>统计：按日、月、累计等间隔，统计。</w:t>
            </w:r>
          </w:p>
          <w:p w14:paraId="188147E6">
            <w:pPr>
              <w:numPr>
                <w:ilvl w:val="0"/>
                <w:numId w:val="0"/>
              </w:numPr>
              <w:spacing w:after="0" w:line="360" w:lineRule="exact"/>
              <w:ind w:leftChars="0"/>
              <w:contextualSpacing/>
              <w:rPr>
                <w:rFonts w:hint="eastAsia" w:ascii="宋体" w:hAnsi="宋体" w:eastAsia="宋体" w:cs="宋体"/>
                <w:color w:val="auto"/>
                <w:kern w:val="0"/>
                <w:sz w:val="22"/>
                <w:szCs w:val="22"/>
              </w:rPr>
            </w:pPr>
            <w:r>
              <w:rPr>
                <w:rFonts w:hint="eastAsia" w:ascii="宋体" w:hAnsi="宋体" w:eastAsia="宋体" w:cs="宋体"/>
                <w:color w:val="auto"/>
                <w:kern w:val="0"/>
                <w:sz w:val="22"/>
                <w:szCs w:val="22"/>
              </w:rPr>
              <w:t>e设备报警、保养信息采集、记录、统计</w:t>
            </w:r>
          </w:p>
          <w:p w14:paraId="39D1C191">
            <w:pPr>
              <w:numPr>
                <w:ilvl w:val="0"/>
                <w:numId w:val="0"/>
              </w:numPr>
              <w:spacing w:after="0" w:line="360" w:lineRule="exact"/>
              <w:ind w:leftChars="0"/>
              <w:contextualSpacing/>
              <w:rPr>
                <w:rFonts w:hint="eastAsia" w:ascii="宋体" w:hAnsi="宋体" w:eastAsia="宋体" w:cs="宋体"/>
                <w:color w:val="auto"/>
                <w:kern w:val="0"/>
                <w:sz w:val="22"/>
                <w:szCs w:val="22"/>
              </w:rPr>
            </w:pPr>
            <w:r>
              <w:rPr>
                <w:rFonts w:hint="eastAsia" w:ascii="宋体" w:hAnsi="宋体" w:eastAsia="宋体" w:cs="宋体"/>
                <w:color w:val="auto"/>
                <w:kern w:val="0"/>
                <w:sz w:val="22"/>
                <w:szCs w:val="22"/>
              </w:rPr>
              <w:t>采集信息：对设备的叶片、护板、分丸轮、滤筒等关键易损部件进行监视。当使用时间达到设定的阈值，发出警告，如维护保养提示、未保养警示等信息；记录设备异常报警，异常部位、时间，解决时间，故障时长等；</w:t>
            </w:r>
          </w:p>
          <w:p w14:paraId="6761F0AC">
            <w:pPr>
              <w:numPr>
                <w:ilvl w:val="0"/>
                <w:numId w:val="0"/>
              </w:numPr>
              <w:spacing w:after="0" w:line="360" w:lineRule="exact"/>
              <w:ind w:leftChars="0"/>
              <w:contextualSpacing/>
              <w:rPr>
                <w:rFonts w:hint="eastAsia" w:ascii="宋体" w:hAnsi="宋体" w:eastAsia="宋体" w:cs="宋体"/>
                <w:color w:val="auto"/>
                <w:kern w:val="0"/>
                <w:sz w:val="22"/>
                <w:szCs w:val="22"/>
              </w:rPr>
            </w:pPr>
            <w:r>
              <w:rPr>
                <w:rFonts w:hint="eastAsia" w:ascii="宋体" w:hAnsi="宋体" w:eastAsia="宋体" w:cs="宋体"/>
                <w:color w:val="auto"/>
                <w:kern w:val="0"/>
                <w:sz w:val="22"/>
                <w:szCs w:val="22"/>
              </w:rPr>
              <w:t>统计：按月、年度进行维保记录统计、故障信息统计。</w:t>
            </w:r>
          </w:p>
          <w:p w14:paraId="4C6F1810">
            <w:pPr>
              <w:numPr>
                <w:ilvl w:val="0"/>
                <w:numId w:val="0"/>
              </w:numPr>
              <w:spacing w:after="0" w:line="360" w:lineRule="exact"/>
              <w:ind w:leftChars="0"/>
              <w:contextualSpacing/>
              <w:rPr>
                <w:rFonts w:hint="eastAsia" w:ascii="宋体" w:hAnsi="宋体" w:eastAsia="宋体" w:cs="宋体"/>
                <w:color w:val="auto"/>
                <w:kern w:val="0"/>
                <w:sz w:val="22"/>
                <w:szCs w:val="22"/>
              </w:rPr>
            </w:pPr>
            <w:r>
              <w:rPr>
                <w:rFonts w:hint="eastAsia" w:ascii="宋体" w:hAnsi="宋体" w:eastAsia="宋体" w:cs="宋体"/>
                <w:color w:val="auto"/>
                <w:kern w:val="0"/>
                <w:sz w:val="22"/>
                <w:szCs w:val="22"/>
              </w:rPr>
              <w:t>f设置中控，以上相关信息除与线边相关设备关联外，需接入网络中控。</w:t>
            </w:r>
          </w:p>
          <w:p w14:paraId="563E3F20">
            <w:pPr>
              <w:numPr>
                <w:ilvl w:val="0"/>
                <w:numId w:val="0"/>
              </w:numPr>
              <w:spacing w:after="0" w:line="360" w:lineRule="exact"/>
              <w:ind w:leftChars="0"/>
              <w:contextualSpacing/>
              <w:rPr>
                <w:rFonts w:hint="eastAsia" w:ascii="宋体" w:hAnsi="宋体" w:eastAsia="宋体" w:cs="宋体"/>
                <w:color w:val="auto"/>
                <w:kern w:val="0"/>
                <w:sz w:val="22"/>
                <w:szCs w:val="22"/>
              </w:rPr>
            </w:pPr>
            <w:r>
              <w:rPr>
                <w:rFonts w:hint="eastAsia" w:ascii="宋体" w:hAnsi="宋体" w:eastAsia="宋体" w:cs="宋体"/>
                <w:color w:val="auto"/>
                <w:kern w:val="0"/>
                <w:sz w:val="22"/>
                <w:szCs w:val="22"/>
              </w:rPr>
              <w:t>②信息展示</w:t>
            </w:r>
          </w:p>
          <w:p w14:paraId="59DA5D66">
            <w:pPr>
              <w:numPr>
                <w:ilvl w:val="0"/>
                <w:numId w:val="0"/>
              </w:numPr>
              <w:spacing w:after="0" w:line="360" w:lineRule="exact"/>
              <w:ind w:leftChars="0"/>
              <w:contextualSpacing/>
              <w:rPr>
                <w:rFonts w:hint="eastAsia" w:ascii="宋体" w:hAnsi="宋体" w:eastAsia="宋体" w:cs="宋体"/>
                <w:color w:val="auto"/>
                <w:kern w:val="0"/>
                <w:sz w:val="22"/>
                <w:szCs w:val="22"/>
              </w:rPr>
            </w:pPr>
            <w:r>
              <w:rPr>
                <w:rFonts w:hint="eastAsia" w:ascii="宋体" w:hAnsi="宋体" w:eastAsia="宋体" w:cs="宋体"/>
                <w:color w:val="auto"/>
                <w:kern w:val="0"/>
                <w:sz w:val="22"/>
                <w:szCs w:val="22"/>
              </w:rPr>
              <w:t>a在指定位置（待定）配置大屏显示器；</w:t>
            </w:r>
          </w:p>
          <w:p w14:paraId="287FF589">
            <w:pPr>
              <w:numPr>
                <w:ilvl w:val="0"/>
                <w:numId w:val="0"/>
              </w:numPr>
              <w:spacing w:after="0" w:line="360" w:lineRule="exact"/>
              <w:ind w:leftChars="0"/>
              <w:contextualSpacing/>
              <w:rPr>
                <w:rFonts w:hint="eastAsia"/>
              </w:rPr>
            </w:pPr>
            <w:r>
              <w:rPr>
                <w:rFonts w:hint="eastAsia" w:ascii="宋体" w:hAnsi="宋体" w:eastAsia="宋体" w:cs="宋体"/>
                <w:color w:val="auto"/>
                <w:kern w:val="0"/>
                <w:sz w:val="22"/>
                <w:szCs w:val="22"/>
              </w:rPr>
              <w:t>b展示的内容主要包含①中相关的内容，可采用表格、面积图等各种展示方式。版面设计美观，具有实际意义，同时具有可参观性；版面内可加入企业展示视频等信息。</w:t>
            </w:r>
          </w:p>
        </w:tc>
      </w:tr>
    </w:tbl>
    <w:p w14:paraId="277F6383">
      <w:pPr>
        <w:pStyle w:val="212"/>
        <w:rPr>
          <w:rFonts w:hint="eastAsia" w:ascii="宋体" w:hAnsi="宋体" w:eastAsia="宋体" w:cs="宋体"/>
          <w:sz w:val="22"/>
        </w:rPr>
      </w:pPr>
      <w:r>
        <w:rPr>
          <w:rFonts w:hint="eastAsia" w:ascii="宋体" w:hAnsi="宋体" w:cs="宋体"/>
          <w:b/>
          <w:bCs/>
          <w:kern w:val="2"/>
          <w:sz w:val="24"/>
          <w:szCs w:val="32"/>
          <w:lang w:val="en-US" w:eastAsia="zh-CN" w:bidi="ar-SA"/>
        </w:rPr>
        <w:t>2.5双方责任</w:t>
      </w:r>
    </w:p>
    <w:p w14:paraId="41477796">
      <w:pPr>
        <w:spacing w:line="440" w:lineRule="exact"/>
        <w:ind w:firstLine="440" w:firstLineChars="200"/>
        <w:textAlignment w:val="center"/>
        <w:rPr>
          <w:rFonts w:hint="eastAsia" w:ascii="宋体" w:hAnsi="宋体" w:eastAsia="宋体" w:cs="宋体"/>
          <w:sz w:val="22"/>
        </w:rPr>
      </w:pPr>
      <w:r>
        <w:rPr>
          <w:rFonts w:hint="eastAsia" w:ascii="宋体" w:hAnsi="宋体" w:eastAsia="宋体" w:cs="宋体"/>
          <w:sz w:val="22"/>
        </w:rPr>
        <w:t>本项目为交钥匙工程。其中：地基建设由</w:t>
      </w:r>
      <w:r>
        <w:rPr>
          <w:rFonts w:hint="eastAsia" w:ascii="宋体" w:hAnsi="宋体" w:eastAsia="宋体" w:cs="宋体"/>
          <w:sz w:val="22"/>
          <w:lang w:val="en-US" w:eastAsia="zh-CN"/>
        </w:rPr>
        <w:t>泰安五岳公司</w:t>
      </w:r>
      <w:r>
        <w:rPr>
          <w:rFonts w:hint="eastAsia" w:ascii="宋体" w:hAnsi="宋体" w:eastAsia="宋体" w:cs="宋体"/>
          <w:sz w:val="22"/>
        </w:rPr>
        <w:t>实施，投标方需提供自变电室至抛丸线电力配置、气体配置及抛丸线基础构件地基等地基图。我公司提供现有一次性电源、气源的接口，自接口至设备控制柜、控制柜至设备的电源、气源的管、线均由投标方负责。</w:t>
      </w:r>
    </w:p>
    <w:tbl>
      <w:tblPr>
        <w:tblStyle w:val="42"/>
        <w:tblW w:w="90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1410"/>
        <w:gridCol w:w="3495"/>
        <w:gridCol w:w="855"/>
        <w:gridCol w:w="885"/>
        <w:gridCol w:w="1761"/>
      </w:tblGrid>
      <w:tr w14:paraId="1425E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691" w:type="dxa"/>
            <w:shd w:val="clear" w:color="auto" w:fill="D9E2F3" w:themeFill="accent5" w:themeFillTint="33"/>
            <w:vAlign w:val="center"/>
          </w:tcPr>
          <w:p w14:paraId="3CFECA70">
            <w:pPr>
              <w:widowControl/>
              <w:spacing w:after="0" w:line="360" w:lineRule="exact"/>
              <w:rPr>
                <w:rFonts w:ascii="宋体" w:hAnsi="宋体" w:cs="Times New Roman"/>
                <w:b/>
                <w:bCs/>
                <w:sz w:val="21"/>
                <w:szCs w:val="21"/>
              </w:rPr>
            </w:pPr>
            <w:r>
              <w:rPr>
                <w:rFonts w:hint="eastAsia" w:ascii="宋体" w:hAnsi="宋体" w:cs="Times New Roman"/>
                <w:b/>
                <w:bCs/>
                <w:sz w:val="21"/>
                <w:szCs w:val="21"/>
              </w:rPr>
              <w:t>序号</w:t>
            </w:r>
          </w:p>
        </w:tc>
        <w:tc>
          <w:tcPr>
            <w:tcW w:w="4905" w:type="dxa"/>
            <w:gridSpan w:val="2"/>
            <w:shd w:val="clear" w:color="auto" w:fill="D9E2F3" w:themeFill="accent5" w:themeFillTint="33"/>
            <w:vAlign w:val="center"/>
          </w:tcPr>
          <w:p w14:paraId="457CAAD0">
            <w:pPr>
              <w:widowControl/>
              <w:spacing w:after="0" w:line="360" w:lineRule="exact"/>
              <w:ind w:firstLine="420"/>
              <w:jc w:val="center"/>
              <w:rPr>
                <w:rFonts w:ascii="宋体" w:hAnsi="宋体" w:cs="Times New Roman"/>
                <w:b/>
                <w:bCs/>
                <w:sz w:val="21"/>
                <w:szCs w:val="21"/>
              </w:rPr>
            </w:pPr>
            <w:r>
              <w:rPr>
                <w:rFonts w:hint="eastAsia" w:ascii="宋体" w:hAnsi="宋体" w:cs="Times New Roman"/>
                <w:b/>
                <w:bCs/>
                <w:sz w:val="21"/>
                <w:szCs w:val="21"/>
              </w:rPr>
              <w:t>施工工程名称</w:t>
            </w:r>
          </w:p>
        </w:tc>
        <w:tc>
          <w:tcPr>
            <w:tcW w:w="855" w:type="dxa"/>
            <w:shd w:val="clear" w:color="auto" w:fill="D9E2F3" w:themeFill="accent5" w:themeFillTint="33"/>
            <w:vAlign w:val="center"/>
          </w:tcPr>
          <w:p w14:paraId="1ECFA25B">
            <w:pPr>
              <w:widowControl/>
              <w:spacing w:after="0" w:line="360" w:lineRule="exact"/>
              <w:jc w:val="center"/>
              <w:rPr>
                <w:rFonts w:ascii="宋体" w:hAnsi="宋体" w:cs="Times New Roman"/>
                <w:b/>
                <w:bCs/>
                <w:sz w:val="21"/>
                <w:szCs w:val="21"/>
              </w:rPr>
            </w:pPr>
            <w:r>
              <w:rPr>
                <w:rFonts w:hint="eastAsia" w:ascii="宋体" w:hAnsi="宋体" w:cs="Times New Roman"/>
                <w:b/>
                <w:bCs/>
                <w:sz w:val="21"/>
                <w:szCs w:val="21"/>
              </w:rPr>
              <w:t>甲方</w:t>
            </w:r>
          </w:p>
        </w:tc>
        <w:tc>
          <w:tcPr>
            <w:tcW w:w="885" w:type="dxa"/>
            <w:shd w:val="clear" w:color="auto" w:fill="D9E2F3" w:themeFill="accent5" w:themeFillTint="33"/>
            <w:vAlign w:val="center"/>
          </w:tcPr>
          <w:p w14:paraId="7D13E822">
            <w:pPr>
              <w:widowControl/>
              <w:spacing w:after="0" w:line="360" w:lineRule="exact"/>
              <w:jc w:val="center"/>
              <w:rPr>
                <w:rFonts w:ascii="宋体" w:hAnsi="宋体" w:cs="Times New Roman"/>
                <w:b/>
                <w:bCs/>
                <w:sz w:val="21"/>
                <w:szCs w:val="21"/>
              </w:rPr>
            </w:pPr>
            <w:r>
              <w:rPr>
                <w:rFonts w:hint="eastAsia" w:ascii="宋体" w:hAnsi="宋体" w:cs="Times New Roman"/>
                <w:b/>
                <w:bCs/>
                <w:sz w:val="21"/>
                <w:szCs w:val="21"/>
              </w:rPr>
              <w:t>乙方</w:t>
            </w:r>
          </w:p>
        </w:tc>
        <w:tc>
          <w:tcPr>
            <w:tcW w:w="1761" w:type="dxa"/>
            <w:shd w:val="clear" w:color="auto" w:fill="D9E2F3" w:themeFill="accent5" w:themeFillTint="33"/>
            <w:vAlign w:val="center"/>
          </w:tcPr>
          <w:p w14:paraId="42F321F5">
            <w:pPr>
              <w:widowControl/>
              <w:spacing w:after="0" w:line="360" w:lineRule="exact"/>
              <w:ind w:firstLine="105" w:firstLineChars="50"/>
              <w:rPr>
                <w:rFonts w:ascii="宋体" w:hAnsi="宋体" w:cs="Times New Roman"/>
                <w:b/>
                <w:bCs/>
                <w:sz w:val="21"/>
                <w:szCs w:val="21"/>
              </w:rPr>
            </w:pPr>
            <w:r>
              <w:rPr>
                <w:rFonts w:hint="eastAsia" w:ascii="宋体" w:hAnsi="宋体" w:cs="Times New Roman"/>
                <w:b/>
                <w:bCs/>
                <w:sz w:val="21"/>
                <w:szCs w:val="21"/>
              </w:rPr>
              <w:t>备注</w:t>
            </w:r>
          </w:p>
        </w:tc>
      </w:tr>
      <w:tr w14:paraId="4901A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691" w:type="dxa"/>
            <w:shd w:val="clear" w:color="auto" w:fill="D9E2F3" w:themeFill="accent5" w:themeFillTint="33"/>
            <w:vAlign w:val="center"/>
          </w:tcPr>
          <w:p w14:paraId="1E669FFD">
            <w:pPr>
              <w:widowControl/>
              <w:spacing w:after="0" w:line="360" w:lineRule="exact"/>
              <w:ind w:firstLine="199" w:firstLineChars="95"/>
              <w:rPr>
                <w:rFonts w:ascii="宋体" w:hAnsi="宋体" w:cs="Times New Roman"/>
                <w:sz w:val="21"/>
                <w:szCs w:val="21"/>
              </w:rPr>
            </w:pPr>
            <w:r>
              <w:rPr>
                <w:rFonts w:hint="eastAsia" w:ascii="宋体" w:hAnsi="宋体" w:cs="Times New Roman"/>
                <w:sz w:val="21"/>
                <w:szCs w:val="21"/>
              </w:rPr>
              <w:t>1</w:t>
            </w:r>
          </w:p>
        </w:tc>
        <w:tc>
          <w:tcPr>
            <w:tcW w:w="1410" w:type="dxa"/>
            <w:shd w:val="clear" w:color="auto" w:fill="D9E2F3" w:themeFill="accent5" w:themeFillTint="33"/>
            <w:vAlign w:val="center"/>
          </w:tcPr>
          <w:p w14:paraId="78A04E28">
            <w:pPr>
              <w:widowControl/>
              <w:spacing w:after="0" w:line="360" w:lineRule="exact"/>
              <w:jc w:val="left"/>
              <w:rPr>
                <w:rFonts w:ascii="宋体" w:hAnsi="宋体" w:cs="Times New Roman"/>
                <w:sz w:val="21"/>
                <w:szCs w:val="21"/>
              </w:rPr>
            </w:pPr>
            <w:r>
              <w:rPr>
                <w:rFonts w:hint="eastAsia" w:ascii="宋体" w:hAnsi="宋体" w:cs="Times New Roman"/>
                <w:sz w:val="21"/>
                <w:szCs w:val="21"/>
              </w:rPr>
              <w:t>主体设备</w:t>
            </w:r>
          </w:p>
        </w:tc>
        <w:tc>
          <w:tcPr>
            <w:tcW w:w="3495" w:type="dxa"/>
            <w:vAlign w:val="center"/>
          </w:tcPr>
          <w:p w14:paraId="593B09D5">
            <w:pPr>
              <w:widowControl/>
              <w:spacing w:after="0" w:line="360" w:lineRule="exact"/>
              <w:rPr>
                <w:rFonts w:ascii="宋体" w:hAnsi="宋体" w:cs="Times New Roman"/>
                <w:sz w:val="21"/>
                <w:szCs w:val="21"/>
              </w:rPr>
            </w:pPr>
            <w:r>
              <w:rPr>
                <w:rFonts w:hint="eastAsia" w:ascii="宋体" w:hAnsi="宋体" w:cs="Times New Roman"/>
                <w:sz w:val="21"/>
                <w:szCs w:val="21"/>
              </w:rPr>
              <w:t>设计、制造、运输、安装、调试</w:t>
            </w:r>
          </w:p>
        </w:tc>
        <w:tc>
          <w:tcPr>
            <w:tcW w:w="855" w:type="dxa"/>
            <w:vAlign w:val="center"/>
          </w:tcPr>
          <w:p w14:paraId="141062A6">
            <w:pPr>
              <w:widowControl/>
              <w:spacing w:after="0" w:line="360" w:lineRule="exact"/>
              <w:ind w:firstLine="199" w:firstLineChars="95"/>
              <w:jc w:val="center"/>
              <w:rPr>
                <w:rFonts w:ascii="宋体" w:hAnsi="宋体" w:cs="Times New Roman"/>
                <w:sz w:val="21"/>
                <w:szCs w:val="21"/>
              </w:rPr>
            </w:pPr>
          </w:p>
        </w:tc>
        <w:tc>
          <w:tcPr>
            <w:tcW w:w="885" w:type="dxa"/>
            <w:vAlign w:val="center"/>
          </w:tcPr>
          <w:p w14:paraId="319E4D78">
            <w:pPr>
              <w:widowControl/>
              <w:spacing w:after="0" w:line="360" w:lineRule="exact"/>
              <w:ind w:firstLine="199" w:firstLineChars="95"/>
              <w:jc w:val="center"/>
              <w:rPr>
                <w:rFonts w:ascii="宋体" w:hAnsi="宋体" w:cs="Times New Roman"/>
                <w:sz w:val="21"/>
                <w:szCs w:val="21"/>
              </w:rPr>
            </w:pPr>
            <w:r>
              <w:rPr>
                <w:rFonts w:hint="eastAsia" w:ascii="宋体" w:hAnsi="宋体" w:cs="Times New Roman"/>
                <w:sz w:val="21"/>
                <w:szCs w:val="21"/>
              </w:rPr>
              <w:t>√</w:t>
            </w:r>
          </w:p>
        </w:tc>
        <w:tc>
          <w:tcPr>
            <w:tcW w:w="1761" w:type="dxa"/>
            <w:vAlign w:val="center"/>
          </w:tcPr>
          <w:p w14:paraId="398C792F">
            <w:pPr>
              <w:widowControl/>
              <w:spacing w:after="0" w:line="360" w:lineRule="exact"/>
              <w:ind w:firstLine="420"/>
              <w:rPr>
                <w:rFonts w:ascii="宋体" w:hAnsi="宋体" w:cs="Times New Roman"/>
                <w:sz w:val="21"/>
                <w:szCs w:val="21"/>
              </w:rPr>
            </w:pPr>
          </w:p>
        </w:tc>
      </w:tr>
      <w:tr w14:paraId="01A3C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91" w:type="dxa"/>
            <w:vMerge w:val="restart"/>
            <w:shd w:val="clear" w:color="auto" w:fill="D9E2F3" w:themeFill="accent5" w:themeFillTint="33"/>
            <w:vAlign w:val="center"/>
          </w:tcPr>
          <w:p w14:paraId="446D7648">
            <w:pPr>
              <w:widowControl/>
              <w:spacing w:after="0" w:line="360" w:lineRule="exact"/>
              <w:ind w:firstLine="199" w:firstLineChars="95"/>
              <w:rPr>
                <w:rFonts w:ascii="宋体" w:hAnsi="宋体" w:cs="Times New Roman"/>
                <w:sz w:val="21"/>
                <w:szCs w:val="21"/>
              </w:rPr>
            </w:pPr>
            <w:r>
              <w:rPr>
                <w:rFonts w:hint="eastAsia" w:ascii="宋体" w:hAnsi="宋体" w:cs="Times New Roman"/>
                <w:sz w:val="21"/>
                <w:szCs w:val="21"/>
              </w:rPr>
              <w:t>2</w:t>
            </w:r>
          </w:p>
        </w:tc>
        <w:tc>
          <w:tcPr>
            <w:tcW w:w="1410" w:type="dxa"/>
            <w:vMerge w:val="restart"/>
            <w:shd w:val="clear" w:color="auto" w:fill="D9E2F3" w:themeFill="accent5" w:themeFillTint="33"/>
            <w:vAlign w:val="center"/>
          </w:tcPr>
          <w:p w14:paraId="147CBFA6">
            <w:pPr>
              <w:widowControl/>
              <w:spacing w:after="0" w:line="360" w:lineRule="exact"/>
              <w:jc w:val="left"/>
              <w:rPr>
                <w:rFonts w:ascii="宋体" w:hAnsi="宋体" w:cs="Times New Roman"/>
                <w:sz w:val="21"/>
                <w:szCs w:val="21"/>
              </w:rPr>
            </w:pPr>
            <w:r>
              <w:rPr>
                <w:rFonts w:hint="eastAsia" w:ascii="宋体" w:hAnsi="宋体" w:cs="Times New Roman"/>
                <w:sz w:val="21"/>
                <w:szCs w:val="21"/>
              </w:rPr>
              <w:t>基建</w:t>
            </w:r>
          </w:p>
        </w:tc>
        <w:tc>
          <w:tcPr>
            <w:tcW w:w="3495" w:type="dxa"/>
            <w:vAlign w:val="center"/>
          </w:tcPr>
          <w:p w14:paraId="7B157067">
            <w:pPr>
              <w:widowControl/>
              <w:spacing w:after="0" w:line="360" w:lineRule="exact"/>
              <w:rPr>
                <w:rFonts w:ascii="宋体" w:hAnsi="宋体" w:cs="Times New Roman"/>
                <w:sz w:val="21"/>
                <w:szCs w:val="21"/>
              </w:rPr>
            </w:pPr>
            <w:r>
              <w:rPr>
                <w:rFonts w:hint="eastAsia" w:ascii="宋体" w:hAnsi="宋体" w:cs="Times New Roman"/>
                <w:sz w:val="21"/>
                <w:szCs w:val="21"/>
              </w:rPr>
              <w:t>基础图纸设计提供</w:t>
            </w:r>
          </w:p>
        </w:tc>
        <w:tc>
          <w:tcPr>
            <w:tcW w:w="855" w:type="dxa"/>
            <w:vAlign w:val="center"/>
          </w:tcPr>
          <w:p w14:paraId="5D722933">
            <w:pPr>
              <w:widowControl/>
              <w:spacing w:after="0" w:line="360" w:lineRule="exact"/>
              <w:ind w:firstLine="420"/>
              <w:jc w:val="center"/>
              <w:rPr>
                <w:rFonts w:ascii="宋体" w:hAnsi="宋体" w:cs="Times New Roman"/>
                <w:sz w:val="21"/>
                <w:szCs w:val="21"/>
              </w:rPr>
            </w:pPr>
          </w:p>
        </w:tc>
        <w:tc>
          <w:tcPr>
            <w:tcW w:w="885" w:type="dxa"/>
            <w:vAlign w:val="center"/>
          </w:tcPr>
          <w:p w14:paraId="351B6E12">
            <w:pPr>
              <w:widowControl/>
              <w:spacing w:after="0" w:line="360" w:lineRule="exact"/>
              <w:ind w:firstLine="199" w:firstLineChars="95"/>
              <w:jc w:val="center"/>
              <w:rPr>
                <w:rFonts w:ascii="宋体" w:hAnsi="宋体" w:cs="Times New Roman"/>
                <w:sz w:val="21"/>
                <w:szCs w:val="21"/>
              </w:rPr>
            </w:pPr>
            <w:r>
              <w:rPr>
                <w:rFonts w:hint="eastAsia" w:ascii="宋体" w:hAnsi="宋体" w:cs="Times New Roman"/>
                <w:sz w:val="21"/>
                <w:szCs w:val="21"/>
              </w:rPr>
              <w:t>√</w:t>
            </w:r>
          </w:p>
        </w:tc>
        <w:tc>
          <w:tcPr>
            <w:tcW w:w="1761" w:type="dxa"/>
            <w:vAlign w:val="center"/>
          </w:tcPr>
          <w:p w14:paraId="1984C750">
            <w:pPr>
              <w:widowControl/>
              <w:spacing w:after="0" w:line="360" w:lineRule="exact"/>
              <w:rPr>
                <w:rFonts w:hint="default" w:ascii="宋体" w:hAnsi="宋体" w:cs="Times New Roman" w:eastAsiaTheme="minorEastAsia"/>
                <w:sz w:val="21"/>
                <w:szCs w:val="21"/>
                <w:lang w:val="en-US" w:eastAsia="zh-CN"/>
              </w:rPr>
            </w:pPr>
            <w:r>
              <w:rPr>
                <w:rFonts w:hint="eastAsia" w:ascii="宋体" w:hAnsi="宋体" w:cs="Times New Roman"/>
                <w:sz w:val="21"/>
                <w:szCs w:val="21"/>
                <w:lang w:val="en-US" w:eastAsia="zh-CN"/>
              </w:rPr>
              <w:t>签订合同10日内</w:t>
            </w:r>
          </w:p>
        </w:tc>
      </w:tr>
      <w:tr w14:paraId="05BB1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691" w:type="dxa"/>
            <w:vMerge w:val="continue"/>
            <w:shd w:val="clear" w:color="auto" w:fill="D9E2F3" w:themeFill="accent5" w:themeFillTint="33"/>
            <w:vAlign w:val="center"/>
          </w:tcPr>
          <w:p w14:paraId="1BAFD4FD">
            <w:pPr>
              <w:widowControl/>
              <w:spacing w:after="0" w:line="360" w:lineRule="exact"/>
              <w:ind w:firstLine="420"/>
              <w:rPr>
                <w:rFonts w:ascii="宋体" w:hAnsi="宋体" w:cs="Times New Roman"/>
                <w:sz w:val="21"/>
                <w:szCs w:val="21"/>
              </w:rPr>
            </w:pPr>
          </w:p>
        </w:tc>
        <w:tc>
          <w:tcPr>
            <w:tcW w:w="1410" w:type="dxa"/>
            <w:vMerge w:val="continue"/>
            <w:shd w:val="clear" w:color="auto" w:fill="D9E2F3" w:themeFill="accent5" w:themeFillTint="33"/>
            <w:vAlign w:val="center"/>
          </w:tcPr>
          <w:p w14:paraId="5B145652">
            <w:pPr>
              <w:widowControl/>
              <w:spacing w:after="0" w:line="360" w:lineRule="exact"/>
              <w:ind w:firstLine="420"/>
              <w:jc w:val="left"/>
              <w:rPr>
                <w:rFonts w:ascii="宋体" w:hAnsi="宋体" w:cs="Times New Roman"/>
                <w:sz w:val="21"/>
                <w:szCs w:val="21"/>
              </w:rPr>
            </w:pPr>
          </w:p>
        </w:tc>
        <w:tc>
          <w:tcPr>
            <w:tcW w:w="3495" w:type="dxa"/>
            <w:vAlign w:val="center"/>
          </w:tcPr>
          <w:p w14:paraId="4EA30B3E">
            <w:pPr>
              <w:widowControl/>
              <w:spacing w:after="0" w:line="360" w:lineRule="exact"/>
              <w:rPr>
                <w:rFonts w:ascii="宋体" w:hAnsi="宋体" w:cs="Times New Roman"/>
                <w:sz w:val="21"/>
                <w:szCs w:val="21"/>
              </w:rPr>
            </w:pPr>
            <w:r>
              <w:rPr>
                <w:rFonts w:hint="eastAsia" w:ascii="宋体" w:hAnsi="宋体" w:cs="Times New Roman"/>
                <w:sz w:val="21"/>
                <w:szCs w:val="21"/>
              </w:rPr>
              <w:t>基础土建及预埋件施工</w:t>
            </w:r>
          </w:p>
        </w:tc>
        <w:tc>
          <w:tcPr>
            <w:tcW w:w="855" w:type="dxa"/>
            <w:vAlign w:val="center"/>
          </w:tcPr>
          <w:p w14:paraId="23F73DB2">
            <w:pPr>
              <w:widowControl/>
              <w:spacing w:after="0" w:line="360" w:lineRule="exact"/>
              <w:jc w:val="center"/>
              <w:rPr>
                <w:rFonts w:ascii="宋体" w:hAnsi="宋体" w:cs="Times New Roman"/>
                <w:sz w:val="21"/>
                <w:szCs w:val="21"/>
              </w:rPr>
            </w:pPr>
            <w:r>
              <w:rPr>
                <w:rFonts w:hint="eastAsia" w:ascii="宋体" w:hAnsi="宋体" w:cs="Times New Roman"/>
                <w:sz w:val="21"/>
                <w:szCs w:val="21"/>
              </w:rPr>
              <w:t>√</w:t>
            </w:r>
          </w:p>
        </w:tc>
        <w:tc>
          <w:tcPr>
            <w:tcW w:w="885" w:type="dxa"/>
            <w:vAlign w:val="center"/>
          </w:tcPr>
          <w:p w14:paraId="388FB822">
            <w:pPr>
              <w:widowControl/>
              <w:spacing w:after="0" w:line="360" w:lineRule="exact"/>
              <w:ind w:firstLine="199" w:firstLineChars="95"/>
              <w:jc w:val="center"/>
              <w:rPr>
                <w:rFonts w:ascii="宋体" w:hAnsi="宋体" w:cs="Times New Roman"/>
                <w:sz w:val="21"/>
                <w:szCs w:val="21"/>
              </w:rPr>
            </w:pPr>
          </w:p>
        </w:tc>
        <w:tc>
          <w:tcPr>
            <w:tcW w:w="1761" w:type="dxa"/>
            <w:vAlign w:val="center"/>
          </w:tcPr>
          <w:p w14:paraId="7CD70213">
            <w:pPr>
              <w:widowControl/>
              <w:spacing w:after="0" w:line="360" w:lineRule="exact"/>
              <w:ind w:firstLine="420"/>
              <w:rPr>
                <w:rFonts w:ascii="宋体" w:hAnsi="宋体" w:cs="Times New Roman"/>
                <w:sz w:val="21"/>
                <w:szCs w:val="21"/>
              </w:rPr>
            </w:pPr>
          </w:p>
        </w:tc>
      </w:tr>
      <w:tr w14:paraId="314C1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jc w:val="center"/>
        </w:trPr>
        <w:tc>
          <w:tcPr>
            <w:tcW w:w="691" w:type="dxa"/>
            <w:vMerge w:val="restart"/>
            <w:shd w:val="clear" w:color="auto" w:fill="D9E2F3" w:themeFill="accent5" w:themeFillTint="33"/>
            <w:vAlign w:val="center"/>
          </w:tcPr>
          <w:p w14:paraId="21A4C7DA">
            <w:pPr>
              <w:widowControl/>
              <w:spacing w:after="0" w:line="360" w:lineRule="exact"/>
              <w:ind w:firstLine="199" w:firstLineChars="95"/>
              <w:rPr>
                <w:rFonts w:ascii="宋体" w:hAnsi="宋体" w:cs="Times New Roman"/>
                <w:sz w:val="21"/>
                <w:szCs w:val="21"/>
              </w:rPr>
            </w:pPr>
            <w:r>
              <w:rPr>
                <w:rFonts w:hint="eastAsia" w:ascii="宋体" w:hAnsi="宋体" w:cs="Times New Roman"/>
                <w:sz w:val="21"/>
                <w:szCs w:val="21"/>
              </w:rPr>
              <w:t>3</w:t>
            </w:r>
          </w:p>
        </w:tc>
        <w:tc>
          <w:tcPr>
            <w:tcW w:w="1410" w:type="dxa"/>
            <w:vMerge w:val="restart"/>
            <w:shd w:val="clear" w:color="auto" w:fill="D9E2F3" w:themeFill="accent5" w:themeFillTint="33"/>
            <w:vAlign w:val="center"/>
          </w:tcPr>
          <w:p w14:paraId="2FD62575">
            <w:pPr>
              <w:widowControl/>
              <w:spacing w:after="0" w:line="360" w:lineRule="exact"/>
              <w:jc w:val="left"/>
              <w:rPr>
                <w:rFonts w:ascii="宋体" w:hAnsi="宋体" w:cs="Times New Roman"/>
                <w:sz w:val="21"/>
                <w:szCs w:val="21"/>
              </w:rPr>
            </w:pPr>
            <w:r>
              <w:rPr>
                <w:rFonts w:hint="eastAsia" w:ascii="宋体" w:hAnsi="宋体" w:cs="Times New Roman"/>
                <w:sz w:val="21"/>
                <w:szCs w:val="21"/>
              </w:rPr>
              <w:t>电器配线</w:t>
            </w:r>
          </w:p>
        </w:tc>
        <w:tc>
          <w:tcPr>
            <w:tcW w:w="3495" w:type="dxa"/>
            <w:vAlign w:val="center"/>
          </w:tcPr>
          <w:p w14:paraId="7FF73096">
            <w:pPr>
              <w:widowControl/>
              <w:spacing w:after="0" w:line="360" w:lineRule="exact"/>
              <w:rPr>
                <w:rFonts w:ascii="宋体" w:hAnsi="宋体" w:cs="Times New Roman"/>
                <w:sz w:val="21"/>
                <w:szCs w:val="21"/>
              </w:rPr>
            </w:pPr>
            <w:r>
              <w:rPr>
                <w:rFonts w:hint="eastAsia" w:ascii="宋体" w:hAnsi="宋体" w:cs="Times New Roman"/>
                <w:sz w:val="21"/>
                <w:szCs w:val="21"/>
              </w:rPr>
              <w:t>动力电源主控柜或母线</w:t>
            </w:r>
          </w:p>
        </w:tc>
        <w:tc>
          <w:tcPr>
            <w:tcW w:w="855" w:type="dxa"/>
            <w:vAlign w:val="center"/>
          </w:tcPr>
          <w:p w14:paraId="17E12E1D">
            <w:pPr>
              <w:widowControl/>
              <w:spacing w:after="0" w:line="360" w:lineRule="exact"/>
              <w:ind w:firstLine="210" w:firstLineChars="100"/>
              <w:rPr>
                <w:rFonts w:ascii="宋体" w:hAnsi="宋体" w:cs="Times New Roman"/>
                <w:sz w:val="21"/>
                <w:szCs w:val="21"/>
              </w:rPr>
            </w:pPr>
            <w:r>
              <w:rPr>
                <w:rFonts w:hint="eastAsia" w:ascii="宋体" w:hAnsi="宋体" w:cs="Times New Roman"/>
                <w:sz w:val="21"/>
                <w:szCs w:val="21"/>
              </w:rPr>
              <w:t>√</w:t>
            </w:r>
          </w:p>
        </w:tc>
        <w:tc>
          <w:tcPr>
            <w:tcW w:w="885" w:type="dxa"/>
            <w:vAlign w:val="center"/>
          </w:tcPr>
          <w:p w14:paraId="52FA8147">
            <w:pPr>
              <w:widowControl/>
              <w:spacing w:after="0" w:line="360" w:lineRule="exact"/>
              <w:ind w:firstLine="420"/>
              <w:jc w:val="center"/>
              <w:rPr>
                <w:rFonts w:ascii="宋体" w:hAnsi="宋体" w:cs="Times New Roman"/>
                <w:sz w:val="21"/>
                <w:szCs w:val="21"/>
              </w:rPr>
            </w:pPr>
          </w:p>
        </w:tc>
        <w:tc>
          <w:tcPr>
            <w:tcW w:w="1761" w:type="dxa"/>
            <w:vAlign w:val="center"/>
          </w:tcPr>
          <w:p w14:paraId="1930A258">
            <w:pPr>
              <w:widowControl/>
              <w:spacing w:after="0" w:line="360" w:lineRule="exact"/>
              <w:ind w:firstLine="420"/>
              <w:rPr>
                <w:rFonts w:ascii="宋体" w:hAnsi="宋体" w:cs="Times New Roman"/>
                <w:sz w:val="21"/>
                <w:szCs w:val="21"/>
              </w:rPr>
            </w:pPr>
          </w:p>
        </w:tc>
      </w:tr>
      <w:tr w14:paraId="4EC2C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91" w:type="dxa"/>
            <w:vMerge w:val="continue"/>
            <w:shd w:val="clear" w:color="auto" w:fill="D9E2F3" w:themeFill="accent5" w:themeFillTint="33"/>
            <w:vAlign w:val="center"/>
          </w:tcPr>
          <w:p w14:paraId="754B5FDC">
            <w:pPr>
              <w:widowControl/>
              <w:spacing w:after="0" w:line="360" w:lineRule="exact"/>
              <w:ind w:firstLine="420"/>
              <w:rPr>
                <w:rFonts w:ascii="宋体" w:hAnsi="宋体" w:cs="Times New Roman"/>
                <w:sz w:val="21"/>
                <w:szCs w:val="21"/>
              </w:rPr>
            </w:pPr>
          </w:p>
        </w:tc>
        <w:tc>
          <w:tcPr>
            <w:tcW w:w="1410" w:type="dxa"/>
            <w:vMerge w:val="continue"/>
            <w:shd w:val="clear" w:color="auto" w:fill="D9E2F3" w:themeFill="accent5" w:themeFillTint="33"/>
            <w:vAlign w:val="center"/>
          </w:tcPr>
          <w:p w14:paraId="6C7E4074">
            <w:pPr>
              <w:widowControl/>
              <w:spacing w:after="0" w:line="360" w:lineRule="exact"/>
              <w:ind w:firstLine="420"/>
              <w:jc w:val="left"/>
              <w:rPr>
                <w:rFonts w:ascii="宋体" w:hAnsi="宋体" w:cs="Times New Roman"/>
                <w:sz w:val="21"/>
                <w:szCs w:val="21"/>
              </w:rPr>
            </w:pPr>
          </w:p>
        </w:tc>
        <w:tc>
          <w:tcPr>
            <w:tcW w:w="3495" w:type="dxa"/>
            <w:vAlign w:val="center"/>
          </w:tcPr>
          <w:p w14:paraId="01CDA6AF">
            <w:pPr>
              <w:widowControl/>
              <w:spacing w:after="0" w:line="360" w:lineRule="exact"/>
              <w:rPr>
                <w:rFonts w:ascii="宋体" w:hAnsi="宋体" w:cs="Times New Roman"/>
                <w:sz w:val="21"/>
                <w:szCs w:val="21"/>
              </w:rPr>
            </w:pPr>
            <w:r>
              <w:rPr>
                <w:rFonts w:hint="eastAsia" w:ascii="宋体" w:hAnsi="宋体" w:cs="Times New Roman"/>
                <w:sz w:val="21"/>
                <w:szCs w:val="21"/>
              </w:rPr>
              <w:t>动力电源主控柜电源至设备主控柜</w:t>
            </w:r>
          </w:p>
        </w:tc>
        <w:tc>
          <w:tcPr>
            <w:tcW w:w="855" w:type="dxa"/>
            <w:vAlign w:val="center"/>
          </w:tcPr>
          <w:p w14:paraId="0639C08A">
            <w:pPr>
              <w:widowControl/>
              <w:spacing w:after="0" w:line="360" w:lineRule="exact"/>
              <w:ind w:firstLine="420"/>
              <w:jc w:val="center"/>
              <w:rPr>
                <w:rFonts w:ascii="宋体" w:hAnsi="宋体" w:cs="Times New Roman"/>
                <w:sz w:val="21"/>
                <w:szCs w:val="21"/>
              </w:rPr>
            </w:pPr>
          </w:p>
        </w:tc>
        <w:tc>
          <w:tcPr>
            <w:tcW w:w="885" w:type="dxa"/>
            <w:vAlign w:val="center"/>
          </w:tcPr>
          <w:p w14:paraId="122EA1F1">
            <w:pPr>
              <w:widowControl/>
              <w:spacing w:after="0" w:line="360" w:lineRule="exact"/>
              <w:ind w:firstLine="199" w:firstLineChars="95"/>
              <w:jc w:val="center"/>
              <w:rPr>
                <w:rFonts w:ascii="宋体" w:hAnsi="宋体" w:cs="Times New Roman"/>
                <w:sz w:val="21"/>
                <w:szCs w:val="21"/>
              </w:rPr>
            </w:pPr>
            <w:r>
              <w:rPr>
                <w:rFonts w:hint="eastAsia" w:ascii="宋体" w:hAnsi="宋体" w:cs="Times New Roman"/>
                <w:sz w:val="21"/>
                <w:szCs w:val="21"/>
              </w:rPr>
              <w:t>√</w:t>
            </w:r>
          </w:p>
        </w:tc>
        <w:tc>
          <w:tcPr>
            <w:tcW w:w="1761" w:type="dxa"/>
            <w:vAlign w:val="center"/>
          </w:tcPr>
          <w:p w14:paraId="1725D1FC">
            <w:pPr>
              <w:widowControl/>
              <w:spacing w:after="0" w:line="360" w:lineRule="exact"/>
              <w:ind w:firstLine="420"/>
              <w:rPr>
                <w:rFonts w:ascii="宋体" w:hAnsi="宋体" w:cs="Times New Roman"/>
                <w:sz w:val="21"/>
                <w:szCs w:val="21"/>
              </w:rPr>
            </w:pPr>
          </w:p>
        </w:tc>
      </w:tr>
      <w:tr w14:paraId="3DD8B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jc w:val="center"/>
        </w:trPr>
        <w:tc>
          <w:tcPr>
            <w:tcW w:w="691" w:type="dxa"/>
            <w:vMerge w:val="restart"/>
            <w:shd w:val="clear" w:color="auto" w:fill="D9E2F3" w:themeFill="accent5" w:themeFillTint="33"/>
            <w:vAlign w:val="center"/>
          </w:tcPr>
          <w:p w14:paraId="562FFD7E">
            <w:pPr>
              <w:widowControl/>
              <w:spacing w:after="0" w:line="360" w:lineRule="exact"/>
              <w:ind w:firstLine="199" w:firstLineChars="95"/>
              <w:rPr>
                <w:rFonts w:ascii="宋体" w:hAnsi="宋体" w:cs="Times New Roman"/>
                <w:sz w:val="21"/>
                <w:szCs w:val="21"/>
              </w:rPr>
            </w:pPr>
            <w:r>
              <w:rPr>
                <w:rFonts w:hint="eastAsia" w:ascii="宋体" w:hAnsi="宋体" w:cs="Times New Roman"/>
                <w:sz w:val="21"/>
                <w:szCs w:val="21"/>
              </w:rPr>
              <w:t>4</w:t>
            </w:r>
          </w:p>
        </w:tc>
        <w:tc>
          <w:tcPr>
            <w:tcW w:w="1410" w:type="dxa"/>
            <w:vMerge w:val="restart"/>
            <w:shd w:val="clear" w:color="auto" w:fill="D9E2F3" w:themeFill="accent5" w:themeFillTint="33"/>
            <w:vAlign w:val="center"/>
          </w:tcPr>
          <w:p w14:paraId="07D194EB">
            <w:pPr>
              <w:widowControl/>
              <w:spacing w:after="0" w:line="360" w:lineRule="exact"/>
              <w:jc w:val="left"/>
              <w:rPr>
                <w:rFonts w:ascii="宋体" w:hAnsi="宋体" w:cs="Times New Roman"/>
                <w:sz w:val="21"/>
                <w:szCs w:val="21"/>
              </w:rPr>
            </w:pPr>
            <w:r>
              <w:rPr>
                <w:rFonts w:hint="eastAsia" w:ascii="宋体" w:hAnsi="宋体" w:cs="Times New Roman"/>
                <w:sz w:val="21"/>
                <w:szCs w:val="21"/>
              </w:rPr>
              <w:t>用气配置</w:t>
            </w:r>
          </w:p>
        </w:tc>
        <w:tc>
          <w:tcPr>
            <w:tcW w:w="3495" w:type="dxa"/>
            <w:vAlign w:val="center"/>
          </w:tcPr>
          <w:p w14:paraId="5F62B8A7">
            <w:pPr>
              <w:widowControl/>
              <w:spacing w:after="0" w:line="360" w:lineRule="exact"/>
              <w:rPr>
                <w:rFonts w:ascii="宋体" w:hAnsi="宋体" w:cs="Times New Roman"/>
                <w:sz w:val="21"/>
                <w:szCs w:val="21"/>
              </w:rPr>
            </w:pPr>
            <w:r>
              <w:rPr>
                <w:rFonts w:hint="eastAsia" w:ascii="宋体" w:hAnsi="宋体" w:cs="Times New Roman"/>
                <w:sz w:val="21"/>
                <w:szCs w:val="21"/>
              </w:rPr>
              <w:t>厂房供气点</w:t>
            </w:r>
          </w:p>
        </w:tc>
        <w:tc>
          <w:tcPr>
            <w:tcW w:w="855" w:type="dxa"/>
            <w:vAlign w:val="center"/>
          </w:tcPr>
          <w:p w14:paraId="5BFA4093">
            <w:pPr>
              <w:widowControl/>
              <w:spacing w:after="0" w:line="360" w:lineRule="exact"/>
              <w:ind w:firstLine="199" w:firstLineChars="95"/>
              <w:jc w:val="center"/>
              <w:rPr>
                <w:rFonts w:ascii="宋体" w:hAnsi="宋体" w:cs="Times New Roman"/>
                <w:sz w:val="21"/>
                <w:szCs w:val="21"/>
              </w:rPr>
            </w:pPr>
            <w:r>
              <w:rPr>
                <w:rFonts w:hint="eastAsia" w:ascii="宋体" w:hAnsi="宋体" w:cs="Times New Roman"/>
                <w:sz w:val="21"/>
                <w:szCs w:val="21"/>
              </w:rPr>
              <w:t>√</w:t>
            </w:r>
          </w:p>
        </w:tc>
        <w:tc>
          <w:tcPr>
            <w:tcW w:w="885" w:type="dxa"/>
            <w:vAlign w:val="center"/>
          </w:tcPr>
          <w:p w14:paraId="6F1DF5B2">
            <w:pPr>
              <w:widowControl/>
              <w:spacing w:after="0" w:line="360" w:lineRule="exact"/>
              <w:ind w:firstLine="420"/>
              <w:jc w:val="center"/>
              <w:rPr>
                <w:rFonts w:ascii="宋体" w:hAnsi="宋体" w:cs="Times New Roman"/>
                <w:sz w:val="21"/>
                <w:szCs w:val="21"/>
              </w:rPr>
            </w:pPr>
          </w:p>
        </w:tc>
        <w:tc>
          <w:tcPr>
            <w:tcW w:w="1761" w:type="dxa"/>
            <w:vAlign w:val="center"/>
          </w:tcPr>
          <w:p w14:paraId="38A3B7B4">
            <w:pPr>
              <w:widowControl/>
              <w:spacing w:after="0" w:line="360" w:lineRule="exact"/>
              <w:ind w:firstLine="420"/>
              <w:rPr>
                <w:rFonts w:ascii="宋体" w:hAnsi="宋体" w:cs="Times New Roman"/>
                <w:sz w:val="21"/>
                <w:szCs w:val="21"/>
              </w:rPr>
            </w:pPr>
          </w:p>
        </w:tc>
      </w:tr>
      <w:tr w14:paraId="10603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 w:hRule="atLeast"/>
          <w:jc w:val="center"/>
        </w:trPr>
        <w:tc>
          <w:tcPr>
            <w:tcW w:w="691" w:type="dxa"/>
            <w:vMerge w:val="continue"/>
            <w:shd w:val="clear" w:color="auto" w:fill="D9E2F3" w:themeFill="accent5" w:themeFillTint="33"/>
            <w:vAlign w:val="center"/>
          </w:tcPr>
          <w:p w14:paraId="5F1A27B2">
            <w:pPr>
              <w:widowControl/>
              <w:spacing w:after="0" w:line="360" w:lineRule="exact"/>
              <w:ind w:firstLine="420"/>
              <w:rPr>
                <w:rFonts w:ascii="宋体" w:hAnsi="宋体" w:cs="Times New Roman"/>
                <w:sz w:val="21"/>
                <w:szCs w:val="21"/>
              </w:rPr>
            </w:pPr>
          </w:p>
        </w:tc>
        <w:tc>
          <w:tcPr>
            <w:tcW w:w="1410" w:type="dxa"/>
            <w:vMerge w:val="continue"/>
            <w:shd w:val="clear" w:color="auto" w:fill="D9E2F3" w:themeFill="accent5" w:themeFillTint="33"/>
            <w:vAlign w:val="center"/>
          </w:tcPr>
          <w:p w14:paraId="3343F0EF">
            <w:pPr>
              <w:widowControl/>
              <w:spacing w:after="0" w:line="360" w:lineRule="exact"/>
              <w:ind w:firstLine="420"/>
              <w:jc w:val="left"/>
              <w:rPr>
                <w:rFonts w:ascii="宋体" w:hAnsi="宋体" w:cs="Times New Roman"/>
                <w:sz w:val="21"/>
                <w:szCs w:val="21"/>
              </w:rPr>
            </w:pPr>
          </w:p>
        </w:tc>
        <w:tc>
          <w:tcPr>
            <w:tcW w:w="3495" w:type="dxa"/>
            <w:vAlign w:val="center"/>
          </w:tcPr>
          <w:p w14:paraId="008EE25D">
            <w:pPr>
              <w:widowControl/>
              <w:spacing w:after="0" w:line="360" w:lineRule="exact"/>
              <w:rPr>
                <w:rFonts w:ascii="宋体" w:hAnsi="宋体" w:cs="Times New Roman"/>
                <w:sz w:val="21"/>
                <w:szCs w:val="21"/>
              </w:rPr>
            </w:pPr>
            <w:r>
              <w:rPr>
                <w:rFonts w:hint="eastAsia" w:ascii="宋体" w:hAnsi="宋体" w:cs="Times New Roman"/>
                <w:sz w:val="21"/>
                <w:szCs w:val="21"/>
              </w:rPr>
              <w:t>厂房供气点至设备内用气点</w:t>
            </w:r>
          </w:p>
        </w:tc>
        <w:tc>
          <w:tcPr>
            <w:tcW w:w="855" w:type="dxa"/>
            <w:vAlign w:val="center"/>
          </w:tcPr>
          <w:p w14:paraId="71835A18">
            <w:pPr>
              <w:widowControl/>
              <w:spacing w:after="0" w:line="360" w:lineRule="exact"/>
              <w:ind w:firstLine="420"/>
              <w:jc w:val="center"/>
              <w:rPr>
                <w:rFonts w:ascii="宋体" w:hAnsi="宋体" w:cs="Times New Roman"/>
                <w:sz w:val="21"/>
                <w:szCs w:val="21"/>
              </w:rPr>
            </w:pPr>
          </w:p>
        </w:tc>
        <w:tc>
          <w:tcPr>
            <w:tcW w:w="885" w:type="dxa"/>
            <w:vAlign w:val="center"/>
          </w:tcPr>
          <w:p w14:paraId="7C7BC779">
            <w:pPr>
              <w:widowControl/>
              <w:spacing w:after="0" w:line="360" w:lineRule="exact"/>
              <w:ind w:firstLine="210" w:firstLineChars="100"/>
              <w:jc w:val="center"/>
              <w:rPr>
                <w:rFonts w:ascii="宋体" w:hAnsi="宋体" w:cs="Times New Roman"/>
                <w:sz w:val="21"/>
                <w:szCs w:val="21"/>
              </w:rPr>
            </w:pPr>
            <w:r>
              <w:rPr>
                <w:rFonts w:hint="eastAsia" w:ascii="宋体" w:hAnsi="宋体" w:cs="Times New Roman"/>
                <w:sz w:val="21"/>
                <w:szCs w:val="21"/>
              </w:rPr>
              <w:t>√</w:t>
            </w:r>
          </w:p>
        </w:tc>
        <w:tc>
          <w:tcPr>
            <w:tcW w:w="1761" w:type="dxa"/>
            <w:vAlign w:val="center"/>
          </w:tcPr>
          <w:p w14:paraId="5EC47858">
            <w:pPr>
              <w:widowControl/>
              <w:spacing w:after="0" w:line="360" w:lineRule="exact"/>
              <w:ind w:firstLine="420"/>
              <w:rPr>
                <w:rFonts w:ascii="宋体" w:hAnsi="宋体" w:cs="Times New Roman"/>
                <w:sz w:val="21"/>
                <w:szCs w:val="21"/>
              </w:rPr>
            </w:pPr>
          </w:p>
        </w:tc>
      </w:tr>
      <w:tr w14:paraId="413B8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91" w:type="dxa"/>
            <w:tcBorders>
              <w:bottom w:val="single" w:color="auto" w:sz="4" w:space="0"/>
            </w:tcBorders>
            <w:shd w:val="clear" w:color="auto" w:fill="D9E2F3" w:themeFill="accent5" w:themeFillTint="33"/>
            <w:vAlign w:val="center"/>
          </w:tcPr>
          <w:p w14:paraId="1A9B8D51">
            <w:pPr>
              <w:widowControl/>
              <w:spacing w:after="0" w:line="360" w:lineRule="exact"/>
              <w:ind w:firstLine="199" w:firstLineChars="95"/>
              <w:rPr>
                <w:rFonts w:ascii="宋体" w:hAnsi="宋体" w:cs="Times New Roman"/>
                <w:sz w:val="21"/>
                <w:szCs w:val="21"/>
              </w:rPr>
            </w:pPr>
            <w:r>
              <w:rPr>
                <w:rFonts w:hint="eastAsia" w:ascii="宋体" w:hAnsi="宋体" w:cs="Times New Roman"/>
                <w:sz w:val="21"/>
                <w:szCs w:val="21"/>
              </w:rPr>
              <w:t>5</w:t>
            </w:r>
          </w:p>
        </w:tc>
        <w:tc>
          <w:tcPr>
            <w:tcW w:w="1410" w:type="dxa"/>
            <w:tcBorders>
              <w:bottom w:val="single" w:color="auto" w:sz="4" w:space="0"/>
            </w:tcBorders>
            <w:shd w:val="clear" w:color="auto" w:fill="D9E2F3" w:themeFill="accent5" w:themeFillTint="33"/>
            <w:vAlign w:val="center"/>
          </w:tcPr>
          <w:p w14:paraId="2B8CC917">
            <w:pPr>
              <w:widowControl/>
              <w:spacing w:after="0" w:line="360" w:lineRule="exact"/>
              <w:jc w:val="left"/>
              <w:rPr>
                <w:rFonts w:ascii="宋体" w:hAnsi="宋体" w:cs="Times New Roman"/>
                <w:sz w:val="21"/>
                <w:szCs w:val="21"/>
              </w:rPr>
            </w:pPr>
            <w:r>
              <w:rPr>
                <w:rFonts w:hint="eastAsia" w:ascii="宋体" w:hAnsi="宋体" w:cs="Times New Roman"/>
                <w:sz w:val="21"/>
                <w:szCs w:val="21"/>
              </w:rPr>
              <w:t>安全围栏</w:t>
            </w:r>
          </w:p>
        </w:tc>
        <w:tc>
          <w:tcPr>
            <w:tcW w:w="3495" w:type="dxa"/>
            <w:tcBorders>
              <w:bottom w:val="single" w:color="auto" w:sz="4" w:space="0"/>
            </w:tcBorders>
            <w:vAlign w:val="center"/>
          </w:tcPr>
          <w:p w14:paraId="29D71A24">
            <w:pPr>
              <w:widowControl/>
              <w:spacing w:after="0" w:line="360" w:lineRule="exact"/>
              <w:rPr>
                <w:rFonts w:ascii="宋体" w:hAnsi="宋体" w:cs="Times New Roman"/>
                <w:sz w:val="21"/>
                <w:szCs w:val="21"/>
              </w:rPr>
            </w:pPr>
            <w:r>
              <w:rPr>
                <w:rFonts w:hint="eastAsia" w:ascii="宋体" w:hAnsi="宋体" w:cs="Times New Roman"/>
                <w:sz w:val="21"/>
                <w:szCs w:val="21"/>
              </w:rPr>
              <w:t>设备周围防护围栏</w:t>
            </w:r>
          </w:p>
        </w:tc>
        <w:tc>
          <w:tcPr>
            <w:tcW w:w="855" w:type="dxa"/>
            <w:vAlign w:val="center"/>
          </w:tcPr>
          <w:p w14:paraId="0576C4B5">
            <w:pPr>
              <w:widowControl/>
              <w:spacing w:after="0" w:line="360" w:lineRule="exact"/>
              <w:ind w:firstLine="420"/>
              <w:jc w:val="center"/>
              <w:rPr>
                <w:rFonts w:ascii="宋体" w:hAnsi="宋体" w:cs="Times New Roman"/>
                <w:sz w:val="21"/>
                <w:szCs w:val="21"/>
              </w:rPr>
            </w:pPr>
          </w:p>
        </w:tc>
        <w:tc>
          <w:tcPr>
            <w:tcW w:w="885" w:type="dxa"/>
            <w:vAlign w:val="center"/>
          </w:tcPr>
          <w:p w14:paraId="387DED9D">
            <w:pPr>
              <w:widowControl/>
              <w:spacing w:after="0" w:line="360" w:lineRule="exact"/>
              <w:ind w:firstLine="199" w:firstLineChars="95"/>
              <w:jc w:val="center"/>
              <w:rPr>
                <w:rFonts w:ascii="宋体" w:hAnsi="宋体" w:cs="Times New Roman"/>
                <w:sz w:val="21"/>
                <w:szCs w:val="21"/>
              </w:rPr>
            </w:pPr>
            <w:r>
              <w:rPr>
                <w:rFonts w:hint="eastAsia" w:ascii="宋体" w:hAnsi="宋体" w:cs="Times New Roman"/>
                <w:sz w:val="21"/>
                <w:szCs w:val="21"/>
              </w:rPr>
              <w:t>√</w:t>
            </w:r>
          </w:p>
        </w:tc>
        <w:tc>
          <w:tcPr>
            <w:tcW w:w="1761" w:type="dxa"/>
            <w:vAlign w:val="center"/>
          </w:tcPr>
          <w:p w14:paraId="3DAA1DBB">
            <w:pPr>
              <w:widowControl/>
              <w:spacing w:after="0" w:line="360" w:lineRule="exact"/>
              <w:ind w:firstLine="420"/>
              <w:rPr>
                <w:rFonts w:ascii="宋体" w:hAnsi="宋体" w:cs="Times New Roman"/>
                <w:sz w:val="21"/>
                <w:szCs w:val="21"/>
              </w:rPr>
            </w:pPr>
          </w:p>
        </w:tc>
      </w:tr>
      <w:tr w14:paraId="43435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91" w:type="dxa"/>
            <w:shd w:val="clear" w:color="auto" w:fill="D9E2F3" w:themeFill="accent5" w:themeFillTint="33"/>
            <w:vAlign w:val="center"/>
          </w:tcPr>
          <w:p w14:paraId="4148812D">
            <w:pPr>
              <w:widowControl/>
              <w:spacing w:after="0" w:line="360" w:lineRule="exact"/>
              <w:ind w:firstLine="199" w:firstLineChars="95"/>
              <w:rPr>
                <w:rFonts w:ascii="宋体" w:hAnsi="宋体" w:cs="Times New Roman"/>
                <w:sz w:val="21"/>
                <w:szCs w:val="21"/>
              </w:rPr>
            </w:pPr>
            <w:r>
              <w:rPr>
                <w:rFonts w:ascii="宋体" w:hAnsi="宋体" w:cs="Times New Roman"/>
                <w:sz w:val="21"/>
                <w:szCs w:val="21"/>
              </w:rPr>
              <w:t>6</w:t>
            </w:r>
          </w:p>
        </w:tc>
        <w:tc>
          <w:tcPr>
            <w:tcW w:w="4905" w:type="dxa"/>
            <w:gridSpan w:val="2"/>
            <w:shd w:val="clear" w:color="auto" w:fill="D9E2F3" w:themeFill="accent5" w:themeFillTint="33"/>
            <w:vAlign w:val="center"/>
          </w:tcPr>
          <w:p w14:paraId="5696BD41">
            <w:pPr>
              <w:widowControl/>
              <w:spacing w:after="0" w:line="360" w:lineRule="exact"/>
              <w:rPr>
                <w:rFonts w:ascii="宋体" w:hAnsi="宋体" w:cs="Times New Roman"/>
                <w:sz w:val="21"/>
                <w:szCs w:val="21"/>
              </w:rPr>
            </w:pPr>
            <w:r>
              <w:rPr>
                <w:rFonts w:hint="eastAsia" w:ascii="宋体" w:hAnsi="宋体" w:cs="Times New Roman"/>
                <w:sz w:val="21"/>
                <w:szCs w:val="21"/>
              </w:rPr>
              <w:t>设备卸货及卸货设备</w:t>
            </w:r>
          </w:p>
        </w:tc>
        <w:tc>
          <w:tcPr>
            <w:tcW w:w="855" w:type="dxa"/>
            <w:vAlign w:val="center"/>
          </w:tcPr>
          <w:p w14:paraId="79AFECA4">
            <w:pPr>
              <w:widowControl/>
              <w:spacing w:after="0" w:line="360" w:lineRule="exact"/>
              <w:ind w:firstLine="420"/>
              <w:jc w:val="center"/>
              <w:rPr>
                <w:rFonts w:ascii="宋体" w:hAnsi="宋体" w:cs="Times New Roman"/>
                <w:sz w:val="21"/>
                <w:szCs w:val="21"/>
              </w:rPr>
            </w:pPr>
          </w:p>
        </w:tc>
        <w:tc>
          <w:tcPr>
            <w:tcW w:w="885" w:type="dxa"/>
          </w:tcPr>
          <w:p w14:paraId="10E2516C">
            <w:pPr>
              <w:widowControl/>
              <w:spacing w:after="0" w:line="360" w:lineRule="exact"/>
              <w:ind w:firstLine="199" w:firstLineChars="95"/>
              <w:jc w:val="center"/>
              <w:rPr>
                <w:rFonts w:ascii="宋体" w:hAnsi="宋体" w:cs="Times New Roman"/>
                <w:sz w:val="21"/>
                <w:szCs w:val="21"/>
              </w:rPr>
            </w:pPr>
            <w:r>
              <w:rPr>
                <w:rFonts w:hint="eastAsia" w:ascii="宋体" w:hAnsi="宋体" w:cs="Times New Roman"/>
                <w:sz w:val="21"/>
                <w:szCs w:val="21"/>
              </w:rPr>
              <w:t>√</w:t>
            </w:r>
          </w:p>
        </w:tc>
        <w:tc>
          <w:tcPr>
            <w:tcW w:w="1761" w:type="dxa"/>
            <w:vAlign w:val="center"/>
          </w:tcPr>
          <w:p w14:paraId="4E33B2E8">
            <w:pPr>
              <w:widowControl/>
              <w:spacing w:after="0" w:line="360" w:lineRule="exact"/>
              <w:ind w:firstLine="420"/>
              <w:rPr>
                <w:rFonts w:ascii="宋体" w:hAnsi="宋体" w:cs="Times New Roman"/>
                <w:sz w:val="21"/>
                <w:szCs w:val="21"/>
              </w:rPr>
            </w:pPr>
          </w:p>
        </w:tc>
      </w:tr>
      <w:tr w14:paraId="3F666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91" w:type="dxa"/>
            <w:shd w:val="clear" w:color="auto" w:fill="D9E2F3" w:themeFill="accent5" w:themeFillTint="33"/>
            <w:vAlign w:val="center"/>
          </w:tcPr>
          <w:p w14:paraId="23410110">
            <w:pPr>
              <w:widowControl/>
              <w:spacing w:after="0" w:line="360" w:lineRule="exact"/>
              <w:ind w:firstLine="199" w:firstLineChars="95"/>
              <w:rPr>
                <w:rFonts w:ascii="宋体" w:hAnsi="宋体" w:cs="Times New Roman"/>
                <w:sz w:val="21"/>
                <w:szCs w:val="21"/>
              </w:rPr>
            </w:pPr>
            <w:r>
              <w:rPr>
                <w:rFonts w:ascii="宋体" w:hAnsi="宋体" w:cs="Times New Roman"/>
                <w:sz w:val="21"/>
                <w:szCs w:val="21"/>
              </w:rPr>
              <w:t>7</w:t>
            </w:r>
          </w:p>
        </w:tc>
        <w:tc>
          <w:tcPr>
            <w:tcW w:w="4905" w:type="dxa"/>
            <w:gridSpan w:val="2"/>
            <w:shd w:val="clear" w:color="auto" w:fill="D9E2F3" w:themeFill="accent5" w:themeFillTint="33"/>
            <w:vAlign w:val="center"/>
          </w:tcPr>
          <w:p w14:paraId="4D886780">
            <w:pPr>
              <w:widowControl/>
              <w:spacing w:after="0" w:line="360" w:lineRule="exact"/>
              <w:rPr>
                <w:rFonts w:ascii="宋体" w:hAnsi="宋体" w:cs="Times New Roman"/>
                <w:sz w:val="21"/>
                <w:szCs w:val="21"/>
              </w:rPr>
            </w:pPr>
            <w:r>
              <w:rPr>
                <w:rFonts w:hint="eastAsia" w:ascii="宋体" w:hAnsi="宋体" w:cs="Times New Roman"/>
                <w:sz w:val="21"/>
                <w:szCs w:val="21"/>
              </w:rPr>
              <w:t>设备安装调试</w:t>
            </w:r>
          </w:p>
        </w:tc>
        <w:tc>
          <w:tcPr>
            <w:tcW w:w="855" w:type="dxa"/>
            <w:vAlign w:val="center"/>
          </w:tcPr>
          <w:p w14:paraId="4553D520">
            <w:pPr>
              <w:widowControl/>
              <w:spacing w:after="0" w:line="360" w:lineRule="exact"/>
              <w:ind w:firstLine="420"/>
              <w:jc w:val="center"/>
              <w:rPr>
                <w:rFonts w:ascii="宋体" w:hAnsi="宋体" w:cs="Times New Roman"/>
                <w:sz w:val="21"/>
                <w:szCs w:val="21"/>
              </w:rPr>
            </w:pPr>
          </w:p>
        </w:tc>
        <w:tc>
          <w:tcPr>
            <w:tcW w:w="885" w:type="dxa"/>
          </w:tcPr>
          <w:p w14:paraId="56FDE14C">
            <w:pPr>
              <w:widowControl/>
              <w:spacing w:after="0" w:line="360" w:lineRule="exact"/>
              <w:ind w:firstLine="199" w:firstLineChars="95"/>
              <w:jc w:val="center"/>
              <w:rPr>
                <w:rFonts w:ascii="宋体" w:hAnsi="宋体" w:cs="Times New Roman"/>
                <w:sz w:val="21"/>
                <w:szCs w:val="21"/>
              </w:rPr>
            </w:pPr>
            <w:r>
              <w:rPr>
                <w:rFonts w:hint="eastAsia" w:ascii="宋体" w:hAnsi="宋体" w:cs="Times New Roman"/>
                <w:sz w:val="21"/>
                <w:szCs w:val="21"/>
              </w:rPr>
              <w:t>√</w:t>
            </w:r>
          </w:p>
        </w:tc>
        <w:tc>
          <w:tcPr>
            <w:tcW w:w="1761" w:type="dxa"/>
            <w:vAlign w:val="center"/>
          </w:tcPr>
          <w:p w14:paraId="4354970C">
            <w:pPr>
              <w:widowControl/>
              <w:spacing w:after="0" w:line="360" w:lineRule="exact"/>
              <w:ind w:firstLine="420"/>
              <w:rPr>
                <w:rFonts w:ascii="宋体" w:hAnsi="宋体" w:cs="Times New Roman"/>
                <w:sz w:val="21"/>
                <w:szCs w:val="21"/>
              </w:rPr>
            </w:pPr>
          </w:p>
        </w:tc>
      </w:tr>
    </w:tbl>
    <w:p w14:paraId="02FFD040">
      <w:pPr>
        <w:numPr>
          <w:ilvl w:val="0"/>
          <w:numId w:val="0"/>
        </w:numPr>
        <w:spacing w:after="0" w:line="360" w:lineRule="exact"/>
        <w:ind w:left="142" w:leftChars="0"/>
        <w:contextualSpacing/>
        <w:rPr>
          <w:rFonts w:ascii="微软雅黑" w:hAnsi="微软雅黑" w:eastAsia="微软雅黑"/>
        </w:rPr>
      </w:pPr>
      <w:r>
        <w:rPr>
          <w:rFonts w:hint="eastAsia" w:ascii="微软雅黑" w:hAnsi="微软雅黑" w:eastAsia="微软雅黑"/>
          <w:lang w:val="en-US" w:eastAsia="zh-CN"/>
        </w:rPr>
        <w:t>2.6</w:t>
      </w:r>
      <w:r>
        <w:rPr>
          <w:rFonts w:hint="eastAsia" w:ascii="微软雅黑" w:hAnsi="微软雅黑" w:eastAsia="微软雅黑"/>
        </w:rPr>
        <w:t>电器类一般技术和制造要求</w:t>
      </w:r>
    </w:p>
    <w:p w14:paraId="74D248EC">
      <w:pPr>
        <w:numPr>
          <w:ilvl w:val="0"/>
          <w:numId w:val="18"/>
        </w:numPr>
        <w:spacing w:after="0" w:line="360" w:lineRule="exact"/>
        <w:contextualSpacing/>
        <w:rPr>
          <w:vanish/>
        </w:rPr>
      </w:pPr>
    </w:p>
    <w:p w14:paraId="21B8A54B">
      <w:pPr>
        <w:numPr>
          <w:ilvl w:val="0"/>
          <w:numId w:val="18"/>
        </w:numPr>
        <w:spacing w:after="0" w:line="360" w:lineRule="exact"/>
        <w:contextualSpacing/>
        <w:rPr>
          <w:vanish/>
        </w:rPr>
      </w:pPr>
    </w:p>
    <w:p w14:paraId="770EAA8C">
      <w:pPr>
        <w:numPr>
          <w:ilvl w:val="0"/>
          <w:numId w:val="18"/>
        </w:numPr>
        <w:spacing w:after="0" w:line="360" w:lineRule="exact"/>
        <w:contextualSpacing/>
        <w:rPr>
          <w:vanish/>
        </w:rPr>
      </w:pPr>
    </w:p>
    <w:p w14:paraId="4CDA7A55">
      <w:pPr>
        <w:numPr>
          <w:ilvl w:val="0"/>
          <w:numId w:val="18"/>
        </w:numPr>
        <w:spacing w:after="0" w:line="360" w:lineRule="exact"/>
        <w:contextualSpacing/>
        <w:rPr>
          <w:vanish/>
        </w:rPr>
      </w:pPr>
    </w:p>
    <w:p w14:paraId="18B3FA8E">
      <w:pPr>
        <w:numPr>
          <w:ilvl w:val="1"/>
          <w:numId w:val="18"/>
        </w:numPr>
        <w:spacing w:after="0" w:line="360" w:lineRule="exact"/>
        <w:contextualSpacing/>
        <w:rPr>
          <w:vanish/>
        </w:rPr>
      </w:pPr>
    </w:p>
    <w:p w14:paraId="1331CB8B">
      <w:pPr>
        <w:numPr>
          <w:ilvl w:val="1"/>
          <w:numId w:val="18"/>
        </w:numPr>
        <w:spacing w:after="0" w:line="360" w:lineRule="exact"/>
        <w:contextualSpacing/>
        <w:rPr>
          <w:vanish/>
        </w:rPr>
      </w:pPr>
    </w:p>
    <w:p w14:paraId="186E953A">
      <w:pPr>
        <w:numPr>
          <w:ilvl w:val="1"/>
          <w:numId w:val="18"/>
        </w:numPr>
        <w:spacing w:after="0" w:line="360" w:lineRule="exact"/>
        <w:contextualSpacing/>
        <w:rPr>
          <w:vanish/>
        </w:rPr>
      </w:pPr>
    </w:p>
    <w:p w14:paraId="174CDB6A">
      <w:pPr>
        <w:numPr>
          <w:ilvl w:val="1"/>
          <w:numId w:val="18"/>
        </w:numPr>
        <w:spacing w:after="0" w:line="360" w:lineRule="exact"/>
        <w:contextualSpacing/>
        <w:rPr>
          <w:vanish/>
        </w:rPr>
      </w:pPr>
    </w:p>
    <w:p w14:paraId="27093A9F">
      <w:pPr>
        <w:numPr>
          <w:ilvl w:val="1"/>
          <w:numId w:val="18"/>
        </w:numPr>
        <w:spacing w:after="0" w:line="360" w:lineRule="exact"/>
        <w:contextualSpacing/>
        <w:rPr>
          <w:vanish/>
        </w:rPr>
      </w:pPr>
    </w:p>
    <w:p w14:paraId="7FBC0201">
      <w:pPr>
        <w:numPr>
          <w:ilvl w:val="1"/>
          <w:numId w:val="18"/>
        </w:numPr>
        <w:spacing w:after="0" w:line="360" w:lineRule="exact"/>
        <w:contextualSpacing/>
        <w:rPr>
          <w:vanish/>
        </w:rPr>
      </w:pPr>
    </w:p>
    <w:p w14:paraId="6585072E">
      <w:pPr>
        <w:numPr>
          <w:ilvl w:val="0"/>
          <w:numId w:val="0"/>
        </w:numPr>
        <w:spacing w:after="0" w:line="360" w:lineRule="exact"/>
        <w:ind w:left="142" w:leftChars="0"/>
        <w:contextualSpacing/>
      </w:pPr>
      <w:r>
        <w:rPr>
          <w:rFonts w:hint="eastAsia"/>
          <w:lang w:val="en-US" w:eastAsia="zh-CN"/>
        </w:rPr>
        <w:t>2.6.1</w:t>
      </w:r>
      <w:r>
        <w:rPr>
          <w:rFonts w:hint="eastAsia"/>
        </w:rPr>
        <w:t>主电源</w:t>
      </w:r>
    </w:p>
    <w:p w14:paraId="1497110F">
      <w:pPr>
        <w:widowControl/>
        <w:numPr>
          <w:ilvl w:val="0"/>
          <w:numId w:val="19"/>
        </w:numPr>
        <w:adjustRightInd w:val="0"/>
        <w:snapToGrid w:val="0"/>
        <w:spacing w:after="0" w:line="360" w:lineRule="exact"/>
        <w:rPr>
          <w:rFonts w:ascii="宋体" w:hAnsi="宋体" w:cs="宋体"/>
        </w:rPr>
      </w:pPr>
      <w:r>
        <w:rPr>
          <w:rFonts w:hint="eastAsia" w:ascii="宋体" w:hAnsi="宋体" w:cs="宋体"/>
        </w:rPr>
        <w:t>三相 380V，50Hz，三相五线制（L1, L2,L3,N,PE）；</w:t>
      </w:r>
    </w:p>
    <w:p w14:paraId="39148E0E">
      <w:pPr>
        <w:widowControl/>
        <w:numPr>
          <w:ilvl w:val="0"/>
          <w:numId w:val="19"/>
        </w:numPr>
        <w:adjustRightInd w:val="0"/>
        <w:snapToGrid w:val="0"/>
        <w:spacing w:after="0" w:line="360" w:lineRule="exact"/>
        <w:rPr>
          <w:rFonts w:ascii="宋体" w:hAnsi="宋体" w:cs="宋体"/>
        </w:rPr>
      </w:pPr>
      <w:r>
        <w:rPr>
          <w:rFonts w:hint="eastAsia" w:ascii="宋体" w:hAnsi="宋体" w:cs="宋体"/>
        </w:rPr>
        <w:t>控制柜内部要有接零线和地线用的铜排，用于接三相五线制的电源；</w:t>
      </w:r>
    </w:p>
    <w:p w14:paraId="4AA3DA55">
      <w:pPr>
        <w:widowControl/>
        <w:numPr>
          <w:ilvl w:val="0"/>
          <w:numId w:val="19"/>
        </w:numPr>
        <w:adjustRightInd w:val="0"/>
        <w:snapToGrid w:val="0"/>
        <w:spacing w:after="0" w:line="360" w:lineRule="exact"/>
        <w:rPr>
          <w:rFonts w:ascii="宋体" w:hAnsi="宋体" w:cs="宋体"/>
        </w:rPr>
      </w:pPr>
      <w:r>
        <w:rPr>
          <w:rFonts w:hint="eastAsia" w:ascii="宋体" w:hAnsi="宋体" w:cs="宋体"/>
        </w:rPr>
        <w:t>总开关必须具有过电流及电磁保护功能，并配手动或电动操作机构，分断等级为N级。</w:t>
      </w:r>
    </w:p>
    <w:p w14:paraId="56A68ECD">
      <w:pPr>
        <w:numPr>
          <w:ilvl w:val="0"/>
          <w:numId w:val="0"/>
        </w:numPr>
        <w:spacing w:after="0" w:line="360" w:lineRule="exact"/>
        <w:ind w:left="142" w:leftChars="0"/>
        <w:contextualSpacing/>
      </w:pPr>
      <w:r>
        <w:rPr>
          <w:rFonts w:hint="eastAsia"/>
          <w:lang w:val="en-US" w:eastAsia="zh-CN"/>
        </w:rPr>
        <w:t>2.6.2</w:t>
      </w:r>
      <w:r>
        <w:rPr>
          <w:rFonts w:hint="eastAsia"/>
        </w:rPr>
        <w:t>辅助控制电压符合下表规定要求：</w:t>
      </w:r>
    </w:p>
    <w:tbl>
      <w:tblPr>
        <w:tblStyle w:val="42"/>
        <w:tblW w:w="7930" w:type="dxa"/>
        <w:tblInd w:w="7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8"/>
        <w:gridCol w:w="2831"/>
        <w:gridCol w:w="2552"/>
        <w:gridCol w:w="1559"/>
      </w:tblGrid>
      <w:tr w14:paraId="75CF6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Borders>
              <w:top w:val="single" w:color="auto" w:sz="4" w:space="0"/>
              <w:left w:val="single" w:color="auto" w:sz="4" w:space="0"/>
              <w:bottom w:val="single" w:color="auto" w:sz="4" w:space="0"/>
              <w:right w:val="single" w:color="auto" w:sz="4" w:space="0"/>
            </w:tcBorders>
            <w:shd w:val="clear" w:color="auto" w:fill="D9E2F3" w:themeFill="accent5" w:themeFillTint="33"/>
          </w:tcPr>
          <w:p w14:paraId="0C958485">
            <w:pPr>
              <w:spacing w:after="0" w:line="360" w:lineRule="exact"/>
              <w:jc w:val="center"/>
              <w:rPr>
                <w:rFonts w:ascii="宋体" w:hAnsi="宋体" w:cs="宋体"/>
                <w:b/>
                <w:bCs/>
                <w:sz w:val="21"/>
                <w:szCs w:val="21"/>
              </w:rPr>
            </w:pPr>
            <w:r>
              <w:rPr>
                <w:rFonts w:hint="eastAsia" w:ascii="宋体" w:hAnsi="宋体" w:cs="宋体"/>
                <w:b/>
                <w:bCs/>
                <w:sz w:val="21"/>
                <w:szCs w:val="21"/>
              </w:rPr>
              <w:t>序号</w:t>
            </w:r>
          </w:p>
        </w:tc>
        <w:tc>
          <w:tcPr>
            <w:tcW w:w="2831" w:type="dxa"/>
            <w:tcBorders>
              <w:top w:val="single" w:color="auto" w:sz="4" w:space="0"/>
              <w:left w:val="single" w:color="auto" w:sz="4" w:space="0"/>
              <w:bottom w:val="single" w:color="auto" w:sz="4" w:space="0"/>
              <w:right w:val="single" w:color="auto" w:sz="4" w:space="0"/>
            </w:tcBorders>
            <w:shd w:val="clear" w:color="auto" w:fill="D9E2F3" w:themeFill="accent5" w:themeFillTint="33"/>
          </w:tcPr>
          <w:p w14:paraId="4AA49109">
            <w:pPr>
              <w:spacing w:after="0" w:line="360" w:lineRule="exact"/>
              <w:jc w:val="center"/>
              <w:rPr>
                <w:rFonts w:ascii="宋体" w:hAnsi="宋体" w:cs="宋体"/>
                <w:b/>
                <w:bCs/>
                <w:sz w:val="21"/>
                <w:szCs w:val="21"/>
              </w:rPr>
            </w:pPr>
            <w:r>
              <w:rPr>
                <w:rFonts w:hint="eastAsia" w:ascii="宋体" w:hAnsi="宋体" w:cs="宋体"/>
                <w:b/>
                <w:bCs/>
                <w:sz w:val="21"/>
                <w:szCs w:val="21"/>
              </w:rPr>
              <w:t>项目</w:t>
            </w:r>
          </w:p>
        </w:tc>
        <w:tc>
          <w:tcPr>
            <w:tcW w:w="2552" w:type="dxa"/>
            <w:tcBorders>
              <w:top w:val="single" w:color="auto" w:sz="4" w:space="0"/>
              <w:left w:val="single" w:color="auto" w:sz="4" w:space="0"/>
              <w:bottom w:val="single" w:color="auto" w:sz="4" w:space="0"/>
              <w:right w:val="single" w:color="auto" w:sz="4" w:space="0"/>
            </w:tcBorders>
            <w:shd w:val="clear" w:color="auto" w:fill="D9E2F3" w:themeFill="accent5" w:themeFillTint="33"/>
          </w:tcPr>
          <w:p w14:paraId="0E3CC985">
            <w:pPr>
              <w:spacing w:after="0" w:line="360" w:lineRule="exact"/>
              <w:jc w:val="center"/>
              <w:rPr>
                <w:rFonts w:ascii="宋体" w:hAnsi="宋体" w:cs="宋体"/>
                <w:b/>
                <w:bCs/>
                <w:sz w:val="21"/>
                <w:szCs w:val="21"/>
              </w:rPr>
            </w:pPr>
            <w:r>
              <w:rPr>
                <w:rFonts w:hint="eastAsia" w:ascii="宋体" w:hAnsi="宋体" w:cs="宋体"/>
                <w:b/>
                <w:bCs/>
                <w:sz w:val="21"/>
                <w:szCs w:val="21"/>
              </w:rPr>
              <w:t>技术要求</w:t>
            </w:r>
          </w:p>
        </w:tc>
        <w:tc>
          <w:tcPr>
            <w:tcW w:w="1559" w:type="dxa"/>
            <w:tcBorders>
              <w:top w:val="single" w:color="auto" w:sz="4" w:space="0"/>
              <w:left w:val="single" w:color="auto" w:sz="4" w:space="0"/>
              <w:bottom w:val="single" w:color="auto" w:sz="4" w:space="0"/>
              <w:right w:val="single" w:color="auto" w:sz="4" w:space="0"/>
            </w:tcBorders>
            <w:shd w:val="clear" w:color="auto" w:fill="D9E2F3" w:themeFill="accent5" w:themeFillTint="33"/>
          </w:tcPr>
          <w:p w14:paraId="64D3332C">
            <w:pPr>
              <w:spacing w:after="0" w:line="360" w:lineRule="exact"/>
              <w:jc w:val="center"/>
              <w:rPr>
                <w:rFonts w:ascii="宋体" w:hAnsi="宋体" w:cs="宋体"/>
                <w:b/>
                <w:bCs/>
                <w:sz w:val="21"/>
                <w:szCs w:val="21"/>
              </w:rPr>
            </w:pPr>
            <w:r>
              <w:rPr>
                <w:rFonts w:hint="eastAsia" w:ascii="宋体" w:hAnsi="宋体" w:cs="宋体"/>
                <w:b/>
                <w:bCs/>
                <w:sz w:val="21"/>
                <w:szCs w:val="21"/>
              </w:rPr>
              <w:t>备注</w:t>
            </w:r>
          </w:p>
        </w:tc>
      </w:tr>
      <w:tr w14:paraId="637F6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Borders>
              <w:top w:val="single" w:color="auto" w:sz="4" w:space="0"/>
              <w:left w:val="single" w:color="auto" w:sz="4" w:space="0"/>
              <w:bottom w:val="single" w:color="auto" w:sz="4" w:space="0"/>
              <w:right w:val="single" w:color="auto" w:sz="4" w:space="0"/>
            </w:tcBorders>
            <w:shd w:val="clear" w:color="auto" w:fill="D9E2F3" w:themeFill="accent5" w:themeFillTint="33"/>
            <w:vAlign w:val="center"/>
          </w:tcPr>
          <w:p w14:paraId="2C009018">
            <w:pPr>
              <w:spacing w:after="0" w:line="360" w:lineRule="exact"/>
              <w:jc w:val="center"/>
              <w:rPr>
                <w:rFonts w:ascii="宋体" w:hAnsi="宋体" w:cs="宋体"/>
                <w:sz w:val="21"/>
                <w:szCs w:val="21"/>
              </w:rPr>
            </w:pPr>
            <w:r>
              <w:rPr>
                <w:rFonts w:hint="eastAsia" w:ascii="宋体" w:hAnsi="宋体" w:cs="宋体"/>
                <w:sz w:val="21"/>
                <w:szCs w:val="21"/>
              </w:rPr>
              <w:t>1</w:t>
            </w:r>
          </w:p>
        </w:tc>
        <w:tc>
          <w:tcPr>
            <w:tcW w:w="2831" w:type="dxa"/>
            <w:tcBorders>
              <w:top w:val="single" w:color="auto" w:sz="4" w:space="0"/>
              <w:left w:val="single" w:color="auto" w:sz="4" w:space="0"/>
              <w:bottom w:val="single" w:color="auto" w:sz="4" w:space="0"/>
              <w:right w:val="single" w:color="auto" w:sz="4" w:space="0"/>
            </w:tcBorders>
          </w:tcPr>
          <w:p w14:paraId="144886B4">
            <w:pPr>
              <w:spacing w:after="0" w:line="360" w:lineRule="exact"/>
              <w:jc w:val="center"/>
              <w:rPr>
                <w:rFonts w:ascii="宋体" w:hAnsi="宋体" w:cs="宋体"/>
                <w:sz w:val="21"/>
                <w:szCs w:val="21"/>
              </w:rPr>
            </w:pPr>
            <w:r>
              <w:rPr>
                <w:rFonts w:hint="eastAsia" w:ascii="宋体" w:hAnsi="宋体" w:cs="宋体"/>
                <w:sz w:val="21"/>
                <w:szCs w:val="21"/>
              </w:rPr>
              <w:t>操作、控制电压</w:t>
            </w:r>
          </w:p>
        </w:tc>
        <w:tc>
          <w:tcPr>
            <w:tcW w:w="2552" w:type="dxa"/>
            <w:tcBorders>
              <w:top w:val="single" w:color="auto" w:sz="4" w:space="0"/>
              <w:left w:val="single" w:color="auto" w:sz="4" w:space="0"/>
              <w:bottom w:val="single" w:color="auto" w:sz="4" w:space="0"/>
              <w:right w:val="single" w:color="auto" w:sz="4" w:space="0"/>
            </w:tcBorders>
          </w:tcPr>
          <w:p w14:paraId="79E0B327">
            <w:pPr>
              <w:spacing w:after="0" w:line="360" w:lineRule="exact"/>
              <w:jc w:val="center"/>
              <w:rPr>
                <w:rFonts w:ascii="宋体" w:hAnsi="宋体" w:cs="宋体"/>
                <w:sz w:val="21"/>
                <w:szCs w:val="21"/>
              </w:rPr>
            </w:pPr>
            <w:r>
              <w:rPr>
                <w:rFonts w:hint="eastAsia" w:ascii="宋体" w:hAnsi="宋体" w:cs="宋体"/>
                <w:sz w:val="21"/>
                <w:szCs w:val="21"/>
              </w:rPr>
              <w:t>24VDC、220VAC50HZ</w:t>
            </w:r>
          </w:p>
        </w:tc>
        <w:tc>
          <w:tcPr>
            <w:tcW w:w="1559" w:type="dxa"/>
            <w:tcBorders>
              <w:top w:val="single" w:color="auto" w:sz="4" w:space="0"/>
              <w:left w:val="single" w:color="auto" w:sz="4" w:space="0"/>
              <w:bottom w:val="single" w:color="auto" w:sz="4" w:space="0"/>
              <w:right w:val="single" w:color="auto" w:sz="4" w:space="0"/>
            </w:tcBorders>
          </w:tcPr>
          <w:p w14:paraId="16CC8906">
            <w:pPr>
              <w:spacing w:after="0" w:line="360" w:lineRule="exact"/>
              <w:jc w:val="center"/>
              <w:rPr>
                <w:rFonts w:ascii="宋体" w:hAnsi="宋体" w:cs="宋体"/>
                <w:sz w:val="21"/>
                <w:szCs w:val="21"/>
              </w:rPr>
            </w:pPr>
          </w:p>
        </w:tc>
      </w:tr>
      <w:tr w14:paraId="417D0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Borders>
              <w:top w:val="single" w:color="auto" w:sz="4" w:space="0"/>
              <w:left w:val="single" w:color="auto" w:sz="4" w:space="0"/>
              <w:bottom w:val="single" w:color="auto" w:sz="4" w:space="0"/>
              <w:right w:val="single" w:color="auto" w:sz="4" w:space="0"/>
            </w:tcBorders>
            <w:shd w:val="clear" w:color="auto" w:fill="D9E2F3" w:themeFill="accent5" w:themeFillTint="33"/>
            <w:vAlign w:val="center"/>
          </w:tcPr>
          <w:p w14:paraId="77228D45">
            <w:pPr>
              <w:spacing w:after="0" w:line="360" w:lineRule="exact"/>
              <w:jc w:val="center"/>
              <w:rPr>
                <w:rFonts w:ascii="宋体" w:hAnsi="宋体" w:cs="宋体"/>
                <w:sz w:val="21"/>
                <w:szCs w:val="21"/>
              </w:rPr>
            </w:pPr>
            <w:r>
              <w:rPr>
                <w:rFonts w:hint="eastAsia" w:ascii="宋体" w:hAnsi="宋体" w:cs="宋体"/>
                <w:sz w:val="21"/>
                <w:szCs w:val="21"/>
              </w:rPr>
              <w:t>2</w:t>
            </w:r>
          </w:p>
        </w:tc>
        <w:tc>
          <w:tcPr>
            <w:tcW w:w="2831" w:type="dxa"/>
            <w:tcBorders>
              <w:top w:val="single" w:color="auto" w:sz="4" w:space="0"/>
              <w:left w:val="single" w:color="auto" w:sz="4" w:space="0"/>
              <w:bottom w:val="single" w:color="auto" w:sz="4" w:space="0"/>
              <w:right w:val="single" w:color="auto" w:sz="4" w:space="0"/>
            </w:tcBorders>
          </w:tcPr>
          <w:p w14:paraId="4D1EC1AD">
            <w:pPr>
              <w:spacing w:after="0" w:line="360" w:lineRule="exact"/>
              <w:jc w:val="center"/>
              <w:rPr>
                <w:rFonts w:ascii="宋体" w:hAnsi="宋体" w:cs="宋体"/>
                <w:sz w:val="21"/>
                <w:szCs w:val="21"/>
              </w:rPr>
            </w:pPr>
            <w:r>
              <w:rPr>
                <w:rFonts w:hint="eastAsia" w:ascii="宋体" w:hAnsi="宋体" w:cs="宋体"/>
                <w:sz w:val="21"/>
                <w:szCs w:val="21"/>
              </w:rPr>
              <w:t>交流电机</w:t>
            </w:r>
          </w:p>
        </w:tc>
        <w:tc>
          <w:tcPr>
            <w:tcW w:w="2552" w:type="dxa"/>
            <w:tcBorders>
              <w:top w:val="single" w:color="auto" w:sz="4" w:space="0"/>
              <w:left w:val="single" w:color="auto" w:sz="4" w:space="0"/>
              <w:bottom w:val="single" w:color="auto" w:sz="4" w:space="0"/>
              <w:right w:val="single" w:color="auto" w:sz="4" w:space="0"/>
            </w:tcBorders>
          </w:tcPr>
          <w:p w14:paraId="62EC6FB2">
            <w:pPr>
              <w:spacing w:after="0" w:line="360" w:lineRule="exact"/>
              <w:jc w:val="center"/>
              <w:rPr>
                <w:rFonts w:ascii="宋体" w:hAnsi="宋体" w:cs="宋体"/>
                <w:sz w:val="21"/>
                <w:szCs w:val="21"/>
              </w:rPr>
            </w:pPr>
            <w:r>
              <w:rPr>
                <w:rFonts w:hint="eastAsia" w:ascii="宋体" w:hAnsi="宋体" w:cs="宋体"/>
                <w:sz w:val="21"/>
                <w:szCs w:val="21"/>
              </w:rPr>
              <w:t>3相 380VAC50HZ</w:t>
            </w:r>
          </w:p>
        </w:tc>
        <w:tc>
          <w:tcPr>
            <w:tcW w:w="1559" w:type="dxa"/>
            <w:tcBorders>
              <w:top w:val="single" w:color="auto" w:sz="4" w:space="0"/>
              <w:left w:val="single" w:color="auto" w:sz="4" w:space="0"/>
              <w:bottom w:val="single" w:color="auto" w:sz="4" w:space="0"/>
              <w:right w:val="single" w:color="auto" w:sz="4" w:space="0"/>
            </w:tcBorders>
          </w:tcPr>
          <w:p w14:paraId="1F3E9EFC">
            <w:pPr>
              <w:spacing w:after="0" w:line="360" w:lineRule="exact"/>
              <w:jc w:val="center"/>
              <w:rPr>
                <w:rFonts w:ascii="宋体" w:hAnsi="宋体" w:cs="宋体"/>
                <w:sz w:val="21"/>
                <w:szCs w:val="21"/>
              </w:rPr>
            </w:pPr>
          </w:p>
        </w:tc>
      </w:tr>
      <w:tr w14:paraId="1BC78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Borders>
              <w:top w:val="single" w:color="auto" w:sz="4" w:space="0"/>
              <w:left w:val="single" w:color="auto" w:sz="4" w:space="0"/>
              <w:bottom w:val="single" w:color="auto" w:sz="4" w:space="0"/>
              <w:right w:val="single" w:color="auto" w:sz="4" w:space="0"/>
            </w:tcBorders>
            <w:shd w:val="clear" w:color="auto" w:fill="D9E2F3" w:themeFill="accent5" w:themeFillTint="33"/>
            <w:vAlign w:val="center"/>
          </w:tcPr>
          <w:p w14:paraId="56C2DC04">
            <w:pPr>
              <w:spacing w:after="0" w:line="360" w:lineRule="exact"/>
              <w:jc w:val="center"/>
              <w:rPr>
                <w:rFonts w:ascii="宋体" w:hAnsi="宋体" w:cs="宋体"/>
                <w:sz w:val="21"/>
                <w:szCs w:val="21"/>
              </w:rPr>
            </w:pPr>
            <w:r>
              <w:rPr>
                <w:rFonts w:hint="eastAsia" w:ascii="宋体" w:hAnsi="宋体" w:cs="宋体"/>
                <w:sz w:val="21"/>
                <w:szCs w:val="21"/>
              </w:rPr>
              <w:t>3</w:t>
            </w:r>
          </w:p>
        </w:tc>
        <w:tc>
          <w:tcPr>
            <w:tcW w:w="2831" w:type="dxa"/>
            <w:tcBorders>
              <w:top w:val="single" w:color="auto" w:sz="4" w:space="0"/>
              <w:left w:val="single" w:color="auto" w:sz="4" w:space="0"/>
              <w:bottom w:val="single" w:color="auto" w:sz="4" w:space="0"/>
              <w:right w:val="single" w:color="auto" w:sz="4" w:space="0"/>
            </w:tcBorders>
          </w:tcPr>
          <w:p w14:paraId="70F87C09">
            <w:pPr>
              <w:spacing w:after="0" w:line="360" w:lineRule="exact"/>
              <w:jc w:val="center"/>
              <w:rPr>
                <w:rFonts w:ascii="宋体" w:hAnsi="宋体" w:cs="宋体"/>
                <w:sz w:val="21"/>
                <w:szCs w:val="21"/>
              </w:rPr>
            </w:pPr>
            <w:r>
              <w:rPr>
                <w:rFonts w:hint="eastAsia" w:ascii="宋体" w:hAnsi="宋体" w:cs="宋体"/>
                <w:sz w:val="21"/>
                <w:szCs w:val="21"/>
              </w:rPr>
              <w:t>电磁阀</w:t>
            </w:r>
          </w:p>
        </w:tc>
        <w:tc>
          <w:tcPr>
            <w:tcW w:w="2552" w:type="dxa"/>
            <w:tcBorders>
              <w:top w:val="single" w:color="auto" w:sz="4" w:space="0"/>
              <w:left w:val="single" w:color="auto" w:sz="4" w:space="0"/>
              <w:bottom w:val="single" w:color="auto" w:sz="4" w:space="0"/>
              <w:right w:val="single" w:color="auto" w:sz="4" w:space="0"/>
            </w:tcBorders>
          </w:tcPr>
          <w:p w14:paraId="49450B0F">
            <w:pPr>
              <w:spacing w:after="0" w:line="360" w:lineRule="exact"/>
              <w:jc w:val="center"/>
              <w:rPr>
                <w:rFonts w:ascii="宋体" w:hAnsi="宋体" w:cs="宋体"/>
                <w:sz w:val="21"/>
                <w:szCs w:val="21"/>
              </w:rPr>
            </w:pPr>
            <w:r>
              <w:rPr>
                <w:rFonts w:hint="eastAsia" w:ascii="宋体" w:hAnsi="宋体" w:cs="宋体"/>
                <w:sz w:val="21"/>
                <w:szCs w:val="21"/>
              </w:rPr>
              <w:t>24VDC</w:t>
            </w:r>
          </w:p>
        </w:tc>
        <w:tc>
          <w:tcPr>
            <w:tcW w:w="1559" w:type="dxa"/>
            <w:tcBorders>
              <w:top w:val="single" w:color="auto" w:sz="4" w:space="0"/>
              <w:left w:val="single" w:color="auto" w:sz="4" w:space="0"/>
              <w:bottom w:val="single" w:color="auto" w:sz="4" w:space="0"/>
              <w:right w:val="single" w:color="auto" w:sz="4" w:space="0"/>
            </w:tcBorders>
          </w:tcPr>
          <w:p w14:paraId="3EC6E7AD">
            <w:pPr>
              <w:spacing w:after="0" w:line="360" w:lineRule="exact"/>
              <w:jc w:val="center"/>
              <w:rPr>
                <w:rFonts w:ascii="宋体" w:hAnsi="宋体" w:cs="宋体"/>
                <w:sz w:val="21"/>
                <w:szCs w:val="21"/>
              </w:rPr>
            </w:pPr>
          </w:p>
        </w:tc>
      </w:tr>
      <w:tr w14:paraId="63161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Borders>
              <w:top w:val="single" w:color="auto" w:sz="4" w:space="0"/>
              <w:left w:val="single" w:color="auto" w:sz="4" w:space="0"/>
              <w:bottom w:val="single" w:color="auto" w:sz="4" w:space="0"/>
              <w:right w:val="single" w:color="auto" w:sz="4" w:space="0"/>
            </w:tcBorders>
            <w:shd w:val="clear" w:color="auto" w:fill="D9E2F3" w:themeFill="accent5" w:themeFillTint="33"/>
            <w:vAlign w:val="center"/>
          </w:tcPr>
          <w:p w14:paraId="195FF64C">
            <w:pPr>
              <w:spacing w:after="0" w:line="360" w:lineRule="exact"/>
              <w:jc w:val="center"/>
              <w:rPr>
                <w:rFonts w:ascii="宋体" w:hAnsi="宋体" w:cs="宋体"/>
                <w:sz w:val="21"/>
                <w:szCs w:val="21"/>
              </w:rPr>
            </w:pPr>
            <w:r>
              <w:rPr>
                <w:rFonts w:hint="eastAsia" w:ascii="宋体" w:hAnsi="宋体" w:cs="宋体"/>
                <w:sz w:val="21"/>
                <w:szCs w:val="21"/>
              </w:rPr>
              <w:t>4</w:t>
            </w:r>
          </w:p>
        </w:tc>
        <w:tc>
          <w:tcPr>
            <w:tcW w:w="2831" w:type="dxa"/>
            <w:tcBorders>
              <w:top w:val="single" w:color="auto" w:sz="4" w:space="0"/>
              <w:left w:val="single" w:color="auto" w:sz="4" w:space="0"/>
              <w:bottom w:val="single" w:color="auto" w:sz="4" w:space="0"/>
              <w:right w:val="single" w:color="auto" w:sz="4" w:space="0"/>
            </w:tcBorders>
          </w:tcPr>
          <w:p w14:paraId="48E952F6">
            <w:pPr>
              <w:spacing w:after="0" w:line="360" w:lineRule="exact"/>
              <w:jc w:val="center"/>
              <w:rPr>
                <w:rFonts w:ascii="宋体" w:hAnsi="宋体" w:cs="宋体"/>
                <w:sz w:val="21"/>
                <w:szCs w:val="21"/>
              </w:rPr>
            </w:pPr>
            <w:r>
              <w:rPr>
                <w:rFonts w:hint="eastAsia" w:ascii="宋体" w:hAnsi="宋体" w:cs="宋体"/>
                <w:sz w:val="21"/>
                <w:szCs w:val="21"/>
              </w:rPr>
              <w:t>操作按钮、工作指示灯</w:t>
            </w:r>
          </w:p>
        </w:tc>
        <w:tc>
          <w:tcPr>
            <w:tcW w:w="2552" w:type="dxa"/>
            <w:tcBorders>
              <w:top w:val="single" w:color="auto" w:sz="4" w:space="0"/>
              <w:left w:val="single" w:color="auto" w:sz="4" w:space="0"/>
              <w:bottom w:val="single" w:color="auto" w:sz="4" w:space="0"/>
              <w:right w:val="single" w:color="auto" w:sz="4" w:space="0"/>
            </w:tcBorders>
          </w:tcPr>
          <w:p w14:paraId="1F1DFECF">
            <w:pPr>
              <w:spacing w:after="0" w:line="360" w:lineRule="exact"/>
              <w:jc w:val="center"/>
              <w:rPr>
                <w:rFonts w:ascii="宋体" w:hAnsi="宋体" w:cs="宋体"/>
                <w:sz w:val="21"/>
                <w:szCs w:val="21"/>
              </w:rPr>
            </w:pPr>
            <w:r>
              <w:rPr>
                <w:rFonts w:hint="eastAsia" w:ascii="宋体" w:hAnsi="宋体" w:cs="宋体"/>
                <w:sz w:val="21"/>
                <w:szCs w:val="21"/>
              </w:rPr>
              <w:t>24VDC</w:t>
            </w:r>
          </w:p>
        </w:tc>
        <w:tc>
          <w:tcPr>
            <w:tcW w:w="1559" w:type="dxa"/>
            <w:tcBorders>
              <w:top w:val="single" w:color="auto" w:sz="4" w:space="0"/>
              <w:left w:val="single" w:color="auto" w:sz="4" w:space="0"/>
              <w:bottom w:val="single" w:color="auto" w:sz="4" w:space="0"/>
              <w:right w:val="single" w:color="auto" w:sz="4" w:space="0"/>
            </w:tcBorders>
          </w:tcPr>
          <w:p w14:paraId="72861617">
            <w:pPr>
              <w:spacing w:after="0" w:line="360" w:lineRule="exact"/>
              <w:jc w:val="center"/>
              <w:rPr>
                <w:rFonts w:ascii="宋体" w:hAnsi="宋体" w:cs="宋体"/>
                <w:sz w:val="21"/>
                <w:szCs w:val="21"/>
              </w:rPr>
            </w:pPr>
          </w:p>
        </w:tc>
      </w:tr>
      <w:tr w14:paraId="44930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Borders>
              <w:top w:val="single" w:color="auto" w:sz="4" w:space="0"/>
              <w:left w:val="single" w:color="auto" w:sz="4" w:space="0"/>
              <w:bottom w:val="single" w:color="auto" w:sz="4" w:space="0"/>
              <w:right w:val="single" w:color="auto" w:sz="4" w:space="0"/>
            </w:tcBorders>
            <w:shd w:val="clear" w:color="auto" w:fill="D9E2F3" w:themeFill="accent5" w:themeFillTint="33"/>
            <w:vAlign w:val="center"/>
          </w:tcPr>
          <w:p w14:paraId="12DC54EC">
            <w:pPr>
              <w:spacing w:after="0" w:line="360" w:lineRule="exact"/>
              <w:jc w:val="center"/>
              <w:rPr>
                <w:rFonts w:ascii="宋体" w:hAnsi="宋体" w:cs="宋体"/>
                <w:sz w:val="21"/>
                <w:szCs w:val="21"/>
              </w:rPr>
            </w:pPr>
            <w:r>
              <w:rPr>
                <w:rFonts w:hint="eastAsia" w:ascii="宋体" w:hAnsi="宋体" w:cs="宋体"/>
                <w:sz w:val="21"/>
                <w:szCs w:val="21"/>
              </w:rPr>
              <w:t>5</w:t>
            </w:r>
          </w:p>
        </w:tc>
        <w:tc>
          <w:tcPr>
            <w:tcW w:w="2831" w:type="dxa"/>
            <w:tcBorders>
              <w:top w:val="single" w:color="auto" w:sz="4" w:space="0"/>
              <w:left w:val="single" w:color="auto" w:sz="4" w:space="0"/>
              <w:bottom w:val="single" w:color="auto" w:sz="4" w:space="0"/>
              <w:right w:val="single" w:color="auto" w:sz="4" w:space="0"/>
            </w:tcBorders>
          </w:tcPr>
          <w:p w14:paraId="1CF65B52">
            <w:pPr>
              <w:spacing w:after="0" w:line="360" w:lineRule="exact"/>
              <w:jc w:val="center"/>
              <w:rPr>
                <w:rFonts w:ascii="宋体" w:hAnsi="宋体" w:cs="宋体"/>
                <w:sz w:val="21"/>
                <w:szCs w:val="21"/>
              </w:rPr>
            </w:pPr>
            <w:r>
              <w:rPr>
                <w:rFonts w:hint="eastAsia" w:ascii="宋体" w:hAnsi="宋体" w:cs="宋体"/>
                <w:sz w:val="21"/>
                <w:szCs w:val="21"/>
              </w:rPr>
              <w:t>接近开关、光电开关</w:t>
            </w:r>
          </w:p>
        </w:tc>
        <w:tc>
          <w:tcPr>
            <w:tcW w:w="2552" w:type="dxa"/>
            <w:tcBorders>
              <w:top w:val="single" w:color="auto" w:sz="4" w:space="0"/>
              <w:left w:val="single" w:color="auto" w:sz="4" w:space="0"/>
              <w:bottom w:val="single" w:color="auto" w:sz="4" w:space="0"/>
              <w:right w:val="single" w:color="auto" w:sz="4" w:space="0"/>
            </w:tcBorders>
          </w:tcPr>
          <w:p w14:paraId="2D21F0E9">
            <w:pPr>
              <w:spacing w:after="0" w:line="360" w:lineRule="exact"/>
              <w:jc w:val="center"/>
              <w:rPr>
                <w:rFonts w:ascii="宋体" w:hAnsi="宋体" w:cs="宋体"/>
                <w:sz w:val="21"/>
                <w:szCs w:val="21"/>
              </w:rPr>
            </w:pPr>
            <w:r>
              <w:rPr>
                <w:rFonts w:hint="eastAsia" w:ascii="宋体" w:hAnsi="宋体" w:cs="宋体"/>
                <w:sz w:val="21"/>
                <w:szCs w:val="21"/>
              </w:rPr>
              <w:t>24VDC</w:t>
            </w:r>
          </w:p>
        </w:tc>
        <w:tc>
          <w:tcPr>
            <w:tcW w:w="1559" w:type="dxa"/>
            <w:tcBorders>
              <w:top w:val="single" w:color="auto" w:sz="4" w:space="0"/>
              <w:left w:val="single" w:color="auto" w:sz="4" w:space="0"/>
              <w:bottom w:val="single" w:color="auto" w:sz="4" w:space="0"/>
              <w:right w:val="single" w:color="auto" w:sz="4" w:space="0"/>
            </w:tcBorders>
          </w:tcPr>
          <w:p w14:paraId="2413C97D">
            <w:pPr>
              <w:spacing w:after="0" w:line="360" w:lineRule="exact"/>
              <w:jc w:val="center"/>
              <w:rPr>
                <w:rFonts w:ascii="宋体" w:hAnsi="宋体" w:cs="宋体"/>
                <w:sz w:val="21"/>
                <w:szCs w:val="21"/>
              </w:rPr>
            </w:pPr>
          </w:p>
        </w:tc>
      </w:tr>
      <w:tr w14:paraId="5D480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Borders>
              <w:top w:val="single" w:color="auto" w:sz="4" w:space="0"/>
              <w:left w:val="single" w:color="auto" w:sz="4" w:space="0"/>
              <w:bottom w:val="single" w:color="auto" w:sz="4" w:space="0"/>
              <w:right w:val="single" w:color="auto" w:sz="4" w:space="0"/>
            </w:tcBorders>
            <w:shd w:val="clear" w:color="auto" w:fill="D9E2F3" w:themeFill="accent5" w:themeFillTint="33"/>
            <w:vAlign w:val="center"/>
          </w:tcPr>
          <w:p w14:paraId="58B1E341">
            <w:pPr>
              <w:spacing w:after="0" w:line="360" w:lineRule="exact"/>
              <w:jc w:val="center"/>
              <w:rPr>
                <w:rFonts w:ascii="宋体" w:hAnsi="宋体" w:cs="宋体"/>
                <w:sz w:val="21"/>
                <w:szCs w:val="21"/>
              </w:rPr>
            </w:pPr>
            <w:r>
              <w:rPr>
                <w:rFonts w:hint="eastAsia" w:ascii="宋体" w:hAnsi="宋体" w:cs="宋体"/>
                <w:sz w:val="21"/>
                <w:szCs w:val="21"/>
              </w:rPr>
              <w:t>6</w:t>
            </w:r>
          </w:p>
        </w:tc>
        <w:tc>
          <w:tcPr>
            <w:tcW w:w="2831" w:type="dxa"/>
            <w:tcBorders>
              <w:top w:val="single" w:color="auto" w:sz="4" w:space="0"/>
              <w:left w:val="single" w:color="auto" w:sz="4" w:space="0"/>
              <w:bottom w:val="single" w:color="auto" w:sz="4" w:space="0"/>
              <w:right w:val="single" w:color="auto" w:sz="4" w:space="0"/>
            </w:tcBorders>
          </w:tcPr>
          <w:p w14:paraId="677029F2">
            <w:pPr>
              <w:spacing w:after="0" w:line="360" w:lineRule="exact"/>
              <w:jc w:val="center"/>
              <w:rPr>
                <w:rFonts w:ascii="宋体" w:hAnsi="宋体" w:cs="宋体"/>
                <w:sz w:val="21"/>
                <w:szCs w:val="21"/>
              </w:rPr>
            </w:pPr>
            <w:r>
              <w:rPr>
                <w:rFonts w:hint="eastAsia" w:ascii="宋体" w:hAnsi="宋体" w:cs="宋体"/>
                <w:sz w:val="21"/>
                <w:szCs w:val="21"/>
              </w:rPr>
              <w:t>信号联锁</w:t>
            </w:r>
          </w:p>
        </w:tc>
        <w:tc>
          <w:tcPr>
            <w:tcW w:w="2552" w:type="dxa"/>
            <w:tcBorders>
              <w:top w:val="single" w:color="auto" w:sz="4" w:space="0"/>
              <w:left w:val="single" w:color="auto" w:sz="4" w:space="0"/>
              <w:bottom w:val="single" w:color="auto" w:sz="4" w:space="0"/>
              <w:right w:val="single" w:color="auto" w:sz="4" w:space="0"/>
            </w:tcBorders>
          </w:tcPr>
          <w:p w14:paraId="59D0382E">
            <w:pPr>
              <w:spacing w:after="0" w:line="360" w:lineRule="exact"/>
              <w:jc w:val="center"/>
              <w:rPr>
                <w:rFonts w:ascii="宋体" w:hAnsi="宋体" w:cs="宋体"/>
                <w:sz w:val="21"/>
                <w:szCs w:val="21"/>
              </w:rPr>
            </w:pPr>
            <w:r>
              <w:rPr>
                <w:rFonts w:hint="eastAsia" w:ascii="宋体" w:hAnsi="宋体" w:cs="宋体"/>
                <w:sz w:val="21"/>
                <w:szCs w:val="21"/>
              </w:rPr>
              <w:t>24VDC</w:t>
            </w:r>
          </w:p>
        </w:tc>
        <w:tc>
          <w:tcPr>
            <w:tcW w:w="1559" w:type="dxa"/>
            <w:tcBorders>
              <w:top w:val="single" w:color="auto" w:sz="4" w:space="0"/>
              <w:left w:val="single" w:color="auto" w:sz="4" w:space="0"/>
              <w:bottom w:val="single" w:color="auto" w:sz="4" w:space="0"/>
              <w:right w:val="single" w:color="auto" w:sz="4" w:space="0"/>
            </w:tcBorders>
          </w:tcPr>
          <w:p w14:paraId="17A2C873">
            <w:pPr>
              <w:spacing w:after="0" w:line="360" w:lineRule="exact"/>
              <w:jc w:val="center"/>
              <w:rPr>
                <w:rFonts w:ascii="宋体" w:hAnsi="宋体" w:cs="宋体"/>
                <w:sz w:val="21"/>
                <w:szCs w:val="21"/>
              </w:rPr>
            </w:pPr>
          </w:p>
        </w:tc>
      </w:tr>
    </w:tbl>
    <w:p w14:paraId="5E12FF66">
      <w:pPr>
        <w:numPr>
          <w:ilvl w:val="0"/>
          <w:numId w:val="0"/>
        </w:numPr>
        <w:spacing w:after="0" w:line="360" w:lineRule="exact"/>
        <w:ind w:left="142" w:leftChars="0"/>
        <w:contextualSpacing/>
      </w:pPr>
      <w:r>
        <w:rPr>
          <w:rFonts w:hint="eastAsia"/>
          <w:lang w:val="en-US" w:eastAsia="zh-CN"/>
        </w:rPr>
        <w:t>2.6.3</w:t>
      </w:r>
      <w:r>
        <w:rPr>
          <w:rFonts w:hint="eastAsia"/>
        </w:rPr>
        <w:t>掉电保护措施：</w:t>
      </w:r>
    </w:p>
    <w:p w14:paraId="38FD8CF9">
      <w:pPr>
        <w:widowControl/>
        <w:numPr>
          <w:ilvl w:val="0"/>
          <w:numId w:val="20"/>
        </w:numPr>
        <w:adjustRightInd w:val="0"/>
        <w:snapToGrid w:val="0"/>
        <w:spacing w:after="0" w:line="360" w:lineRule="exact"/>
        <w:rPr>
          <w:rFonts w:ascii="宋体" w:hAnsi="宋体" w:cs="宋体"/>
        </w:rPr>
      </w:pPr>
      <w:r>
        <w:rPr>
          <w:rFonts w:hint="eastAsia" w:ascii="宋体" w:hAnsi="宋体" w:cs="宋体"/>
        </w:rPr>
        <w:t>在电压干扰或者掉电后，被中断的程序能够从中断点重新执行；</w:t>
      </w:r>
    </w:p>
    <w:p w14:paraId="015A8CC0">
      <w:pPr>
        <w:widowControl/>
        <w:numPr>
          <w:ilvl w:val="0"/>
          <w:numId w:val="20"/>
        </w:numPr>
        <w:adjustRightInd w:val="0"/>
        <w:snapToGrid w:val="0"/>
        <w:spacing w:after="0" w:line="360" w:lineRule="exact"/>
        <w:rPr>
          <w:rFonts w:ascii="宋体" w:hAnsi="宋体" w:cs="宋体"/>
        </w:rPr>
      </w:pPr>
      <w:r>
        <w:rPr>
          <w:rFonts w:hint="eastAsia" w:ascii="宋体" w:hAnsi="宋体" w:cs="宋体"/>
        </w:rPr>
        <w:t>在电源断开或者设备急停时，不允许设备运动执行元件有任何动作。</w:t>
      </w:r>
    </w:p>
    <w:p w14:paraId="601C7FBB">
      <w:pPr>
        <w:numPr>
          <w:ilvl w:val="0"/>
          <w:numId w:val="0"/>
        </w:numPr>
        <w:spacing w:after="0" w:line="360" w:lineRule="exact"/>
        <w:ind w:left="142" w:leftChars="0"/>
        <w:contextualSpacing/>
      </w:pPr>
      <w:r>
        <w:rPr>
          <w:rFonts w:hint="eastAsia"/>
          <w:lang w:val="en-US" w:eastAsia="zh-CN"/>
        </w:rPr>
        <w:t>2.6.4</w:t>
      </w:r>
      <w:r>
        <w:rPr>
          <w:highlight w:val="green"/>
        </w:rPr>
        <w:t>电机启动方式</w:t>
      </w:r>
      <w:r>
        <w:t>：接触器直接启动、星三角启动、软启动、变频器启动；</w:t>
      </w:r>
    </w:p>
    <w:p w14:paraId="10ED7B3A">
      <w:pPr>
        <w:numPr>
          <w:ilvl w:val="0"/>
          <w:numId w:val="21"/>
        </w:numPr>
        <w:spacing w:after="0" w:line="360" w:lineRule="exact"/>
        <w:ind w:left="851" w:hanging="425"/>
        <w:contextualSpacing/>
      </w:pPr>
      <w:r>
        <w:t>15kw</w:t>
      </w:r>
      <w:r>
        <w:rPr>
          <w:rFonts w:hint="eastAsia"/>
        </w:rPr>
        <w:t>＜</w:t>
      </w:r>
      <w:r>
        <w:t>功率＜37kw的电机采用星三角启动方式</w:t>
      </w:r>
      <w:r>
        <w:rPr>
          <w:rFonts w:hint="eastAsia"/>
        </w:rPr>
        <w:t>；</w:t>
      </w:r>
    </w:p>
    <w:p w14:paraId="4A7D0A66">
      <w:pPr>
        <w:numPr>
          <w:ilvl w:val="0"/>
          <w:numId w:val="21"/>
        </w:numPr>
        <w:spacing w:after="0" w:line="360" w:lineRule="exact"/>
        <w:ind w:left="851" w:hanging="425"/>
        <w:contextualSpacing/>
      </w:pPr>
      <w:r>
        <w:t>37kw</w:t>
      </w:r>
      <w:r>
        <w:rPr>
          <w:rFonts w:hint="eastAsia"/>
        </w:rPr>
        <w:t>≤</w:t>
      </w:r>
      <w:r>
        <w:t>功率≤45kw的电机采用软启动方式</w:t>
      </w:r>
      <w:r>
        <w:rPr>
          <w:rFonts w:hint="eastAsia"/>
        </w:rPr>
        <w:t>；</w:t>
      </w:r>
    </w:p>
    <w:p w14:paraId="13EA5CD9">
      <w:pPr>
        <w:numPr>
          <w:ilvl w:val="0"/>
          <w:numId w:val="21"/>
        </w:numPr>
        <w:spacing w:after="0" w:line="360" w:lineRule="exact"/>
        <w:ind w:left="851" w:hanging="425"/>
        <w:contextualSpacing/>
      </w:pPr>
      <w:r>
        <w:t>功率＞45kw的电机采用变频器启动方式。</w:t>
      </w:r>
    </w:p>
    <w:p w14:paraId="2FB1C0EB">
      <w:pPr>
        <w:numPr>
          <w:ilvl w:val="0"/>
          <w:numId w:val="0"/>
        </w:numPr>
        <w:spacing w:after="0" w:line="360" w:lineRule="exact"/>
        <w:ind w:left="142" w:leftChars="0"/>
        <w:contextualSpacing/>
      </w:pPr>
      <w:r>
        <w:rPr>
          <w:rFonts w:hint="eastAsia"/>
          <w:lang w:val="en-US" w:eastAsia="zh-CN"/>
        </w:rPr>
        <w:t>2.6.5</w:t>
      </w:r>
      <w:r>
        <w:t>电机能效：</w:t>
      </w:r>
      <w:r>
        <w:rPr>
          <w:rFonts w:hint="eastAsia"/>
        </w:rPr>
        <w:t>所有非变频电机采用一级能效，变频电机不分能效等级。</w:t>
      </w:r>
    </w:p>
    <w:p w14:paraId="59F79BDD">
      <w:pPr>
        <w:numPr>
          <w:ilvl w:val="0"/>
          <w:numId w:val="0"/>
        </w:numPr>
        <w:spacing w:after="0" w:line="360" w:lineRule="exact"/>
        <w:ind w:left="142" w:leftChars="0"/>
        <w:contextualSpacing/>
      </w:pPr>
      <w:r>
        <w:rPr>
          <w:rFonts w:hint="eastAsia"/>
          <w:lang w:val="en-US" w:eastAsia="zh-CN"/>
        </w:rPr>
        <w:t>2.6.6</w:t>
      </w:r>
      <w:r>
        <w:rPr>
          <w:rFonts w:hint="eastAsia"/>
        </w:rPr>
        <w:t>电机过载保护：</w:t>
      </w:r>
    </w:p>
    <w:p w14:paraId="18972DAE">
      <w:pPr>
        <w:widowControl/>
        <w:numPr>
          <w:ilvl w:val="0"/>
          <w:numId w:val="22"/>
        </w:numPr>
        <w:adjustRightInd w:val="0"/>
        <w:snapToGrid w:val="0"/>
        <w:spacing w:after="0" w:line="360" w:lineRule="exact"/>
        <w:rPr>
          <w:rFonts w:ascii="宋体" w:hAnsi="宋体" w:cs="宋体"/>
        </w:rPr>
      </w:pPr>
      <w:r>
        <w:rPr>
          <w:rFonts w:hint="eastAsia" w:ascii="宋体" w:hAnsi="宋体" w:cs="宋体"/>
        </w:rPr>
        <w:t>电机必须采用过载保护装置，而且要防止它自动再次接通；</w:t>
      </w:r>
    </w:p>
    <w:p w14:paraId="7DBFCD2E">
      <w:pPr>
        <w:widowControl/>
        <w:numPr>
          <w:ilvl w:val="0"/>
          <w:numId w:val="22"/>
        </w:numPr>
        <w:adjustRightInd w:val="0"/>
        <w:snapToGrid w:val="0"/>
        <w:spacing w:after="0" w:line="360" w:lineRule="exact"/>
        <w:rPr>
          <w:rFonts w:ascii="宋体" w:hAnsi="宋体" w:cs="宋体"/>
        </w:rPr>
      </w:pPr>
      <w:r>
        <w:rPr>
          <w:rFonts w:hint="eastAsia" w:ascii="宋体" w:hAnsi="宋体" w:cs="宋体"/>
        </w:rPr>
        <w:t>三相电机的电流过载保护器必须分别安装在三相线路上；</w:t>
      </w:r>
    </w:p>
    <w:p w14:paraId="76198E30">
      <w:pPr>
        <w:widowControl/>
        <w:numPr>
          <w:ilvl w:val="0"/>
          <w:numId w:val="22"/>
        </w:numPr>
        <w:adjustRightInd w:val="0"/>
        <w:snapToGrid w:val="0"/>
        <w:spacing w:after="0" w:line="360" w:lineRule="exact"/>
        <w:rPr>
          <w:rFonts w:ascii="宋体" w:hAnsi="宋体" w:cs="宋体"/>
        </w:rPr>
      </w:pPr>
      <w:r>
        <w:rPr>
          <w:rFonts w:hint="eastAsia" w:ascii="宋体" w:hAnsi="宋体" w:cs="宋体"/>
        </w:rPr>
        <w:t>电机热保护继电器的辅助触点接入控制回路。</w:t>
      </w:r>
    </w:p>
    <w:p w14:paraId="6E0507FA">
      <w:pPr>
        <w:numPr>
          <w:ilvl w:val="0"/>
          <w:numId w:val="0"/>
        </w:numPr>
        <w:spacing w:after="0" w:line="360" w:lineRule="exact"/>
        <w:ind w:left="142" w:leftChars="0"/>
        <w:contextualSpacing/>
      </w:pPr>
      <w:r>
        <w:rPr>
          <w:rFonts w:hint="eastAsia"/>
          <w:lang w:val="en-US" w:eastAsia="zh-CN"/>
        </w:rPr>
        <w:t>2.6.7</w:t>
      </w:r>
      <w:r>
        <w:rPr>
          <w:rFonts w:hint="eastAsia"/>
        </w:rPr>
        <w:t>电缆、导线一般要求</w:t>
      </w:r>
    </w:p>
    <w:p w14:paraId="139A1C56">
      <w:pPr>
        <w:widowControl/>
        <w:numPr>
          <w:ilvl w:val="0"/>
          <w:numId w:val="23"/>
        </w:numPr>
        <w:adjustRightInd w:val="0"/>
        <w:snapToGrid w:val="0"/>
        <w:spacing w:after="0" w:line="360" w:lineRule="exact"/>
        <w:rPr>
          <w:rFonts w:ascii="宋体" w:hAnsi="宋体" w:cs="宋体"/>
        </w:rPr>
      </w:pPr>
      <w:r>
        <w:rPr>
          <w:rFonts w:hint="eastAsia" w:ascii="宋体" w:hAnsi="宋体" w:cs="宋体"/>
        </w:rPr>
        <w:t>电源电路和控制电路必须符合国家标准；</w:t>
      </w:r>
    </w:p>
    <w:p w14:paraId="7D71403D">
      <w:pPr>
        <w:widowControl/>
        <w:numPr>
          <w:ilvl w:val="0"/>
          <w:numId w:val="23"/>
        </w:numPr>
        <w:adjustRightInd w:val="0"/>
        <w:snapToGrid w:val="0"/>
        <w:spacing w:after="0" w:line="360" w:lineRule="exact"/>
        <w:rPr>
          <w:rFonts w:ascii="宋体" w:hAnsi="宋体" w:cs="宋体"/>
        </w:rPr>
      </w:pPr>
      <w:r>
        <w:rPr>
          <w:rFonts w:hint="eastAsia" w:ascii="宋体" w:hAnsi="宋体" w:cs="宋体"/>
        </w:rPr>
        <w:t>电缆必须具有足够的长度而且能够使元件之间进行快速准确的信号交换；</w:t>
      </w:r>
    </w:p>
    <w:p w14:paraId="3F86EE91">
      <w:pPr>
        <w:widowControl/>
        <w:numPr>
          <w:ilvl w:val="0"/>
          <w:numId w:val="23"/>
        </w:numPr>
        <w:adjustRightInd w:val="0"/>
        <w:snapToGrid w:val="0"/>
        <w:spacing w:after="0" w:line="360" w:lineRule="exact"/>
        <w:rPr>
          <w:rFonts w:ascii="宋体" w:hAnsi="宋体" w:cs="宋体"/>
        </w:rPr>
      </w:pPr>
      <w:r>
        <w:rPr>
          <w:rFonts w:hint="eastAsia" w:ascii="宋体" w:hAnsi="宋体" w:cs="宋体"/>
        </w:rPr>
        <w:t>需要外敷的导线或者柔性电缆敷设保护镀锌钢管，不能外露；</w:t>
      </w:r>
    </w:p>
    <w:p w14:paraId="1F4A171F">
      <w:pPr>
        <w:widowControl/>
        <w:numPr>
          <w:ilvl w:val="0"/>
          <w:numId w:val="23"/>
        </w:numPr>
        <w:adjustRightInd w:val="0"/>
        <w:snapToGrid w:val="0"/>
        <w:spacing w:after="0" w:line="360" w:lineRule="exact"/>
        <w:rPr>
          <w:rFonts w:ascii="宋体" w:hAnsi="宋体" w:cs="宋体"/>
        </w:rPr>
      </w:pPr>
      <w:r>
        <w:rPr>
          <w:rFonts w:hint="eastAsia" w:ascii="宋体" w:hAnsi="宋体" w:cs="宋体"/>
        </w:rPr>
        <w:t>导线颜色标准符合下表规定要求。</w:t>
      </w:r>
    </w:p>
    <w:tbl>
      <w:tblPr>
        <w:tblStyle w:val="42"/>
        <w:tblW w:w="0" w:type="auto"/>
        <w:tblInd w:w="9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7"/>
        <w:gridCol w:w="2254"/>
        <w:gridCol w:w="2297"/>
        <w:gridCol w:w="2254"/>
      </w:tblGrid>
      <w:tr w14:paraId="592E9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21" w:type="dxa"/>
            <w:gridSpan w:val="2"/>
            <w:tcBorders>
              <w:top w:val="single" w:color="auto" w:sz="4" w:space="0"/>
              <w:left w:val="single" w:color="auto" w:sz="4" w:space="0"/>
              <w:bottom w:val="single" w:color="auto" w:sz="4" w:space="0"/>
              <w:right w:val="single" w:color="auto" w:sz="4" w:space="0"/>
            </w:tcBorders>
            <w:shd w:val="clear" w:color="auto" w:fill="D9E2F3" w:themeFill="accent5" w:themeFillTint="33"/>
            <w:vAlign w:val="center"/>
          </w:tcPr>
          <w:p w14:paraId="44B6783F">
            <w:pPr>
              <w:spacing w:after="0" w:line="360" w:lineRule="exact"/>
              <w:jc w:val="center"/>
              <w:rPr>
                <w:rFonts w:ascii="宋体" w:hAnsi="宋体" w:cs="宋体"/>
                <w:b/>
                <w:bCs/>
                <w:sz w:val="21"/>
                <w:szCs w:val="21"/>
              </w:rPr>
            </w:pPr>
            <w:r>
              <w:rPr>
                <w:rFonts w:hint="eastAsia" w:ascii="宋体" w:hAnsi="宋体" w:cs="宋体"/>
                <w:b/>
                <w:bCs/>
                <w:sz w:val="21"/>
                <w:szCs w:val="21"/>
              </w:rPr>
              <w:t>主电路</w:t>
            </w:r>
          </w:p>
        </w:tc>
        <w:tc>
          <w:tcPr>
            <w:tcW w:w="2297" w:type="dxa"/>
            <w:tcBorders>
              <w:top w:val="single" w:color="auto" w:sz="4" w:space="0"/>
              <w:left w:val="single" w:color="auto" w:sz="4" w:space="0"/>
              <w:bottom w:val="single" w:color="auto" w:sz="4" w:space="0"/>
              <w:right w:val="single" w:color="auto" w:sz="4" w:space="0"/>
            </w:tcBorders>
            <w:shd w:val="clear" w:color="auto" w:fill="D9E2F3" w:themeFill="accent5" w:themeFillTint="33"/>
            <w:vAlign w:val="center"/>
          </w:tcPr>
          <w:p w14:paraId="0E2F0A79">
            <w:pPr>
              <w:spacing w:after="0" w:line="360" w:lineRule="exact"/>
              <w:jc w:val="center"/>
              <w:rPr>
                <w:rFonts w:ascii="宋体" w:hAnsi="宋体" w:cs="宋体"/>
                <w:b/>
                <w:bCs/>
                <w:sz w:val="21"/>
                <w:szCs w:val="21"/>
              </w:rPr>
            </w:pPr>
            <w:r>
              <w:rPr>
                <w:rFonts w:hint="eastAsia" w:ascii="宋体" w:hAnsi="宋体" w:cs="宋体"/>
                <w:b/>
                <w:bCs/>
                <w:sz w:val="21"/>
                <w:szCs w:val="21"/>
              </w:rPr>
              <w:t>控制电路</w:t>
            </w:r>
          </w:p>
        </w:tc>
        <w:tc>
          <w:tcPr>
            <w:tcW w:w="2254" w:type="dxa"/>
            <w:tcBorders>
              <w:top w:val="single" w:color="auto" w:sz="4" w:space="0"/>
              <w:left w:val="single" w:color="auto" w:sz="4" w:space="0"/>
              <w:bottom w:val="single" w:color="auto" w:sz="4" w:space="0"/>
              <w:right w:val="single" w:color="auto" w:sz="4" w:space="0"/>
            </w:tcBorders>
            <w:shd w:val="clear" w:color="auto" w:fill="D9E2F3" w:themeFill="accent5" w:themeFillTint="33"/>
            <w:vAlign w:val="center"/>
          </w:tcPr>
          <w:p w14:paraId="4BBA435D">
            <w:pPr>
              <w:spacing w:after="0" w:line="360" w:lineRule="exact"/>
              <w:jc w:val="center"/>
              <w:rPr>
                <w:rFonts w:ascii="宋体" w:hAnsi="宋体" w:cs="宋体"/>
                <w:b/>
                <w:bCs/>
                <w:sz w:val="21"/>
                <w:szCs w:val="21"/>
              </w:rPr>
            </w:pPr>
            <w:r>
              <w:rPr>
                <w:rFonts w:hint="eastAsia" w:ascii="宋体" w:hAnsi="宋体" w:cs="宋体"/>
                <w:b/>
                <w:bCs/>
                <w:sz w:val="21"/>
                <w:szCs w:val="21"/>
              </w:rPr>
              <w:t>保护线</w:t>
            </w:r>
          </w:p>
        </w:tc>
      </w:tr>
      <w:tr w14:paraId="20715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vMerge w:val="restart"/>
            <w:tcBorders>
              <w:top w:val="single" w:color="auto" w:sz="4" w:space="0"/>
              <w:left w:val="single" w:color="auto" w:sz="4" w:space="0"/>
              <w:bottom w:val="single" w:color="auto" w:sz="4" w:space="0"/>
              <w:right w:val="single" w:color="auto" w:sz="4" w:space="0"/>
            </w:tcBorders>
            <w:shd w:val="clear" w:color="auto" w:fill="D9E2F3" w:themeFill="accent5" w:themeFillTint="33"/>
            <w:vAlign w:val="center"/>
          </w:tcPr>
          <w:p w14:paraId="353143BD">
            <w:pPr>
              <w:spacing w:after="0" w:line="360" w:lineRule="exact"/>
              <w:jc w:val="center"/>
              <w:rPr>
                <w:rFonts w:ascii="宋体" w:hAnsi="宋体" w:cs="宋体"/>
                <w:sz w:val="21"/>
                <w:szCs w:val="21"/>
              </w:rPr>
            </w:pPr>
            <w:r>
              <w:rPr>
                <w:rFonts w:hint="eastAsia" w:ascii="宋体" w:hAnsi="宋体" w:cs="宋体"/>
                <w:sz w:val="21"/>
                <w:szCs w:val="21"/>
              </w:rPr>
              <w:t>交流</w:t>
            </w:r>
          </w:p>
        </w:tc>
        <w:tc>
          <w:tcPr>
            <w:tcW w:w="2254" w:type="dxa"/>
            <w:tcBorders>
              <w:top w:val="single" w:color="auto" w:sz="4" w:space="0"/>
              <w:left w:val="single" w:color="auto" w:sz="4" w:space="0"/>
              <w:bottom w:val="single" w:color="auto" w:sz="4" w:space="0"/>
              <w:right w:val="single" w:color="auto" w:sz="4" w:space="0"/>
            </w:tcBorders>
            <w:vAlign w:val="center"/>
          </w:tcPr>
          <w:p w14:paraId="54CD922F">
            <w:pPr>
              <w:spacing w:after="0" w:line="360" w:lineRule="exact"/>
              <w:jc w:val="center"/>
              <w:rPr>
                <w:rFonts w:ascii="宋体" w:hAnsi="宋体" w:cs="宋体"/>
                <w:sz w:val="21"/>
                <w:szCs w:val="21"/>
              </w:rPr>
            </w:pPr>
            <w:r>
              <w:rPr>
                <w:rFonts w:hint="eastAsia" w:ascii="宋体" w:hAnsi="宋体" w:cs="宋体"/>
                <w:sz w:val="21"/>
                <w:szCs w:val="21"/>
              </w:rPr>
              <w:t>R相黄</w:t>
            </w:r>
          </w:p>
        </w:tc>
        <w:tc>
          <w:tcPr>
            <w:tcW w:w="2297" w:type="dxa"/>
            <w:tcBorders>
              <w:top w:val="single" w:color="auto" w:sz="4" w:space="0"/>
              <w:left w:val="single" w:color="auto" w:sz="4" w:space="0"/>
              <w:bottom w:val="single" w:color="auto" w:sz="4" w:space="0"/>
              <w:right w:val="single" w:color="auto" w:sz="4" w:space="0"/>
            </w:tcBorders>
            <w:vAlign w:val="center"/>
          </w:tcPr>
          <w:p w14:paraId="6C6C1803">
            <w:pPr>
              <w:spacing w:after="0" w:line="360" w:lineRule="exact"/>
              <w:jc w:val="center"/>
              <w:rPr>
                <w:rFonts w:ascii="宋体" w:hAnsi="宋体" w:cs="宋体"/>
                <w:sz w:val="21"/>
                <w:szCs w:val="21"/>
              </w:rPr>
            </w:pPr>
            <w:r>
              <w:rPr>
                <w:rFonts w:hint="eastAsia" w:ascii="宋体" w:hAnsi="宋体" w:cs="宋体"/>
                <w:sz w:val="21"/>
                <w:szCs w:val="21"/>
              </w:rPr>
              <w:t>交流控制</w:t>
            </w:r>
          </w:p>
        </w:tc>
        <w:tc>
          <w:tcPr>
            <w:tcW w:w="2254" w:type="dxa"/>
            <w:tcBorders>
              <w:top w:val="single" w:color="auto" w:sz="4" w:space="0"/>
              <w:left w:val="single" w:color="auto" w:sz="4" w:space="0"/>
              <w:bottom w:val="single" w:color="auto" w:sz="4" w:space="0"/>
              <w:right w:val="single" w:color="auto" w:sz="4" w:space="0"/>
            </w:tcBorders>
            <w:vAlign w:val="center"/>
          </w:tcPr>
          <w:p w14:paraId="4A23B6E6">
            <w:pPr>
              <w:spacing w:after="0" w:line="360" w:lineRule="exact"/>
              <w:jc w:val="center"/>
              <w:rPr>
                <w:rFonts w:ascii="宋体" w:hAnsi="宋体" w:cs="宋体"/>
                <w:sz w:val="21"/>
                <w:szCs w:val="21"/>
              </w:rPr>
            </w:pPr>
            <w:r>
              <w:rPr>
                <w:rFonts w:hint="eastAsia" w:ascii="宋体" w:hAnsi="宋体" w:cs="宋体"/>
                <w:sz w:val="21"/>
                <w:szCs w:val="21"/>
              </w:rPr>
              <w:t>黄绿双色</w:t>
            </w:r>
          </w:p>
        </w:tc>
      </w:tr>
      <w:tr w14:paraId="1095A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vMerge w:val="continue"/>
            <w:tcBorders>
              <w:top w:val="single" w:color="auto" w:sz="4" w:space="0"/>
              <w:left w:val="single" w:color="auto" w:sz="4" w:space="0"/>
              <w:bottom w:val="single" w:color="auto" w:sz="4" w:space="0"/>
              <w:right w:val="single" w:color="auto" w:sz="4" w:space="0"/>
            </w:tcBorders>
            <w:shd w:val="clear" w:color="auto" w:fill="D9E2F3" w:themeFill="accent5" w:themeFillTint="33"/>
            <w:vAlign w:val="center"/>
          </w:tcPr>
          <w:p w14:paraId="2BB21A48">
            <w:pPr>
              <w:widowControl/>
              <w:spacing w:after="0" w:line="360" w:lineRule="exact"/>
              <w:rPr>
                <w:rFonts w:ascii="宋体" w:hAnsi="宋体" w:cs="宋体"/>
                <w:sz w:val="21"/>
                <w:szCs w:val="21"/>
              </w:rPr>
            </w:pPr>
          </w:p>
        </w:tc>
        <w:tc>
          <w:tcPr>
            <w:tcW w:w="2254" w:type="dxa"/>
            <w:tcBorders>
              <w:top w:val="single" w:color="auto" w:sz="4" w:space="0"/>
              <w:left w:val="single" w:color="auto" w:sz="4" w:space="0"/>
              <w:bottom w:val="single" w:color="auto" w:sz="4" w:space="0"/>
              <w:right w:val="single" w:color="auto" w:sz="4" w:space="0"/>
            </w:tcBorders>
            <w:vAlign w:val="center"/>
          </w:tcPr>
          <w:p w14:paraId="7924025B">
            <w:pPr>
              <w:spacing w:after="0" w:line="360" w:lineRule="exact"/>
              <w:jc w:val="center"/>
              <w:rPr>
                <w:rFonts w:ascii="宋体" w:hAnsi="宋体" w:cs="宋体"/>
                <w:sz w:val="21"/>
                <w:szCs w:val="21"/>
              </w:rPr>
            </w:pPr>
            <w:r>
              <w:rPr>
                <w:rFonts w:hint="eastAsia" w:ascii="宋体" w:hAnsi="宋体" w:cs="宋体"/>
                <w:sz w:val="21"/>
                <w:szCs w:val="21"/>
              </w:rPr>
              <w:t>S相绿</w:t>
            </w:r>
          </w:p>
        </w:tc>
        <w:tc>
          <w:tcPr>
            <w:tcW w:w="2297" w:type="dxa"/>
            <w:tcBorders>
              <w:top w:val="single" w:color="auto" w:sz="4" w:space="0"/>
              <w:left w:val="single" w:color="auto" w:sz="4" w:space="0"/>
              <w:bottom w:val="single" w:color="auto" w:sz="4" w:space="0"/>
              <w:right w:val="single" w:color="auto" w:sz="4" w:space="0"/>
            </w:tcBorders>
            <w:vAlign w:val="center"/>
          </w:tcPr>
          <w:p w14:paraId="742333A6">
            <w:pPr>
              <w:spacing w:after="0" w:line="360" w:lineRule="exact"/>
              <w:jc w:val="center"/>
              <w:rPr>
                <w:rFonts w:ascii="宋体" w:hAnsi="宋体" w:cs="宋体"/>
                <w:sz w:val="21"/>
                <w:szCs w:val="21"/>
              </w:rPr>
            </w:pPr>
            <w:r>
              <w:rPr>
                <w:rFonts w:hint="eastAsia" w:ascii="宋体" w:hAnsi="宋体" w:cs="宋体"/>
                <w:sz w:val="21"/>
                <w:szCs w:val="21"/>
              </w:rPr>
              <w:t>火线：红色；零线；浅蓝色</w:t>
            </w:r>
          </w:p>
        </w:tc>
        <w:tc>
          <w:tcPr>
            <w:tcW w:w="2254" w:type="dxa"/>
            <w:tcBorders>
              <w:top w:val="single" w:color="auto" w:sz="4" w:space="0"/>
              <w:left w:val="single" w:color="auto" w:sz="4" w:space="0"/>
              <w:bottom w:val="single" w:color="auto" w:sz="4" w:space="0"/>
              <w:right w:val="single" w:color="auto" w:sz="4" w:space="0"/>
            </w:tcBorders>
            <w:vAlign w:val="center"/>
          </w:tcPr>
          <w:p w14:paraId="57AE0994">
            <w:pPr>
              <w:spacing w:after="0" w:line="360" w:lineRule="exact"/>
              <w:jc w:val="center"/>
              <w:rPr>
                <w:rFonts w:ascii="宋体" w:hAnsi="宋体" w:cs="宋体"/>
                <w:sz w:val="21"/>
                <w:szCs w:val="21"/>
              </w:rPr>
            </w:pPr>
          </w:p>
        </w:tc>
      </w:tr>
      <w:tr w14:paraId="77D4B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vMerge w:val="continue"/>
            <w:tcBorders>
              <w:top w:val="single" w:color="auto" w:sz="4" w:space="0"/>
              <w:left w:val="single" w:color="auto" w:sz="4" w:space="0"/>
              <w:bottom w:val="single" w:color="auto" w:sz="4" w:space="0"/>
              <w:right w:val="single" w:color="auto" w:sz="4" w:space="0"/>
            </w:tcBorders>
            <w:shd w:val="clear" w:color="auto" w:fill="D9E2F3" w:themeFill="accent5" w:themeFillTint="33"/>
            <w:vAlign w:val="center"/>
          </w:tcPr>
          <w:p w14:paraId="55B64601">
            <w:pPr>
              <w:widowControl/>
              <w:spacing w:after="0" w:line="360" w:lineRule="exact"/>
              <w:rPr>
                <w:rFonts w:ascii="宋体" w:hAnsi="宋体" w:cs="宋体"/>
                <w:sz w:val="21"/>
                <w:szCs w:val="21"/>
              </w:rPr>
            </w:pPr>
          </w:p>
        </w:tc>
        <w:tc>
          <w:tcPr>
            <w:tcW w:w="2254" w:type="dxa"/>
            <w:tcBorders>
              <w:top w:val="single" w:color="auto" w:sz="4" w:space="0"/>
              <w:left w:val="single" w:color="auto" w:sz="4" w:space="0"/>
              <w:bottom w:val="single" w:color="auto" w:sz="4" w:space="0"/>
              <w:right w:val="single" w:color="auto" w:sz="4" w:space="0"/>
            </w:tcBorders>
            <w:vAlign w:val="center"/>
          </w:tcPr>
          <w:p w14:paraId="4F9483A7">
            <w:pPr>
              <w:spacing w:after="0" w:line="360" w:lineRule="exact"/>
              <w:jc w:val="center"/>
              <w:rPr>
                <w:rFonts w:ascii="宋体" w:hAnsi="宋体" w:cs="宋体"/>
                <w:sz w:val="21"/>
                <w:szCs w:val="21"/>
              </w:rPr>
            </w:pPr>
            <w:r>
              <w:rPr>
                <w:rFonts w:hint="eastAsia" w:ascii="宋体" w:hAnsi="宋体" w:cs="宋体"/>
                <w:sz w:val="21"/>
                <w:szCs w:val="21"/>
              </w:rPr>
              <w:t>T相红</w:t>
            </w:r>
          </w:p>
        </w:tc>
        <w:tc>
          <w:tcPr>
            <w:tcW w:w="2297" w:type="dxa"/>
            <w:tcBorders>
              <w:top w:val="single" w:color="auto" w:sz="4" w:space="0"/>
              <w:left w:val="single" w:color="auto" w:sz="4" w:space="0"/>
              <w:bottom w:val="single" w:color="auto" w:sz="4" w:space="0"/>
              <w:right w:val="single" w:color="auto" w:sz="4" w:space="0"/>
            </w:tcBorders>
            <w:vAlign w:val="center"/>
          </w:tcPr>
          <w:p w14:paraId="6E8CBA45">
            <w:pPr>
              <w:spacing w:after="0" w:line="360" w:lineRule="exact"/>
              <w:jc w:val="center"/>
              <w:rPr>
                <w:rFonts w:ascii="宋体" w:hAnsi="宋体" w:cs="宋体"/>
                <w:sz w:val="21"/>
                <w:szCs w:val="21"/>
              </w:rPr>
            </w:pPr>
          </w:p>
        </w:tc>
        <w:tc>
          <w:tcPr>
            <w:tcW w:w="2254" w:type="dxa"/>
            <w:tcBorders>
              <w:top w:val="single" w:color="auto" w:sz="4" w:space="0"/>
              <w:left w:val="single" w:color="auto" w:sz="4" w:space="0"/>
              <w:bottom w:val="single" w:color="auto" w:sz="4" w:space="0"/>
              <w:right w:val="single" w:color="auto" w:sz="4" w:space="0"/>
            </w:tcBorders>
            <w:vAlign w:val="center"/>
          </w:tcPr>
          <w:p w14:paraId="075B3686">
            <w:pPr>
              <w:spacing w:after="0" w:line="360" w:lineRule="exact"/>
              <w:jc w:val="center"/>
              <w:rPr>
                <w:rFonts w:ascii="宋体" w:hAnsi="宋体" w:cs="宋体"/>
                <w:sz w:val="21"/>
                <w:szCs w:val="21"/>
              </w:rPr>
            </w:pPr>
          </w:p>
        </w:tc>
      </w:tr>
      <w:tr w14:paraId="49E83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vMerge w:val="continue"/>
            <w:tcBorders>
              <w:top w:val="single" w:color="auto" w:sz="4" w:space="0"/>
              <w:left w:val="single" w:color="auto" w:sz="4" w:space="0"/>
              <w:bottom w:val="single" w:color="auto" w:sz="4" w:space="0"/>
              <w:right w:val="single" w:color="auto" w:sz="4" w:space="0"/>
            </w:tcBorders>
            <w:shd w:val="clear" w:color="auto" w:fill="D9E2F3" w:themeFill="accent5" w:themeFillTint="33"/>
            <w:vAlign w:val="center"/>
          </w:tcPr>
          <w:p w14:paraId="42068252">
            <w:pPr>
              <w:widowControl/>
              <w:spacing w:after="0" w:line="360" w:lineRule="exact"/>
              <w:rPr>
                <w:rFonts w:ascii="宋体" w:hAnsi="宋体" w:cs="宋体"/>
                <w:sz w:val="21"/>
                <w:szCs w:val="21"/>
              </w:rPr>
            </w:pPr>
          </w:p>
        </w:tc>
        <w:tc>
          <w:tcPr>
            <w:tcW w:w="2254" w:type="dxa"/>
            <w:tcBorders>
              <w:top w:val="single" w:color="auto" w:sz="4" w:space="0"/>
              <w:left w:val="single" w:color="auto" w:sz="4" w:space="0"/>
              <w:bottom w:val="single" w:color="auto" w:sz="4" w:space="0"/>
              <w:right w:val="single" w:color="auto" w:sz="4" w:space="0"/>
            </w:tcBorders>
            <w:vAlign w:val="center"/>
          </w:tcPr>
          <w:p w14:paraId="4ED31AA8">
            <w:pPr>
              <w:spacing w:after="0" w:line="360" w:lineRule="exact"/>
              <w:jc w:val="center"/>
              <w:rPr>
                <w:rFonts w:ascii="宋体" w:hAnsi="宋体" w:cs="宋体"/>
                <w:sz w:val="21"/>
                <w:szCs w:val="21"/>
              </w:rPr>
            </w:pPr>
            <w:r>
              <w:rPr>
                <w:rFonts w:hint="eastAsia" w:ascii="宋体" w:hAnsi="宋体" w:cs="宋体"/>
                <w:sz w:val="21"/>
                <w:szCs w:val="21"/>
              </w:rPr>
              <w:t>N相浅蓝</w:t>
            </w:r>
          </w:p>
        </w:tc>
        <w:tc>
          <w:tcPr>
            <w:tcW w:w="2297" w:type="dxa"/>
            <w:tcBorders>
              <w:top w:val="single" w:color="auto" w:sz="4" w:space="0"/>
              <w:left w:val="single" w:color="auto" w:sz="4" w:space="0"/>
              <w:bottom w:val="single" w:color="auto" w:sz="4" w:space="0"/>
              <w:right w:val="single" w:color="auto" w:sz="4" w:space="0"/>
            </w:tcBorders>
            <w:vAlign w:val="center"/>
          </w:tcPr>
          <w:p w14:paraId="3BFA285F">
            <w:pPr>
              <w:spacing w:after="0" w:line="360" w:lineRule="exact"/>
              <w:jc w:val="center"/>
              <w:rPr>
                <w:rFonts w:ascii="宋体" w:hAnsi="宋体" w:cs="宋体"/>
                <w:sz w:val="21"/>
                <w:szCs w:val="21"/>
              </w:rPr>
            </w:pPr>
            <w:r>
              <w:rPr>
                <w:rFonts w:hint="eastAsia" w:ascii="宋体" w:hAnsi="宋体" w:cs="宋体"/>
                <w:sz w:val="21"/>
                <w:szCs w:val="21"/>
              </w:rPr>
              <w:t>直流控制</w:t>
            </w:r>
          </w:p>
        </w:tc>
        <w:tc>
          <w:tcPr>
            <w:tcW w:w="2254" w:type="dxa"/>
            <w:tcBorders>
              <w:top w:val="single" w:color="auto" w:sz="4" w:space="0"/>
              <w:left w:val="single" w:color="auto" w:sz="4" w:space="0"/>
              <w:bottom w:val="single" w:color="auto" w:sz="4" w:space="0"/>
              <w:right w:val="single" w:color="auto" w:sz="4" w:space="0"/>
            </w:tcBorders>
            <w:vAlign w:val="center"/>
          </w:tcPr>
          <w:p w14:paraId="1E4A16DE">
            <w:pPr>
              <w:spacing w:after="0" w:line="360" w:lineRule="exact"/>
              <w:jc w:val="center"/>
              <w:rPr>
                <w:rFonts w:ascii="宋体" w:hAnsi="宋体" w:cs="宋体"/>
                <w:sz w:val="21"/>
                <w:szCs w:val="21"/>
              </w:rPr>
            </w:pPr>
          </w:p>
        </w:tc>
      </w:tr>
      <w:tr w14:paraId="15C68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tcBorders>
              <w:top w:val="single" w:color="auto" w:sz="4" w:space="0"/>
              <w:left w:val="single" w:color="auto" w:sz="4" w:space="0"/>
              <w:bottom w:val="single" w:color="auto" w:sz="4" w:space="0"/>
              <w:right w:val="single" w:color="auto" w:sz="4" w:space="0"/>
            </w:tcBorders>
            <w:shd w:val="clear" w:color="auto" w:fill="D9E2F3" w:themeFill="accent5" w:themeFillTint="33"/>
            <w:vAlign w:val="center"/>
          </w:tcPr>
          <w:p w14:paraId="64DD1CB2">
            <w:pPr>
              <w:spacing w:after="0" w:line="360" w:lineRule="exact"/>
              <w:jc w:val="center"/>
              <w:rPr>
                <w:rFonts w:ascii="宋体" w:hAnsi="宋体" w:cs="宋体"/>
                <w:sz w:val="21"/>
                <w:szCs w:val="21"/>
              </w:rPr>
            </w:pPr>
            <w:r>
              <w:rPr>
                <w:rFonts w:hint="eastAsia" w:ascii="宋体" w:hAnsi="宋体" w:cs="宋体"/>
                <w:sz w:val="21"/>
                <w:szCs w:val="21"/>
              </w:rPr>
              <w:t>直流</w:t>
            </w:r>
          </w:p>
        </w:tc>
        <w:tc>
          <w:tcPr>
            <w:tcW w:w="2254" w:type="dxa"/>
            <w:tcBorders>
              <w:top w:val="single" w:color="auto" w:sz="4" w:space="0"/>
              <w:left w:val="single" w:color="auto" w:sz="4" w:space="0"/>
              <w:bottom w:val="single" w:color="auto" w:sz="4" w:space="0"/>
              <w:right w:val="single" w:color="auto" w:sz="4" w:space="0"/>
            </w:tcBorders>
            <w:vAlign w:val="center"/>
          </w:tcPr>
          <w:p w14:paraId="7CADBC05">
            <w:pPr>
              <w:spacing w:after="0" w:line="360" w:lineRule="exact"/>
              <w:jc w:val="center"/>
              <w:rPr>
                <w:rFonts w:ascii="宋体" w:hAnsi="宋体" w:cs="宋体"/>
                <w:sz w:val="21"/>
                <w:szCs w:val="21"/>
              </w:rPr>
            </w:pPr>
            <w:r>
              <w:rPr>
                <w:rFonts w:hint="eastAsia" w:ascii="宋体" w:hAnsi="宋体" w:cs="宋体"/>
                <w:sz w:val="21"/>
                <w:szCs w:val="21"/>
              </w:rPr>
              <w:t>黑色</w:t>
            </w:r>
          </w:p>
        </w:tc>
        <w:tc>
          <w:tcPr>
            <w:tcW w:w="2297" w:type="dxa"/>
            <w:tcBorders>
              <w:top w:val="single" w:color="auto" w:sz="4" w:space="0"/>
              <w:left w:val="single" w:color="auto" w:sz="4" w:space="0"/>
              <w:bottom w:val="single" w:color="auto" w:sz="4" w:space="0"/>
              <w:right w:val="single" w:color="auto" w:sz="4" w:space="0"/>
            </w:tcBorders>
            <w:vAlign w:val="center"/>
          </w:tcPr>
          <w:p w14:paraId="2E659EFF">
            <w:pPr>
              <w:spacing w:after="0" w:line="360" w:lineRule="exact"/>
              <w:jc w:val="center"/>
              <w:rPr>
                <w:rFonts w:ascii="宋体" w:hAnsi="宋体" w:cs="宋体"/>
                <w:sz w:val="21"/>
                <w:szCs w:val="21"/>
              </w:rPr>
            </w:pPr>
            <w:r>
              <w:rPr>
                <w:rFonts w:hint="eastAsia" w:ascii="宋体" w:hAnsi="宋体" w:cs="宋体"/>
                <w:sz w:val="21"/>
                <w:szCs w:val="21"/>
              </w:rPr>
              <w:t>（正）棕色；（负）蓝色</w:t>
            </w:r>
          </w:p>
        </w:tc>
        <w:tc>
          <w:tcPr>
            <w:tcW w:w="2254" w:type="dxa"/>
            <w:tcBorders>
              <w:top w:val="single" w:color="auto" w:sz="4" w:space="0"/>
              <w:left w:val="single" w:color="auto" w:sz="4" w:space="0"/>
              <w:bottom w:val="single" w:color="auto" w:sz="4" w:space="0"/>
              <w:right w:val="single" w:color="auto" w:sz="4" w:space="0"/>
            </w:tcBorders>
            <w:vAlign w:val="center"/>
          </w:tcPr>
          <w:p w14:paraId="316834C0">
            <w:pPr>
              <w:spacing w:after="0" w:line="360" w:lineRule="exact"/>
              <w:jc w:val="center"/>
              <w:rPr>
                <w:rFonts w:ascii="宋体" w:hAnsi="宋体" w:cs="宋体"/>
                <w:sz w:val="21"/>
                <w:szCs w:val="21"/>
              </w:rPr>
            </w:pPr>
          </w:p>
        </w:tc>
      </w:tr>
    </w:tbl>
    <w:p w14:paraId="1DF42E9C">
      <w:pPr>
        <w:widowControl/>
        <w:numPr>
          <w:ilvl w:val="0"/>
          <w:numId w:val="23"/>
        </w:numPr>
        <w:adjustRightInd w:val="0"/>
        <w:snapToGrid w:val="0"/>
        <w:spacing w:after="0" w:line="360" w:lineRule="exact"/>
        <w:rPr>
          <w:rFonts w:ascii="宋体" w:hAnsi="宋体" w:cs="宋体"/>
        </w:rPr>
      </w:pPr>
      <w:r>
        <w:rPr>
          <w:rFonts w:hint="eastAsia" w:ascii="宋体" w:hAnsi="宋体" w:cs="宋体"/>
        </w:rPr>
        <w:t>电缆使用标准：</w:t>
      </w:r>
    </w:p>
    <w:p w14:paraId="46AB7DD1">
      <w:pPr>
        <w:widowControl/>
        <w:numPr>
          <w:ilvl w:val="0"/>
          <w:numId w:val="24"/>
        </w:numPr>
        <w:adjustRightInd w:val="0"/>
        <w:snapToGrid w:val="0"/>
        <w:spacing w:after="0" w:line="360" w:lineRule="exact"/>
        <w:ind w:left="993" w:hanging="284"/>
        <w:rPr>
          <w:rFonts w:ascii="宋体" w:hAnsi="宋体" w:cs="宋体"/>
        </w:rPr>
      </w:pPr>
      <w:r>
        <w:rPr>
          <w:rFonts w:hint="eastAsia" w:ascii="宋体" w:hAnsi="宋体" w:cs="宋体"/>
        </w:rPr>
        <w:t>导线的横截面须符合国家标准，必须满足设备和电气元件正常稳定运行；</w:t>
      </w:r>
    </w:p>
    <w:p w14:paraId="46ED272B">
      <w:pPr>
        <w:widowControl/>
        <w:numPr>
          <w:ilvl w:val="0"/>
          <w:numId w:val="24"/>
        </w:numPr>
        <w:adjustRightInd w:val="0"/>
        <w:snapToGrid w:val="0"/>
        <w:spacing w:after="0" w:line="360" w:lineRule="exact"/>
        <w:ind w:left="993" w:hanging="284"/>
        <w:jc w:val="both"/>
        <w:rPr>
          <w:rFonts w:ascii="宋体" w:hAnsi="宋体" w:cs="宋体"/>
        </w:rPr>
      </w:pPr>
      <w:r>
        <w:rPr>
          <w:rFonts w:hint="eastAsia" w:ascii="宋体" w:hAnsi="宋体" w:cs="宋体"/>
        </w:rPr>
        <w:t>动力线不小于 1.5mm</w:t>
      </w:r>
      <w:r>
        <w:rPr>
          <w:rFonts w:hint="eastAsia" w:ascii="宋体" w:hAnsi="宋体" w:cs="宋体"/>
          <w:vertAlign w:val="superscript"/>
        </w:rPr>
        <w:t>2</w:t>
      </w:r>
      <w:r>
        <w:rPr>
          <w:rFonts w:hint="eastAsia" w:ascii="宋体" w:hAnsi="宋体" w:cs="宋体"/>
        </w:rPr>
        <w:t>；</w:t>
      </w:r>
    </w:p>
    <w:p w14:paraId="0567A8C6">
      <w:pPr>
        <w:widowControl/>
        <w:numPr>
          <w:ilvl w:val="0"/>
          <w:numId w:val="24"/>
        </w:numPr>
        <w:adjustRightInd w:val="0"/>
        <w:snapToGrid w:val="0"/>
        <w:spacing w:after="0" w:line="360" w:lineRule="exact"/>
        <w:ind w:left="993" w:hanging="284"/>
        <w:rPr>
          <w:rFonts w:ascii="宋体" w:hAnsi="宋体" w:cs="宋体"/>
        </w:rPr>
      </w:pPr>
      <w:r>
        <w:rPr>
          <w:rFonts w:hint="eastAsia" w:ascii="宋体" w:hAnsi="宋体" w:cs="宋体"/>
        </w:rPr>
        <w:t>220V 控制线不小于 1.0mm</w:t>
      </w:r>
      <w:r>
        <w:rPr>
          <w:rFonts w:hint="eastAsia" w:ascii="宋体" w:hAnsi="宋体" w:cs="宋体"/>
          <w:vertAlign w:val="superscript"/>
        </w:rPr>
        <w:t>2</w:t>
      </w:r>
      <w:r>
        <w:rPr>
          <w:rFonts w:hint="eastAsia" w:ascii="宋体" w:hAnsi="宋体" w:cs="宋体"/>
        </w:rPr>
        <w:t>；</w:t>
      </w:r>
    </w:p>
    <w:p w14:paraId="26890B9A">
      <w:pPr>
        <w:widowControl/>
        <w:numPr>
          <w:ilvl w:val="0"/>
          <w:numId w:val="24"/>
        </w:numPr>
        <w:adjustRightInd w:val="0"/>
        <w:snapToGrid w:val="0"/>
        <w:spacing w:after="0" w:line="360" w:lineRule="exact"/>
        <w:ind w:left="993" w:hanging="284"/>
        <w:rPr>
          <w:rFonts w:ascii="宋体" w:hAnsi="宋体" w:cs="宋体"/>
        </w:rPr>
      </w:pPr>
      <w:r>
        <w:rPr>
          <w:rFonts w:hint="eastAsia" w:ascii="宋体" w:hAnsi="宋体" w:cs="宋体"/>
        </w:rPr>
        <w:t>24V控制线不小于 0.75 mm</w:t>
      </w:r>
      <w:r>
        <w:rPr>
          <w:rFonts w:hint="eastAsia" w:ascii="宋体" w:hAnsi="宋体" w:cs="宋体"/>
          <w:vertAlign w:val="superscript"/>
        </w:rPr>
        <w:t>2</w:t>
      </w:r>
      <w:r>
        <w:rPr>
          <w:rFonts w:hint="eastAsia" w:ascii="宋体" w:hAnsi="宋体" w:cs="宋体"/>
        </w:rPr>
        <w:t>。</w:t>
      </w:r>
    </w:p>
    <w:p w14:paraId="3CE3D71C">
      <w:pPr>
        <w:widowControl/>
        <w:numPr>
          <w:ilvl w:val="0"/>
          <w:numId w:val="23"/>
        </w:numPr>
        <w:adjustRightInd w:val="0"/>
        <w:snapToGrid w:val="0"/>
        <w:spacing w:after="0" w:line="360" w:lineRule="exact"/>
        <w:rPr>
          <w:rFonts w:ascii="宋体" w:hAnsi="宋体" w:cs="宋体"/>
        </w:rPr>
      </w:pPr>
      <w:r>
        <w:rPr>
          <w:rFonts w:hint="eastAsia" w:ascii="宋体" w:hAnsi="宋体" w:cs="宋体"/>
        </w:rPr>
        <w:t>控制柜内部的导线：</w:t>
      </w:r>
    </w:p>
    <w:p w14:paraId="04A85DFF">
      <w:pPr>
        <w:widowControl/>
        <w:numPr>
          <w:ilvl w:val="0"/>
          <w:numId w:val="25"/>
        </w:numPr>
        <w:adjustRightInd w:val="0"/>
        <w:snapToGrid w:val="0"/>
        <w:spacing w:after="0" w:line="360" w:lineRule="exact"/>
        <w:ind w:left="993" w:hanging="284"/>
        <w:jc w:val="both"/>
        <w:rPr>
          <w:rFonts w:ascii="宋体" w:hAnsi="宋体" w:cs="宋体"/>
        </w:rPr>
      </w:pPr>
      <w:r>
        <w:rPr>
          <w:rFonts w:hint="eastAsia" w:ascii="宋体" w:hAnsi="宋体" w:cs="宋体"/>
        </w:rPr>
        <w:t>PLC 的备用I/O点必须用导线从接线端子连接到相应的 PLC模块上；</w:t>
      </w:r>
    </w:p>
    <w:p w14:paraId="2046B4B7">
      <w:pPr>
        <w:widowControl/>
        <w:numPr>
          <w:ilvl w:val="0"/>
          <w:numId w:val="25"/>
        </w:numPr>
        <w:adjustRightInd w:val="0"/>
        <w:snapToGrid w:val="0"/>
        <w:spacing w:after="0" w:line="360" w:lineRule="exact"/>
        <w:ind w:left="993" w:hanging="284"/>
        <w:jc w:val="both"/>
        <w:rPr>
          <w:rFonts w:ascii="宋体" w:hAnsi="宋体" w:cs="宋体"/>
        </w:rPr>
      </w:pPr>
      <w:r>
        <w:rPr>
          <w:rFonts w:hint="eastAsia" w:ascii="宋体" w:hAnsi="宋体" w:cs="宋体"/>
        </w:rPr>
        <w:t>控制柜内使用的布线线槽必须具有20%的备用空间；</w:t>
      </w:r>
    </w:p>
    <w:p w14:paraId="44C905D4">
      <w:pPr>
        <w:widowControl/>
        <w:numPr>
          <w:ilvl w:val="0"/>
          <w:numId w:val="25"/>
        </w:numPr>
        <w:adjustRightInd w:val="0"/>
        <w:snapToGrid w:val="0"/>
        <w:spacing w:after="0" w:line="360" w:lineRule="exact"/>
        <w:ind w:left="993" w:hanging="284"/>
        <w:jc w:val="both"/>
        <w:rPr>
          <w:rFonts w:ascii="宋体" w:hAnsi="宋体" w:cs="宋体"/>
        </w:rPr>
      </w:pPr>
      <w:r>
        <w:rPr>
          <w:rFonts w:hint="eastAsia" w:ascii="宋体" w:hAnsi="宋体" w:cs="宋体"/>
        </w:rPr>
        <w:t>电气元件布置有规律，柜内整齐有序。</w:t>
      </w:r>
    </w:p>
    <w:p w14:paraId="781F1183">
      <w:pPr>
        <w:widowControl/>
        <w:numPr>
          <w:ilvl w:val="0"/>
          <w:numId w:val="23"/>
        </w:numPr>
        <w:adjustRightInd w:val="0"/>
        <w:snapToGrid w:val="0"/>
        <w:spacing w:after="0" w:line="360" w:lineRule="exact"/>
        <w:rPr>
          <w:rFonts w:ascii="宋体" w:hAnsi="宋体" w:cs="宋体"/>
        </w:rPr>
      </w:pPr>
      <w:r>
        <w:rPr>
          <w:rFonts w:hint="eastAsia" w:ascii="宋体" w:hAnsi="宋体" w:cs="宋体"/>
        </w:rPr>
        <w:t>控制柜外部电缆：</w:t>
      </w:r>
    </w:p>
    <w:p w14:paraId="2E25AFF8">
      <w:pPr>
        <w:widowControl/>
        <w:numPr>
          <w:ilvl w:val="0"/>
          <w:numId w:val="26"/>
        </w:numPr>
        <w:adjustRightInd w:val="0"/>
        <w:snapToGrid w:val="0"/>
        <w:spacing w:after="0" w:line="360" w:lineRule="exact"/>
        <w:ind w:left="993" w:hanging="284"/>
        <w:jc w:val="both"/>
        <w:rPr>
          <w:rFonts w:ascii="宋体" w:hAnsi="宋体" w:cs="宋体"/>
        </w:rPr>
      </w:pPr>
      <w:r>
        <w:rPr>
          <w:rFonts w:hint="eastAsia" w:ascii="宋体" w:hAnsi="宋体" w:cs="宋体"/>
        </w:rPr>
        <w:t>从控制柜到设备各部位的控制电缆必须布置在电缆桥架内，并与动力电缆隔离；</w:t>
      </w:r>
    </w:p>
    <w:p w14:paraId="717608BD">
      <w:pPr>
        <w:widowControl/>
        <w:numPr>
          <w:ilvl w:val="0"/>
          <w:numId w:val="26"/>
        </w:numPr>
        <w:adjustRightInd w:val="0"/>
        <w:snapToGrid w:val="0"/>
        <w:spacing w:after="0" w:line="360" w:lineRule="exact"/>
        <w:ind w:left="993" w:hanging="284"/>
        <w:jc w:val="both"/>
        <w:rPr>
          <w:rFonts w:ascii="宋体" w:hAnsi="宋体" w:cs="宋体"/>
        </w:rPr>
      </w:pPr>
      <w:r>
        <w:rPr>
          <w:rFonts w:hint="eastAsia" w:ascii="宋体" w:hAnsi="宋体" w:cs="宋体"/>
        </w:rPr>
        <w:t>所有外部电缆必须有编号，并且保证每根电缆编号的唯一性；</w:t>
      </w:r>
    </w:p>
    <w:p w14:paraId="3962DD3D">
      <w:pPr>
        <w:widowControl/>
        <w:numPr>
          <w:ilvl w:val="0"/>
          <w:numId w:val="26"/>
        </w:numPr>
        <w:adjustRightInd w:val="0"/>
        <w:snapToGrid w:val="0"/>
        <w:spacing w:after="0" w:line="360" w:lineRule="exact"/>
        <w:ind w:left="993" w:hanging="284"/>
        <w:jc w:val="both"/>
        <w:rPr>
          <w:rFonts w:ascii="宋体" w:hAnsi="宋体" w:cs="宋体"/>
        </w:rPr>
      </w:pPr>
      <w:r>
        <w:rPr>
          <w:rFonts w:hint="eastAsia" w:ascii="宋体" w:hAnsi="宋体" w:cs="宋体"/>
        </w:rPr>
        <w:t>必须采取措施确保在电缆间传输的电压不会引起任何相互干扰；</w:t>
      </w:r>
    </w:p>
    <w:p w14:paraId="371A402D">
      <w:pPr>
        <w:widowControl/>
        <w:numPr>
          <w:ilvl w:val="0"/>
          <w:numId w:val="26"/>
        </w:numPr>
        <w:adjustRightInd w:val="0"/>
        <w:snapToGrid w:val="0"/>
        <w:spacing w:after="0" w:line="360" w:lineRule="exact"/>
        <w:ind w:left="993" w:hanging="284"/>
        <w:jc w:val="both"/>
        <w:rPr>
          <w:rFonts w:ascii="宋体" w:hAnsi="宋体" w:cs="宋体"/>
        </w:rPr>
      </w:pPr>
      <w:r>
        <w:rPr>
          <w:rFonts w:hint="eastAsia" w:ascii="宋体" w:hAnsi="宋体" w:cs="宋体"/>
        </w:rPr>
        <w:t>电缆的长度要足以能够满足更换元件的需要；</w:t>
      </w:r>
    </w:p>
    <w:p w14:paraId="74716106">
      <w:pPr>
        <w:widowControl/>
        <w:numPr>
          <w:ilvl w:val="0"/>
          <w:numId w:val="26"/>
        </w:numPr>
        <w:adjustRightInd w:val="0"/>
        <w:snapToGrid w:val="0"/>
        <w:spacing w:after="0" w:line="360" w:lineRule="exact"/>
        <w:ind w:left="993" w:hanging="284"/>
        <w:jc w:val="both"/>
        <w:rPr>
          <w:rFonts w:ascii="宋体" w:hAnsi="宋体" w:cs="宋体"/>
        </w:rPr>
      </w:pPr>
      <w:r>
        <w:rPr>
          <w:rFonts w:hint="eastAsia" w:ascii="宋体" w:hAnsi="宋体" w:cs="宋体"/>
        </w:rPr>
        <w:t>电缆桥架内的电缆不可以进行任何导线连接；</w:t>
      </w:r>
    </w:p>
    <w:p w14:paraId="68427209">
      <w:pPr>
        <w:widowControl/>
        <w:numPr>
          <w:ilvl w:val="0"/>
          <w:numId w:val="26"/>
        </w:numPr>
        <w:adjustRightInd w:val="0"/>
        <w:snapToGrid w:val="0"/>
        <w:spacing w:after="0" w:line="360" w:lineRule="exact"/>
        <w:ind w:left="993" w:hanging="284"/>
        <w:jc w:val="both"/>
        <w:rPr>
          <w:rFonts w:ascii="宋体" w:hAnsi="宋体" w:cs="宋体"/>
        </w:rPr>
      </w:pPr>
      <w:r>
        <w:rPr>
          <w:rFonts w:hint="eastAsia" w:ascii="宋体" w:hAnsi="宋体" w:cs="宋体"/>
        </w:rPr>
        <w:t>为了便于维修，从控制箱到电柜的控制线预留10%；</w:t>
      </w:r>
    </w:p>
    <w:p w14:paraId="7974DA6C">
      <w:pPr>
        <w:widowControl/>
        <w:numPr>
          <w:ilvl w:val="0"/>
          <w:numId w:val="26"/>
        </w:numPr>
        <w:adjustRightInd w:val="0"/>
        <w:snapToGrid w:val="0"/>
        <w:spacing w:after="0" w:line="360" w:lineRule="exact"/>
        <w:ind w:left="993" w:hanging="284"/>
        <w:jc w:val="both"/>
        <w:rPr>
          <w:rFonts w:ascii="宋体" w:hAnsi="宋体" w:cs="宋体"/>
        </w:rPr>
      </w:pPr>
      <w:r>
        <w:rPr>
          <w:rFonts w:hint="eastAsia" w:ascii="宋体" w:hAnsi="宋体" w:cs="宋体"/>
        </w:rPr>
        <w:t>采用热镀锌桥架，其规格、型号符合设计要求；</w:t>
      </w:r>
    </w:p>
    <w:p w14:paraId="430F8E08">
      <w:pPr>
        <w:widowControl/>
        <w:numPr>
          <w:ilvl w:val="0"/>
          <w:numId w:val="26"/>
        </w:numPr>
        <w:adjustRightInd w:val="0"/>
        <w:snapToGrid w:val="0"/>
        <w:spacing w:after="0" w:line="360" w:lineRule="exact"/>
        <w:ind w:left="993" w:hanging="284"/>
        <w:jc w:val="both"/>
        <w:rPr>
          <w:rFonts w:ascii="宋体" w:hAnsi="宋体" w:cs="宋体"/>
        </w:rPr>
      </w:pPr>
      <w:r>
        <w:rPr>
          <w:rFonts w:hint="eastAsia" w:ascii="宋体" w:hAnsi="宋体" w:cs="宋体"/>
        </w:rPr>
        <w:t>桥架内外光滑平整、无棱刺、无扭曲、翘边变形现象；</w:t>
      </w:r>
    </w:p>
    <w:p w14:paraId="395DCCF2">
      <w:pPr>
        <w:widowControl/>
        <w:numPr>
          <w:ilvl w:val="0"/>
          <w:numId w:val="26"/>
        </w:numPr>
        <w:adjustRightInd w:val="0"/>
        <w:snapToGrid w:val="0"/>
        <w:spacing w:after="0" w:line="360" w:lineRule="exact"/>
        <w:ind w:left="993" w:hanging="284"/>
        <w:jc w:val="both"/>
        <w:rPr>
          <w:rFonts w:ascii="宋体" w:hAnsi="宋体" w:cs="宋体"/>
        </w:rPr>
      </w:pPr>
      <w:r>
        <w:rPr>
          <w:rFonts w:hint="eastAsia" w:ascii="宋体" w:hAnsi="宋体" w:cs="宋体"/>
        </w:rPr>
        <w:t>桥架底部冲有散热孔；</w:t>
      </w:r>
    </w:p>
    <w:p w14:paraId="6C663285">
      <w:pPr>
        <w:widowControl/>
        <w:numPr>
          <w:ilvl w:val="0"/>
          <w:numId w:val="26"/>
        </w:numPr>
        <w:adjustRightInd w:val="0"/>
        <w:snapToGrid w:val="0"/>
        <w:spacing w:after="0" w:line="360" w:lineRule="exact"/>
        <w:ind w:left="993" w:hanging="284"/>
        <w:jc w:val="both"/>
        <w:rPr>
          <w:rFonts w:ascii="宋体" w:hAnsi="宋体" w:cs="宋体"/>
        </w:rPr>
      </w:pPr>
      <w:r>
        <w:rPr>
          <w:rFonts w:hint="eastAsia" w:ascii="宋体" w:hAnsi="宋体" w:cs="宋体"/>
        </w:rPr>
        <w:t>线槽施工及布线应按图纸及有关规定进行；</w:t>
      </w:r>
    </w:p>
    <w:p w14:paraId="148F34E1">
      <w:pPr>
        <w:widowControl/>
        <w:numPr>
          <w:ilvl w:val="0"/>
          <w:numId w:val="26"/>
        </w:numPr>
        <w:adjustRightInd w:val="0"/>
        <w:snapToGrid w:val="0"/>
        <w:spacing w:after="0" w:line="360" w:lineRule="exact"/>
        <w:ind w:left="993" w:hanging="284"/>
        <w:jc w:val="both"/>
        <w:rPr>
          <w:rFonts w:ascii="宋体" w:hAnsi="宋体" w:cs="宋体"/>
        </w:rPr>
      </w:pPr>
      <w:r>
        <w:rPr>
          <w:rFonts w:hint="eastAsia" w:ascii="宋体" w:hAnsi="宋体" w:cs="宋体"/>
        </w:rPr>
        <w:t>所有沿地面、楼面布置的线槽，采用支架，使线槽离地面或楼面高于10厘米以防潮防腐，线槽连接处按照国家标准规定用接地线进行跨接并进行接地处理。</w:t>
      </w:r>
    </w:p>
    <w:p w14:paraId="0FD93D95">
      <w:pPr>
        <w:numPr>
          <w:ilvl w:val="0"/>
          <w:numId w:val="0"/>
        </w:numPr>
        <w:spacing w:after="0" w:line="360" w:lineRule="exact"/>
        <w:ind w:left="142" w:leftChars="0"/>
        <w:contextualSpacing/>
      </w:pPr>
      <w:r>
        <w:rPr>
          <w:rFonts w:hint="eastAsia"/>
          <w:lang w:val="en-US" w:eastAsia="zh-CN"/>
        </w:rPr>
        <w:t>2.6.8</w:t>
      </w:r>
      <w:r>
        <w:rPr>
          <w:rFonts w:hint="eastAsia"/>
        </w:rPr>
        <w:t>接线端子及连接：</w:t>
      </w:r>
    </w:p>
    <w:p w14:paraId="01755E55">
      <w:pPr>
        <w:widowControl/>
        <w:numPr>
          <w:ilvl w:val="0"/>
          <w:numId w:val="27"/>
        </w:numPr>
        <w:adjustRightInd w:val="0"/>
        <w:snapToGrid w:val="0"/>
        <w:spacing w:after="0" w:line="360" w:lineRule="exact"/>
        <w:rPr>
          <w:rFonts w:ascii="宋体" w:hAnsi="宋体" w:cs="宋体"/>
        </w:rPr>
      </w:pPr>
      <w:r>
        <w:rPr>
          <w:rFonts w:hint="eastAsia" w:ascii="宋体" w:hAnsi="宋体" w:cs="宋体"/>
        </w:rPr>
        <w:t>所有端子的连接不允许焊接连接；</w:t>
      </w:r>
    </w:p>
    <w:p w14:paraId="5A640BEF">
      <w:pPr>
        <w:widowControl/>
        <w:numPr>
          <w:ilvl w:val="0"/>
          <w:numId w:val="27"/>
        </w:numPr>
        <w:adjustRightInd w:val="0"/>
        <w:snapToGrid w:val="0"/>
        <w:spacing w:after="0" w:line="360" w:lineRule="exact"/>
        <w:rPr>
          <w:rFonts w:ascii="宋体" w:hAnsi="宋体" w:cs="宋体"/>
        </w:rPr>
      </w:pPr>
      <w:r>
        <w:rPr>
          <w:rFonts w:hint="eastAsia" w:ascii="宋体" w:hAnsi="宋体" w:cs="宋体"/>
        </w:rPr>
        <w:t>每个端子接头最多允许接两根导线；</w:t>
      </w:r>
    </w:p>
    <w:p w14:paraId="1BE7E5A7">
      <w:pPr>
        <w:widowControl/>
        <w:numPr>
          <w:ilvl w:val="0"/>
          <w:numId w:val="27"/>
        </w:numPr>
        <w:adjustRightInd w:val="0"/>
        <w:snapToGrid w:val="0"/>
        <w:spacing w:after="0" w:line="360" w:lineRule="exact"/>
        <w:rPr>
          <w:rFonts w:ascii="宋体" w:hAnsi="宋体" w:cs="宋体"/>
        </w:rPr>
      </w:pPr>
      <w:r>
        <w:rPr>
          <w:rFonts w:hint="eastAsia" w:ascii="宋体" w:hAnsi="宋体" w:cs="宋体"/>
        </w:rPr>
        <w:t>所有接线端子应该有明确的编号。</w:t>
      </w:r>
    </w:p>
    <w:p w14:paraId="5EC33CEA">
      <w:pPr>
        <w:numPr>
          <w:ilvl w:val="0"/>
          <w:numId w:val="0"/>
        </w:numPr>
        <w:spacing w:after="0" w:line="360" w:lineRule="exact"/>
        <w:ind w:left="142" w:leftChars="0"/>
        <w:contextualSpacing/>
      </w:pPr>
      <w:r>
        <w:rPr>
          <w:rFonts w:hint="eastAsia"/>
          <w:lang w:val="en-US" w:eastAsia="zh-CN"/>
        </w:rPr>
        <w:t>2.6.9</w:t>
      </w:r>
      <w:r>
        <w:rPr>
          <w:rFonts w:hint="eastAsia"/>
        </w:rPr>
        <w:t>接地系统：</w:t>
      </w:r>
    </w:p>
    <w:p w14:paraId="7DC3D8AB">
      <w:pPr>
        <w:widowControl/>
        <w:numPr>
          <w:ilvl w:val="0"/>
          <w:numId w:val="28"/>
        </w:numPr>
        <w:adjustRightInd w:val="0"/>
        <w:snapToGrid w:val="0"/>
        <w:spacing w:after="0" w:line="360" w:lineRule="exact"/>
        <w:rPr>
          <w:rFonts w:ascii="宋体" w:hAnsi="宋体" w:cs="宋体"/>
        </w:rPr>
      </w:pPr>
      <w:r>
        <w:rPr>
          <w:rFonts w:hint="eastAsia" w:ascii="宋体" w:hAnsi="宋体" w:cs="宋体"/>
        </w:rPr>
        <w:t>控制柜箱体和柜门之间需要等电势连接；</w:t>
      </w:r>
    </w:p>
    <w:p w14:paraId="0BC6E2CE">
      <w:pPr>
        <w:widowControl/>
        <w:numPr>
          <w:ilvl w:val="0"/>
          <w:numId w:val="28"/>
        </w:numPr>
        <w:adjustRightInd w:val="0"/>
        <w:snapToGrid w:val="0"/>
        <w:spacing w:after="0" w:line="360" w:lineRule="exact"/>
        <w:rPr>
          <w:rFonts w:ascii="宋体" w:hAnsi="宋体" w:cs="宋体"/>
        </w:rPr>
      </w:pPr>
      <w:r>
        <w:rPr>
          <w:rFonts w:hint="eastAsia" w:ascii="宋体" w:hAnsi="宋体" w:cs="宋体"/>
        </w:rPr>
        <w:t>现场控制箱，操作站需要接地；</w:t>
      </w:r>
    </w:p>
    <w:p w14:paraId="31881452">
      <w:pPr>
        <w:widowControl/>
        <w:numPr>
          <w:ilvl w:val="0"/>
          <w:numId w:val="28"/>
        </w:numPr>
        <w:adjustRightInd w:val="0"/>
        <w:snapToGrid w:val="0"/>
        <w:spacing w:after="0" w:line="360" w:lineRule="exact"/>
        <w:rPr>
          <w:rFonts w:ascii="宋体" w:hAnsi="宋体" w:cs="宋体"/>
        </w:rPr>
      </w:pPr>
      <w:r>
        <w:rPr>
          <w:rFonts w:hint="eastAsia" w:ascii="宋体" w:hAnsi="宋体" w:cs="宋体"/>
        </w:rPr>
        <w:t>电缆桥架，每隔一定距离需要连跨接线；</w:t>
      </w:r>
    </w:p>
    <w:p w14:paraId="78165282">
      <w:pPr>
        <w:widowControl/>
        <w:numPr>
          <w:ilvl w:val="0"/>
          <w:numId w:val="28"/>
        </w:numPr>
        <w:adjustRightInd w:val="0"/>
        <w:snapToGrid w:val="0"/>
        <w:spacing w:after="0" w:line="360" w:lineRule="exact"/>
        <w:rPr>
          <w:rFonts w:ascii="宋体" w:hAnsi="宋体" w:cs="宋体"/>
        </w:rPr>
      </w:pPr>
      <w:r>
        <w:rPr>
          <w:rFonts w:hint="eastAsia" w:ascii="宋体" w:hAnsi="宋体" w:cs="宋体"/>
        </w:rPr>
        <w:t>所有电机外壳需要可靠接地；</w:t>
      </w:r>
    </w:p>
    <w:p w14:paraId="5BF2EA41">
      <w:pPr>
        <w:widowControl/>
        <w:numPr>
          <w:ilvl w:val="0"/>
          <w:numId w:val="28"/>
        </w:numPr>
        <w:adjustRightInd w:val="0"/>
        <w:snapToGrid w:val="0"/>
        <w:spacing w:after="0" w:line="360" w:lineRule="exact"/>
        <w:rPr>
          <w:rFonts w:ascii="宋体" w:hAnsi="宋体" w:cs="宋体"/>
        </w:rPr>
      </w:pPr>
      <w:r>
        <w:rPr>
          <w:rFonts w:hint="eastAsia" w:ascii="宋体" w:hAnsi="宋体" w:cs="宋体"/>
        </w:rPr>
        <w:t>所有变频器需要可靠接地；</w:t>
      </w:r>
    </w:p>
    <w:p w14:paraId="4A253EB9">
      <w:pPr>
        <w:widowControl/>
        <w:numPr>
          <w:ilvl w:val="0"/>
          <w:numId w:val="28"/>
        </w:numPr>
        <w:adjustRightInd w:val="0"/>
        <w:snapToGrid w:val="0"/>
        <w:spacing w:after="0" w:line="360" w:lineRule="exact"/>
        <w:rPr>
          <w:rFonts w:ascii="宋体" w:hAnsi="宋体" w:cs="宋体"/>
        </w:rPr>
      </w:pPr>
      <w:r>
        <w:rPr>
          <w:rFonts w:hint="eastAsia" w:ascii="宋体" w:hAnsi="宋体" w:cs="宋体"/>
        </w:rPr>
        <w:t>接地线应具有适应接地电流的能力。</w:t>
      </w:r>
    </w:p>
    <w:p w14:paraId="6A2248CC">
      <w:pPr>
        <w:numPr>
          <w:ilvl w:val="0"/>
          <w:numId w:val="0"/>
        </w:numPr>
        <w:spacing w:after="0" w:line="360" w:lineRule="exact"/>
        <w:ind w:left="142" w:leftChars="0"/>
        <w:contextualSpacing/>
      </w:pPr>
      <w:r>
        <w:rPr>
          <w:rFonts w:hint="eastAsia"/>
          <w:lang w:val="en-US" w:eastAsia="zh-CN"/>
        </w:rPr>
        <w:t>2.6.10</w:t>
      </w:r>
      <w:r>
        <w:rPr>
          <w:rFonts w:hint="eastAsia"/>
        </w:rPr>
        <w:t>编号和标记</w:t>
      </w:r>
    </w:p>
    <w:p w14:paraId="42D743D7">
      <w:pPr>
        <w:widowControl/>
        <w:numPr>
          <w:ilvl w:val="0"/>
          <w:numId w:val="29"/>
        </w:numPr>
        <w:adjustRightInd w:val="0"/>
        <w:snapToGrid w:val="0"/>
        <w:spacing w:after="0" w:line="360" w:lineRule="exact"/>
        <w:ind w:hanging="235"/>
        <w:contextualSpacing/>
        <w:rPr>
          <w:rFonts w:ascii="宋体" w:hAnsi="宋体" w:cs="宋体"/>
        </w:rPr>
      </w:pPr>
      <w:r>
        <w:rPr>
          <w:rFonts w:hint="eastAsia" w:ascii="宋体" w:hAnsi="宋体" w:cs="宋体"/>
        </w:rPr>
        <w:t>所有电气元件必须做出标记符号，且在更换元件时，标记不能被覆盖或者丢失；标记必须是永久且便于识别的；</w:t>
      </w:r>
    </w:p>
    <w:p w14:paraId="75721B3D">
      <w:pPr>
        <w:widowControl/>
        <w:numPr>
          <w:ilvl w:val="0"/>
          <w:numId w:val="29"/>
        </w:numPr>
        <w:adjustRightInd w:val="0"/>
        <w:snapToGrid w:val="0"/>
        <w:spacing w:after="0" w:line="360" w:lineRule="exact"/>
        <w:ind w:hanging="235"/>
        <w:contextualSpacing/>
        <w:rPr>
          <w:rFonts w:ascii="宋体" w:hAnsi="宋体" w:cs="宋体"/>
        </w:rPr>
      </w:pPr>
      <w:r>
        <w:rPr>
          <w:rFonts w:hint="eastAsia" w:ascii="宋体" w:hAnsi="宋体" w:cs="宋体"/>
        </w:rPr>
        <w:t>所有电控柜外部的接线、传感器和执行元件等（如，接近开关、电磁阀、电机等）应该使用永久标牌标明控制功能以及图纸编号，必须能明确该元件的位置（不能镶嵌到元件上），便于维修查找；</w:t>
      </w:r>
    </w:p>
    <w:p w14:paraId="65311163">
      <w:pPr>
        <w:widowControl/>
        <w:numPr>
          <w:ilvl w:val="0"/>
          <w:numId w:val="29"/>
        </w:numPr>
        <w:adjustRightInd w:val="0"/>
        <w:snapToGrid w:val="0"/>
        <w:spacing w:after="0" w:line="360" w:lineRule="exact"/>
        <w:ind w:hanging="235"/>
        <w:contextualSpacing/>
        <w:rPr>
          <w:rFonts w:ascii="宋体" w:hAnsi="宋体" w:cs="宋体"/>
        </w:rPr>
      </w:pPr>
      <w:r>
        <w:rPr>
          <w:rFonts w:hint="eastAsia" w:ascii="宋体" w:hAnsi="宋体" w:cs="宋体"/>
        </w:rPr>
        <w:t>接线端子上的标记应与电路图上的标记相同。</w:t>
      </w:r>
    </w:p>
    <w:p w14:paraId="1D0C4EFF">
      <w:pPr>
        <w:numPr>
          <w:ilvl w:val="0"/>
          <w:numId w:val="0"/>
        </w:numPr>
        <w:spacing w:after="0" w:line="360" w:lineRule="exact"/>
        <w:ind w:left="142" w:leftChars="0"/>
        <w:contextualSpacing/>
      </w:pPr>
      <w:r>
        <w:rPr>
          <w:rFonts w:hint="eastAsia"/>
          <w:lang w:val="en-US" w:eastAsia="zh-CN"/>
        </w:rPr>
        <w:t>2.6.11</w:t>
      </w:r>
      <w:r>
        <w:rPr>
          <w:rFonts w:hint="eastAsia"/>
        </w:rPr>
        <w:t>操作面板上的开关：</w:t>
      </w:r>
    </w:p>
    <w:p w14:paraId="68034CE1">
      <w:pPr>
        <w:widowControl/>
        <w:numPr>
          <w:ilvl w:val="0"/>
          <w:numId w:val="30"/>
        </w:numPr>
        <w:adjustRightInd w:val="0"/>
        <w:snapToGrid w:val="0"/>
        <w:spacing w:after="0" w:line="360" w:lineRule="exact"/>
        <w:rPr>
          <w:rFonts w:ascii="宋体" w:hAnsi="宋体" w:cs="宋体"/>
        </w:rPr>
      </w:pPr>
      <w:r>
        <w:rPr>
          <w:rFonts w:hint="eastAsia" w:ascii="宋体" w:hAnsi="宋体" w:cs="宋体"/>
        </w:rPr>
        <w:t>控制自动/手动采用钥匙开关；</w:t>
      </w:r>
    </w:p>
    <w:p w14:paraId="4A2BDA82">
      <w:pPr>
        <w:widowControl/>
        <w:numPr>
          <w:ilvl w:val="0"/>
          <w:numId w:val="30"/>
        </w:numPr>
        <w:adjustRightInd w:val="0"/>
        <w:snapToGrid w:val="0"/>
        <w:spacing w:after="0" w:line="360" w:lineRule="exact"/>
        <w:rPr>
          <w:rFonts w:ascii="宋体" w:hAnsi="宋体" w:cs="宋体"/>
        </w:rPr>
      </w:pPr>
      <w:r>
        <w:rPr>
          <w:rFonts w:hint="eastAsia" w:ascii="宋体" w:hAnsi="宋体" w:cs="宋体"/>
        </w:rPr>
        <w:t>在各控制柜上单独设置指示灯检测按钮；</w:t>
      </w:r>
    </w:p>
    <w:p w14:paraId="7FB6CE6B">
      <w:pPr>
        <w:widowControl/>
        <w:numPr>
          <w:ilvl w:val="0"/>
          <w:numId w:val="30"/>
        </w:numPr>
        <w:adjustRightInd w:val="0"/>
        <w:snapToGrid w:val="0"/>
        <w:spacing w:after="0" w:line="360" w:lineRule="exact"/>
        <w:rPr>
          <w:rFonts w:ascii="宋体" w:hAnsi="宋体" w:cs="宋体"/>
        </w:rPr>
      </w:pPr>
      <w:r>
        <w:rPr>
          <w:rFonts w:hint="eastAsia" w:ascii="宋体" w:hAnsi="宋体" w:cs="宋体"/>
        </w:rPr>
        <w:t>铭牌使用PVC板制成，采用白底黑字；</w:t>
      </w:r>
    </w:p>
    <w:p w14:paraId="05909754">
      <w:pPr>
        <w:widowControl/>
        <w:numPr>
          <w:ilvl w:val="0"/>
          <w:numId w:val="30"/>
        </w:numPr>
        <w:adjustRightInd w:val="0"/>
        <w:snapToGrid w:val="0"/>
        <w:spacing w:after="0" w:line="360" w:lineRule="exact"/>
        <w:rPr>
          <w:rFonts w:ascii="宋体" w:hAnsi="宋体" w:cs="宋体"/>
        </w:rPr>
      </w:pPr>
      <w:r>
        <w:rPr>
          <w:rFonts w:hint="eastAsia" w:ascii="宋体" w:hAnsi="宋体" w:cs="宋体"/>
        </w:rPr>
        <w:t>各组控制柜（按照系统拼装成组）至少预留两个备用按钮，现场工位操作站至少预留一个备用按钮；</w:t>
      </w:r>
    </w:p>
    <w:p w14:paraId="2A7C6BA7">
      <w:pPr>
        <w:widowControl/>
        <w:numPr>
          <w:ilvl w:val="0"/>
          <w:numId w:val="30"/>
        </w:numPr>
        <w:adjustRightInd w:val="0"/>
        <w:snapToGrid w:val="0"/>
        <w:spacing w:after="0" w:line="360" w:lineRule="exact"/>
        <w:rPr>
          <w:rFonts w:ascii="宋体" w:hAnsi="宋体" w:cs="宋体"/>
        </w:rPr>
      </w:pPr>
      <w:r>
        <w:rPr>
          <w:rFonts w:hint="eastAsia" w:ascii="宋体" w:hAnsi="宋体" w:cs="宋体"/>
        </w:rPr>
        <w:t>急停按钮要布置在操作面板操作区的统一位置。</w:t>
      </w:r>
    </w:p>
    <w:p w14:paraId="39EE04E4">
      <w:pPr>
        <w:numPr>
          <w:ilvl w:val="0"/>
          <w:numId w:val="0"/>
        </w:numPr>
        <w:spacing w:after="0" w:line="360" w:lineRule="exact"/>
        <w:ind w:left="142" w:leftChars="0"/>
        <w:contextualSpacing/>
      </w:pPr>
      <w:r>
        <w:rPr>
          <w:rFonts w:hint="eastAsia"/>
          <w:lang w:val="en-US" w:eastAsia="zh-CN"/>
        </w:rPr>
        <w:t>2.6.12</w:t>
      </w:r>
      <w:r>
        <w:rPr>
          <w:rFonts w:hint="eastAsia"/>
        </w:rPr>
        <w:t>按钮开关的颜色应按照下表配置。</w:t>
      </w:r>
    </w:p>
    <w:tbl>
      <w:tblPr>
        <w:tblStyle w:val="42"/>
        <w:tblW w:w="0" w:type="auto"/>
        <w:tblInd w:w="9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52"/>
        <w:gridCol w:w="3073"/>
        <w:gridCol w:w="3074"/>
      </w:tblGrid>
      <w:tr w14:paraId="0D676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77" w:type="dxa"/>
            <w:tcBorders>
              <w:top w:val="single" w:color="auto" w:sz="4" w:space="0"/>
              <w:left w:val="single" w:color="auto" w:sz="4" w:space="0"/>
              <w:bottom w:val="single" w:color="auto" w:sz="4" w:space="0"/>
              <w:right w:val="single" w:color="auto" w:sz="4" w:space="0"/>
            </w:tcBorders>
            <w:shd w:val="clear" w:color="auto" w:fill="D9E2F3" w:themeFill="accent5" w:themeFillTint="33"/>
            <w:vAlign w:val="center"/>
          </w:tcPr>
          <w:p w14:paraId="054DB867">
            <w:pPr>
              <w:spacing w:after="0" w:line="360" w:lineRule="exact"/>
              <w:jc w:val="center"/>
              <w:rPr>
                <w:rFonts w:ascii="宋体" w:hAnsi="宋体" w:cs="宋体"/>
                <w:b/>
                <w:bCs/>
                <w:sz w:val="21"/>
                <w:szCs w:val="21"/>
              </w:rPr>
            </w:pPr>
            <w:r>
              <w:rPr>
                <w:rFonts w:hint="eastAsia" w:ascii="宋体" w:hAnsi="宋体" w:cs="宋体"/>
                <w:b/>
                <w:bCs/>
                <w:sz w:val="21"/>
                <w:szCs w:val="21"/>
              </w:rPr>
              <w:t>按钮类型</w:t>
            </w:r>
          </w:p>
        </w:tc>
        <w:tc>
          <w:tcPr>
            <w:tcW w:w="3265" w:type="dxa"/>
            <w:tcBorders>
              <w:top w:val="single" w:color="auto" w:sz="4" w:space="0"/>
              <w:left w:val="single" w:color="auto" w:sz="4" w:space="0"/>
              <w:bottom w:val="single" w:color="auto" w:sz="4" w:space="0"/>
              <w:right w:val="single" w:color="auto" w:sz="4" w:space="0"/>
            </w:tcBorders>
            <w:shd w:val="clear" w:color="auto" w:fill="D9E2F3" w:themeFill="accent5" w:themeFillTint="33"/>
            <w:vAlign w:val="center"/>
          </w:tcPr>
          <w:p w14:paraId="06F0A7A3">
            <w:pPr>
              <w:spacing w:after="0" w:line="360" w:lineRule="exact"/>
              <w:jc w:val="center"/>
              <w:rPr>
                <w:rFonts w:ascii="宋体" w:hAnsi="宋体" w:cs="宋体"/>
                <w:b/>
                <w:bCs/>
                <w:sz w:val="21"/>
                <w:szCs w:val="21"/>
              </w:rPr>
            </w:pPr>
            <w:r>
              <w:rPr>
                <w:rFonts w:hint="eastAsia" w:ascii="宋体" w:hAnsi="宋体" w:cs="宋体"/>
                <w:b/>
                <w:bCs/>
                <w:sz w:val="21"/>
                <w:szCs w:val="21"/>
              </w:rPr>
              <w:t>颜色</w:t>
            </w:r>
          </w:p>
        </w:tc>
        <w:tc>
          <w:tcPr>
            <w:tcW w:w="3266" w:type="dxa"/>
            <w:tcBorders>
              <w:top w:val="single" w:color="auto" w:sz="4" w:space="0"/>
              <w:left w:val="single" w:color="auto" w:sz="4" w:space="0"/>
              <w:bottom w:val="single" w:color="auto" w:sz="4" w:space="0"/>
              <w:right w:val="single" w:color="auto" w:sz="4" w:space="0"/>
            </w:tcBorders>
            <w:shd w:val="clear" w:color="auto" w:fill="D9E2F3" w:themeFill="accent5" w:themeFillTint="33"/>
            <w:vAlign w:val="center"/>
          </w:tcPr>
          <w:p w14:paraId="66FC31FC">
            <w:pPr>
              <w:spacing w:after="0" w:line="360" w:lineRule="exact"/>
              <w:jc w:val="center"/>
              <w:rPr>
                <w:rFonts w:ascii="宋体" w:hAnsi="宋体" w:cs="宋体"/>
                <w:b/>
                <w:bCs/>
                <w:sz w:val="21"/>
                <w:szCs w:val="21"/>
              </w:rPr>
            </w:pPr>
            <w:r>
              <w:rPr>
                <w:rFonts w:hint="eastAsia" w:ascii="宋体" w:hAnsi="宋体" w:cs="宋体"/>
                <w:b/>
                <w:bCs/>
                <w:sz w:val="21"/>
                <w:szCs w:val="21"/>
              </w:rPr>
              <w:t>备注</w:t>
            </w:r>
          </w:p>
        </w:tc>
      </w:tr>
      <w:tr w14:paraId="360E6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77" w:type="dxa"/>
            <w:tcBorders>
              <w:top w:val="single" w:color="auto" w:sz="4" w:space="0"/>
              <w:left w:val="single" w:color="auto" w:sz="4" w:space="0"/>
              <w:bottom w:val="single" w:color="auto" w:sz="4" w:space="0"/>
              <w:right w:val="single" w:color="auto" w:sz="4" w:space="0"/>
            </w:tcBorders>
            <w:shd w:val="clear" w:color="auto" w:fill="D9E2F3" w:themeFill="accent5" w:themeFillTint="33"/>
            <w:vAlign w:val="center"/>
          </w:tcPr>
          <w:p w14:paraId="68587FC1">
            <w:pPr>
              <w:spacing w:after="0" w:line="360" w:lineRule="exact"/>
              <w:jc w:val="center"/>
              <w:rPr>
                <w:rFonts w:ascii="宋体" w:hAnsi="宋体" w:cs="宋体"/>
                <w:sz w:val="21"/>
                <w:szCs w:val="21"/>
              </w:rPr>
            </w:pPr>
            <w:r>
              <w:rPr>
                <w:rFonts w:hint="eastAsia" w:ascii="宋体" w:hAnsi="宋体" w:cs="宋体"/>
                <w:sz w:val="21"/>
                <w:szCs w:val="21"/>
              </w:rPr>
              <w:t>操作准备</w:t>
            </w:r>
          </w:p>
        </w:tc>
        <w:tc>
          <w:tcPr>
            <w:tcW w:w="3265" w:type="dxa"/>
            <w:tcBorders>
              <w:top w:val="single" w:color="auto" w:sz="4" w:space="0"/>
              <w:left w:val="single" w:color="auto" w:sz="4" w:space="0"/>
              <w:bottom w:val="single" w:color="auto" w:sz="4" w:space="0"/>
              <w:right w:val="single" w:color="auto" w:sz="4" w:space="0"/>
            </w:tcBorders>
            <w:vAlign w:val="center"/>
          </w:tcPr>
          <w:p w14:paraId="2B18D924">
            <w:pPr>
              <w:spacing w:after="0" w:line="360" w:lineRule="exact"/>
              <w:jc w:val="center"/>
              <w:rPr>
                <w:rFonts w:ascii="宋体" w:hAnsi="宋体" w:cs="宋体"/>
                <w:sz w:val="21"/>
                <w:szCs w:val="21"/>
              </w:rPr>
            </w:pPr>
            <w:r>
              <w:rPr>
                <w:rFonts w:hint="eastAsia" w:ascii="宋体" w:hAnsi="宋体" w:cs="宋体"/>
                <w:sz w:val="21"/>
                <w:szCs w:val="21"/>
              </w:rPr>
              <w:t>橙色</w:t>
            </w:r>
          </w:p>
        </w:tc>
        <w:tc>
          <w:tcPr>
            <w:tcW w:w="3266" w:type="dxa"/>
            <w:tcBorders>
              <w:top w:val="single" w:color="auto" w:sz="4" w:space="0"/>
              <w:left w:val="single" w:color="auto" w:sz="4" w:space="0"/>
              <w:bottom w:val="single" w:color="auto" w:sz="4" w:space="0"/>
              <w:right w:val="single" w:color="auto" w:sz="4" w:space="0"/>
            </w:tcBorders>
            <w:vAlign w:val="center"/>
          </w:tcPr>
          <w:p w14:paraId="184E77B3">
            <w:pPr>
              <w:spacing w:after="0" w:line="360" w:lineRule="exact"/>
              <w:jc w:val="center"/>
              <w:rPr>
                <w:rFonts w:ascii="宋体" w:hAnsi="宋体" w:cs="宋体"/>
                <w:sz w:val="21"/>
                <w:szCs w:val="21"/>
              </w:rPr>
            </w:pPr>
          </w:p>
        </w:tc>
      </w:tr>
      <w:tr w14:paraId="4F204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77" w:type="dxa"/>
            <w:tcBorders>
              <w:top w:val="single" w:color="auto" w:sz="4" w:space="0"/>
              <w:left w:val="single" w:color="auto" w:sz="4" w:space="0"/>
              <w:bottom w:val="single" w:color="auto" w:sz="4" w:space="0"/>
              <w:right w:val="single" w:color="auto" w:sz="4" w:space="0"/>
            </w:tcBorders>
            <w:shd w:val="clear" w:color="auto" w:fill="D9E2F3" w:themeFill="accent5" w:themeFillTint="33"/>
            <w:vAlign w:val="center"/>
          </w:tcPr>
          <w:p w14:paraId="7D7462A4">
            <w:pPr>
              <w:spacing w:after="0" w:line="360" w:lineRule="exact"/>
              <w:jc w:val="center"/>
              <w:rPr>
                <w:rFonts w:ascii="宋体" w:hAnsi="宋体" w:cs="宋体"/>
                <w:sz w:val="21"/>
                <w:szCs w:val="21"/>
              </w:rPr>
            </w:pPr>
            <w:r>
              <w:rPr>
                <w:rFonts w:hint="eastAsia" w:ascii="宋体" w:hAnsi="宋体" w:cs="宋体"/>
                <w:sz w:val="21"/>
                <w:szCs w:val="21"/>
              </w:rPr>
              <w:t>自动启动</w:t>
            </w:r>
          </w:p>
        </w:tc>
        <w:tc>
          <w:tcPr>
            <w:tcW w:w="3265" w:type="dxa"/>
            <w:tcBorders>
              <w:top w:val="single" w:color="auto" w:sz="4" w:space="0"/>
              <w:left w:val="single" w:color="auto" w:sz="4" w:space="0"/>
              <w:bottom w:val="single" w:color="auto" w:sz="4" w:space="0"/>
              <w:right w:val="single" w:color="auto" w:sz="4" w:space="0"/>
            </w:tcBorders>
            <w:vAlign w:val="center"/>
          </w:tcPr>
          <w:p w14:paraId="45CEC9BD">
            <w:pPr>
              <w:spacing w:after="0" w:line="360" w:lineRule="exact"/>
              <w:jc w:val="center"/>
              <w:rPr>
                <w:rFonts w:ascii="宋体" w:hAnsi="宋体" w:cs="宋体"/>
                <w:sz w:val="21"/>
                <w:szCs w:val="21"/>
              </w:rPr>
            </w:pPr>
            <w:r>
              <w:rPr>
                <w:rFonts w:hint="eastAsia" w:ascii="宋体" w:hAnsi="宋体" w:cs="宋体"/>
                <w:sz w:val="21"/>
                <w:szCs w:val="21"/>
              </w:rPr>
              <w:t>绿色</w:t>
            </w:r>
          </w:p>
        </w:tc>
        <w:tc>
          <w:tcPr>
            <w:tcW w:w="3266" w:type="dxa"/>
            <w:tcBorders>
              <w:top w:val="single" w:color="auto" w:sz="4" w:space="0"/>
              <w:left w:val="single" w:color="auto" w:sz="4" w:space="0"/>
              <w:bottom w:val="single" w:color="auto" w:sz="4" w:space="0"/>
              <w:right w:val="single" w:color="auto" w:sz="4" w:space="0"/>
            </w:tcBorders>
            <w:vAlign w:val="center"/>
          </w:tcPr>
          <w:p w14:paraId="59E52F18">
            <w:pPr>
              <w:spacing w:after="0" w:line="360" w:lineRule="exact"/>
              <w:jc w:val="center"/>
              <w:rPr>
                <w:rFonts w:ascii="宋体" w:hAnsi="宋体" w:cs="宋体"/>
                <w:sz w:val="21"/>
                <w:szCs w:val="21"/>
              </w:rPr>
            </w:pPr>
          </w:p>
        </w:tc>
      </w:tr>
      <w:tr w14:paraId="48E64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77" w:type="dxa"/>
            <w:tcBorders>
              <w:top w:val="single" w:color="auto" w:sz="4" w:space="0"/>
              <w:left w:val="single" w:color="auto" w:sz="4" w:space="0"/>
              <w:bottom w:val="single" w:color="auto" w:sz="4" w:space="0"/>
              <w:right w:val="single" w:color="auto" w:sz="4" w:space="0"/>
            </w:tcBorders>
            <w:shd w:val="clear" w:color="auto" w:fill="D9E2F3" w:themeFill="accent5" w:themeFillTint="33"/>
            <w:vAlign w:val="center"/>
          </w:tcPr>
          <w:p w14:paraId="3EBFA98C">
            <w:pPr>
              <w:spacing w:after="0" w:line="360" w:lineRule="exact"/>
              <w:jc w:val="center"/>
              <w:rPr>
                <w:rFonts w:ascii="宋体" w:hAnsi="宋体" w:cs="宋体"/>
                <w:sz w:val="21"/>
                <w:szCs w:val="21"/>
              </w:rPr>
            </w:pPr>
            <w:r>
              <w:rPr>
                <w:rFonts w:hint="eastAsia" w:ascii="宋体" w:hAnsi="宋体" w:cs="宋体"/>
                <w:sz w:val="21"/>
                <w:szCs w:val="21"/>
              </w:rPr>
              <w:t>灯测试</w:t>
            </w:r>
          </w:p>
        </w:tc>
        <w:tc>
          <w:tcPr>
            <w:tcW w:w="3265" w:type="dxa"/>
            <w:tcBorders>
              <w:top w:val="single" w:color="auto" w:sz="4" w:space="0"/>
              <w:left w:val="single" w:color="auto" w:sz="4" w:space="0"/>
              <w:bottom w:val="single" w:color="auto" w:sz="4" w:space="0"/>
              <w:right w:val="single" w:color="auto" w:sz="4" w:space="0"/>
            </w:tcBorders>
            <w:vAlign w:val="center"/>
          </w:tcPr>
          <w:p w14:paraId="6C7A15CA">
            <w:pPr>
              <w:spacing w:after="0" w:line="360" w:lineRule="exact"/>
              <w:jc w:val="center"/>
              <w:rPr>
                <w:rFonts w:ascii="宋体" w:hAnsi="宋体" w:cs="宋体"/>
                <w:sz w:val="21"/>
                <w:szCs w:val="21"/>
              </w:rPr>
            </w:pPr>
            <w:r>
              <w:rPr>
                <w:rFonts w:hint="eastAsia" w:ascii="宋体" w:hAnsi="宋体" w:cs="宋体"/>
                <w:sz w:val="21"/>
                <w:szCs w:val="21"/>
              </w:rPr>
              <w:t>白色</w:t>
            </w:r>
          </w:p>
        </w:tc>
        <w:tc>
          <w:tcPr>
            <w:tcW w:w="3266" w:type="dxa"/>
            <w:tcBorders>
              <w:top w:val="single" w:color="auto" w:sz="4" w:space="0"/>
              <w:left w:val="single" w:color="auto" w:sz="4" w:space="0"/>
              <w:bottom w:val="single" w:color="auto" w:sz="4" w:space="0"/>
              <w:right w:val="single" w:color="auto" w:sz="4" w:space="0"/>
            </w:tcBorders>
            <w:vAlign w:val="center"/>
          </w:tcPr>
          <w:p w14:paraId="19C438EE">
            <w:pPr>
              <w:spacing w:after="0" w:line="360" w:lineRule="exact"/>
              <w:jc w:val="center"/>
              <w:rPr>
                <w:rFonts w:ascii="宋体" w:hAnsi="宋体" w:cs="宋体"/>
                <w:sz w:val="21"/>
                <w:szCs w:val="21"/>
              </w:rPr>
            </w:pPr>
          </w:p>
        </w:tc>
      </w:tr>
      <w:tr w14:paraId="22CB7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77" w:type="dxa"/>
            <w:tcBorders>
              <w:top w:val="single" w:color="auto" w:sz="4" w:space="0"/>
              <w:left w:val="single" w:color="auto" w:sz="4" w:space="0"/>
              <w:bottom w:val="single" w:color="auto" w:sz="4" w:space="0"/>
              <w:right w:val="single" w:color="auto" w:sz="4" w:space="0"/>
            </w:tcBorders>
            <w:shd w:val="clear" w:color="auto" w:fill="D9E2F3" w:themeFill="accent5" w:themeFillTint="33"/>
            <w:vAlign w:val="center"/>
          </w:tcPr>
          <w:p w14:paraId="22D9FBFE">
            <w:pPr>
              <w:spacing w:after="0" w:line="360" w:lineRule="exact"/>
              <w:jc w:val="center"/>
              <w:rPr>
                <w:rFonts w:ascii="宋体" w:hAnsi="宋体" w:cs="宋体"/>
                <w:sz w:val="21"/>
                <w:szCs w:val="21"/>
              </w:rPr>
            </w:pPr>
            <w:r>
              <w:rPr>
                <w:rFonts w:hint="eastAsia" w:ascii="宋体" w:hAnsi="宋体" w:cs="宋体"/>
                <w:sz w:val="21"/>
                <w:szCs w:val="21"/>
              </w:rPr>
              <w:t>撤销报警</w:t>
            </w:r>
          </w:p>
        </w:tc>
        <w:tc>
          <w:tcPr>
            <w:tcW w:w="3265" w:type="dxa"/>
            <w:tcBorders>
              <w:top w:val="single" w:color="auto" w:sz="4" w:space="0"/>
              <w:left w:val="single" w:color="auto" w:sz="4" w:space="0"/>
              <w:bottom w:val="single" w:color="auto" w:sz="4" w:space="0"/>
              <w:right w:val="single" w:color="auto" w:sz="4" w:space="0"/>
            </w:tcBorders>
            <w:vAlign w:val="center"/>
          </w:tcPr>
          <w:p w14:paraId="37FE5A24">
            <w:pPr>
              <w:spacing w:after="0" w:line="360" w:lineRule="exact"/>
              <w:jc w:val="center"/>
              <w:rPr>
                <w:rFonts w:ascii="宋体" w:hAnsi="宋体" w:cs="宋体"/>
                <w:sz w:val="21"/>
                <w:szCs w:val="21"/>
              </w:rPr>
            </w:pPr>
            <w:r>
              <w:rPr>
                <w:rFonts w:hint="eastAsia" w:ascii="宋体" w:hAnsi="宋体" w:cs="宋体"/>
                <w:sz w:val="21"/>
                <w:szCs w:val="21"/>
              </w:rPr>
              <w:t>黄色</w:t>
            </w:r>
          </w:p>
        </w:tc>
        <w:tc>
          <w:tcPr>
            <w:tcW w:w="3266" w:type="dxa"/>
            <w:tcBorders>
              <w:top w:val="single" w:color="auto" w:sz="4" w:space="0"/>
              <w:left w:val="single" w:color="auto" w:sz="4" w:space="0"/>
              <w:bottom w:val="single" w:color="auto" w:sz="4" w:space="0"/>
              <w:right w:val="single" w:color="auto" w:sz="4" w:space="0"/>
            </w:tcBorders>
            <w:vAlign w:val="center"/>
          </w:tcPr>
          <w:p w14:paraId="6CD8F795">
            <w:pPr>
              <w:spacing w:after="0" w:line="360" w:lineRule="exact"/>
              <w:jc w:val="center"/>
              <w:rPr>
                <w:rFonts w:ascii="宋体" w:hAnsi="宋体" w:cs="宋体"/>
                <w:sz w:val="21"/>
                <w:szCs w:val="21"/>
              </w:rPr>
            </w:pPr>
          </w:p>
        </w:tc>
      </w:tr>
      <w:tr w14:paraId="0C453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77" w:type="dxa"/>
            <w:tcBorders>
              <w:top w:val="single" w:color="auto" w:sz="4" w:space="0"/>
              <w:left w:val="single" w:color="auto" w:sz="4" w:space="0"/>
              <w:bottom w:val="single" w:color="auto" w:sz="4" w:space="0"/>
              <w:right w:val="single" w:color="auto" w:sz="4" w:space="0"/>
            </w:tcBorders>
            <w:shd w:val="clear" w:color="auto" w:fill="D9E2F3" w:themeFill="accent5" w:themeFillTint="33"/>
            <w:vAlign w:val="center"/>
          </w:tcPr>
          <w:p w14:paraId="5885C2DF">
            <w:pPr>
              <w:spacing w:after="0" w:line="360" w:lineRule="exact"/>
              <w:jc w:val="center"/>
              <w:rPr>
                <w:rFonts w:ascii="宋体" w:hAnsi="宋体" w:cs="宋体"/>
                <w:sz w:val="21"/>
                <w:szCs w:val="21"/>
              </w:rPr>
            </w:pPr>
            <w:r>
              <w:rPr>
                <w:rFonts w:hint="eastAsia" w:ascii="宋体" w:hAnsi="宋体" w:cs="宋体"/>
                <w:sz w:val="21"/>
                <w:szCs w:val="21"/>
              </w:rPr>
              <w:t>复位</w:t>
            </w:r>
          </w:p>
        </w:tc>
        <w:tc>
          <w:tcPr>
            <w:tcW w:w="3265" w:type="dxa"/>
            <w:tcBorders>
              <w:top w:val="single" w:color="auto" w:sz="4" w:space="0"/>
              <w:left w:val="single" w:color="auto" w:sz="4" w:space="0"/>
              <w:bottom w:val="single" w:color="auto" w:sz="4" w:space="0"/>
              <w:right w:val="single" w:color="auto" w:sz="4" w:space="0"/>
            </w:tcBorders>
            <w:vAlign w:val="center"/>
          </w:tcPr>
          <w:p w14:paraId="2AB39739">
            <w:pPr>
              <w:spacing w:after="0" w:line="360" w:lineRule="exact"/>
              <w:jc w:val="center"/>
              <w:rPr>
                <w:rFonts w:ascii="宋体" w:hAnsi="宋体" w:cs="宋体"/>
                <w:sz w:val="21"/>
                <w:szCs w:val="21"/>
              </w:rPr>
            </w:pPr>
            <w:r>
              <w:rPr>
                <w:rFonts w:hint="eastAsia" w:ascii="宋体" w:hAnsi="宋体" w:cs="宋体"/>
                <w:sz w:val="21"/>
                <w:szCs w:val="21"/>
              </w:rPr>
              <w:t>蓝色</w:t>
            </w:r>
          </w:p>
        </w:tc>
        <w:tc>
          <w:tcPr>
            <w:tcW w:w="3266" w:type="dxa"/>
            <w:tcBorders>
              <w:top w:val="single" w:color="auto" w:sz="4" w:space="0"/>
              <w:left w:val="single" w:color="auto" w:sz="4" w:space="0"/>
              <w:bottom w:val="single" w:color="auto" w:sz="4" w:space="0"/>
              <w:right w:val="single" w:color="auto" w:sz="4" w:space="0"/>
            </w:tcBorders>
            <w:vAlign w:val="center"/>
          </w:tcPr>
          <w:p w14:paraId="0C784232">
            <w:pPr>
              <w:spacing w:after="0" w:line="360" w:lineRule="exact"/>
              <w:jc w:val="center"/>
              <w:rPr>
                <w:rFonts w:ascii="宋体" w:hAnsi="宋体" w:cs="宋体"/>
                <w:sz w:val="21"/>
                <w:szCs w:val="21"/>
              </w:rPr>
            </w:pPr>
          </w:p>
        </w:tc>
      </w:tr>
      <w:tr w14:paraId="4E4C2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77" w:type="dxa"/>
            <w:tcBorders>
              <w:top w:val="single" w:color="auto" w:sz="4" w:space="0"/>
              <w:left w:val="single" w:color="auto" w:sz="4" w:space="0"/>
              <w:bottom w:val="single" w:color="auto" w:sz="4" w:space="0"/>
              <w:right w:val="single" w:color="auto" w:sz="4" w:space="0"/>
            </w:tcBorders>
            <w:shd w:val="clear" w:color="auto" w:fill="D9E2F3" w:themeFill="accent5" w:themeFillTint="33"/>
            <w:vAlign w:val="center"/>
          </w:tcPr>
          <w:p w14:paraId="16DBD81A">
            <w:pPr>
              <w:spacing w:after="0" w:line="360" w:lineRule="exact"/>
              <w:jc w:val="center"/>
              <w:rPr>
                <w:rFonts w:ascii="宋体" w:hAnsi="宋体" w:cs="宋体"/>
                <w:sz w:val="21"/>
                <w:szCs w:val="21"/>
              </w:rPr>
            </w:pPr>
            <w:r>
              <w:rPr>
                <w:rFonts w:hint="eastAsia" w:ascii="宋体" w:hAnsi="宋体" w:cs="宋体"/>
                <w:sz w:val="21"/>
                <w:szCs w:val="21"/>
              </w:rPr>
              <w:t>停止或者结束</w:t>
            </w:r>
          </w:p>
        </w:tc>
        <w:tc>
          <w:tcPr>
            <w:tcW w:w="3265" w:type="dxa"/>
            <w:tcBorders>
              <w:top w:val="single" w:color="auto" w:sz="4" w:space="0"/>
              <w:left w:val="single" w:color="auto" w:sz="4" w:space="0"/>
              <w:bottom w:val="single" w:color="auto" w:sz="4" w:space="0"/>
              <w:right w:val="single" w:color="auto" w:sz="4" w:space="0"/>
            </w:tcBorders>
            <w:vAlign w:val="center"/>
          </w:tcPr>
          <w:p w14:paraId="293E6D5F">
            <w:pPr>
              <w:spacing w:after="0" w:line="360" w:lineRule="exact"/>
              <w:jc w:val="center"/>
              <w:rPr>
                <w:rFonts w:ascii="宋体" w:hAnsi="宋体" w:cs="宋体"/>
                <w:sz w:val="21"/>
                <w:szCs w:val="21"/>
              </w:rPr>
            </w:pPr>
            <w:r>
              <w:rPr>
                <w:rFonts w:hint="eastAsia" w:ascii="宋体" w:hAnsi="宋体" w:cs="宋体"/>
                <w:sz w:val="21"/>
                <w:szCs w:val="21"/>
              </w:rPr>
              <w:t>红色</w:t>
            </w:r>
          </w:p>
        </w:tc>
        <w:tc>
          <w:tcPr>
            <w:tcW w:w="3266" w:type="dxa"/>
            <w:tcBorders>
              <w:top w:val="single" w:color="auto" w:sz="4" w:space="0"/>
              <w:left w:val="single" w:color="auto" w:sz="4" w:space="0"/>
              <w:bottom w:val="single" w:color="auto" w:sz="4" w:space="0"/>
              <w:right w:val="single" w:color="auto" w:sz="4" w:space="0"/>
            </w:tcBorders>
            <w:vAlign w:val="center"/>
          </w:tcPr>
          <w:p w14:paraId="731D4785">
            <w:pPr>
              <w:spacing w:after="0" w:line="360" w:lineRule="exact"/>
              <w:jc w:val="center"/>
              <w:rPr>
                <w:rFonts w:ascii="宋体" w:hAnsi="宋体" w:cs="宋体"/>
                <w:sz w:val="21"/>
                <w:szCs w:val="21"/>
              </w:rPr>
            </w:pPr>
          </w:p>
        </w:tc>
      </w:tr>
      <w:tr w14:paraId="3EB94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77" w:type="dxa"/>
            <w:tcBorders>
              <w:top w:val="single" w:color="auto" w:sz="4" w:space="0"/>
              <w:left w:val="single" w:color="auto" w:sz="4" w:space="0"/>
              <w:bottom w:val="single" w:color="auto" w:sz="4" w:space="0"/>
              <w:right w:val="single" w:color="auto" w:sz="4" w:space="0"/>
            </w:tcBorders>
            <w:shd w:val="clear" w:color="auto" w:fill="D9E2F3" w:themeFill="accent5" w:themeFillTint="33"/>
            <w:vAlign w:val="center"/>
          </w:tcPr>
          <w:p w14:paraId="2C27A584">
            <w:pPr>
              <w:spacing w:after="0" w:line="360" w:lineRule="exact"/>
              <w:jc w:val="center"/>
              <w:rPr>
                <w:rFonts w:ascii="宋体" w:hAnsi="宋体" w:cs="宋体"/>
                <w:sz w:val="21"/>
                <w:szCs w:val="21"/>
              </w:rPr>
            </w:pPr>
            <w:r>
              <w:rPr>
                <w:rFonts w:hint="eastAsia" w:ascii="宋体" w:hAnsi="宋体" w:cs="宋体"/>
                <w:sz w:val="21"/>
                <w:szCs w:val="21"/>
              </w:rPr>
              <w:t>紧急停止</w:t>
            </w:r>
          </w:p>
        </w:tc>
        <w:tc>
          <w:tcPr>
            <w:tcW w:w="3265" w:type="dxa"/>
            <w:tcBorders>
              <w:top w:val="single" w:color="auto" w:sz="4" w:space="0"/>
              <w:left w:val="single" w:color="auto" w:sz="4" w:space="0"/>
              <w:bottom w:val="single" w:color="auto" w:sz="4" w:space="0"/>
              <w:right w:val="single" w:color="auto" w:sz="4" w:space="0"/>
            </w:tcBorders>
            <w:vAlign w:val="center"/>
          </w:tcPr>
          <w:p w14:paraId="3EB447EB">
            <w:pPr>
              <w:spacing w:after="0" w:line="360" w:lineRule="exact"/>
              <w:jc w:val="center"/>
              <w:rPr>
                <w:rFonts w:ascii="宋体" w:hAnsi="宋体" w:cs="宋体"/>
                <w:sz w:val="21"/>
                <w:szCs w:val="21"/>
              </w:rPr>
            </w:pPr>
            <w:r>
              <w:rPr>
                <w:rFonts w:hint="eastAsia" w:ascii="宋体" w:hAnsi="宋体" w:cs="宋体"/>
                <w:sz w:val="21"/>
                <w:szCs w:val="21"/>
              </w:rPr>
              <w:t>红色</w:t>
            </w:r>
          </w:p>
        </w:tc>
        <w:tc>
          <w:tcPr>
            <w:tcW w:w="3266" w:type="dxa"/>
            <w:tcBorders>
              <w:top w:val="single" w:color="auto" w:sz="4" w:space="0"/>
              <w:left w:val="single" w:color="auto" w:sz="4" w:space="0"/>
              <w:bottom w:val="single" w:color="auto" w:sz="4" w:space="0"/>
              <w:right w:val="single" w:color="auto" w:sz="4" w:space="0"/>
            </w:tcBorders>
            <w:vAlign w:val="center"/>
          </w:tcPr>
          <w:p w14:paraId="19794E68">
            <w:pPr>
              <w:spacing w:after="0" w:line="360" w:lineRule="exact"/>
              <w:jc w:val="center"/>
              <w:rPr>
                <w:rFonts w:ascii="宋体" w:hAnsi="宋体" w:cs="宋体"/>
                <w:sz w:val="21"/>
                <w:szCs w:val="21"/>
              </w:rPr>
            </w:pPr>
            <w:r>
              <w:rPr>
                <w:rFonts w:hint="eastAsia" w:ascii="宋体" w:hAnsi="宋体" w:cs="宋体"/>
                <w:sz w:val="21"/>
                <w:szCs w:val="21"/>
              </w:rPr>
              <w:t>蘑菇头按钮</w:t>
            </w:r>
          </w:p>
        </w:tc>
      </w:tr>
      <w:tr w14:paraId="27CB8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77" w:type="dxa"/>
            <w:tcBorders>
              <w:top w:val="single" w:color="auto" w:sz="4" w:space="0"/>
              <w:left w:val="single" w:color="auto" w:sz="4" w:space="0"/>
              <w:bottom w:val="single" w:color="auto" w:sz="4" w:space="0"/>
              <w:right w:val="single" w:color="auto" w:sz="4" w:space="0"/>
            </w:tcBorders>
            <w:shd w:val="clear" w:color="auto" w:fill="D9E2F3" w:themeFill="accent5" w:themeFillTint="33"/>
            <w:vAlign w:val="center"/>
          </w:tcPr>
          <w:p w14:paraId="2F827088">
            <w:pPr>
              <w:spacing w:after="0" w:line="360" w:lineRule="exact"/>
              <w:jc w:val="center"/>
              <w:rPr>
                <w:rFonts w:ascii="宋体" w:hAnsi="宋体" w:cs="宋体"/>
                <w:sz w:val="21"/>
                <w:szCs w:val="21"/>
              </w:rPr>
            </w:pPr>
            <w:r>
              <w:rPr>
                <w:rFonts w:hint="eastAsia" w:ascii="宋体" w:hAnsi="宋体" w:cs="宋体"/>
                <w:sz w:val="21"/>
                <w:szCs w:val="21"/>
              </w:rPr>
              <w:t>选择开关</w:t>
            </w:r>
          </w:p>
        </w:tc>
        <w:tc>
          <w:tcPr>
            <w:tcW w:w="3265" w:type="dxa"/>
            <w:tcBorders>
              <w:top w:val="single" w:color="auto" w:sz="4" w:space="0"/>
              <w:left w:val="single" w:color="auto" w:sz="4" w:space="0"/>
              <w:bottom w:val="single" w:color="auto" w:sz="4" w:space="0"/>
              <w:right w:val="single" w:color="auto" w:sz="4" w:space="0"/>
            </w:tcBorders>
            <w:vAlign w:val="center"/>
          </w:tcPr>
          <w:p w14:paraId="374DA5D6">
            <w:pPr>
              <w:spacing w:after="0" w:line="360" w:lineRule="exact"/>
              <w:jc w:val="center"/>
              <w:rPr>
                <w:rFonts w:ascii="宋体" w:hAnsi="宋体" w:cs="宋体"/>
                <w:sz w:val="21"/>
                <w:szCs w:val="21"/>
              </w:rPr>
            </w:pPr>
            <w:r>
              <w:rPr>
                <w:rFonts w:hint="eastAsia" w:ascii="宋体" w:hAnsi="宋体" w:cs="宋体"/>
                <w:sz w:val="21"/>
                <w:szCs w:val="21"/>
              </w:rPr>
              <w:t>黑色</w:t>
            </w:r>
          </w:p>
        </w:tc>
        <w:tc>
          <w:tcPr>
            <w:tcW w:w="3266" w:type="dxa"/>
            <w:tcBorders>
              <w:top w:val="single" w:color="auto" w:sz="4" w:space="0"/>
              <w:left w:val="single" w:color="auto" w:sz="4" w:space="0"/>
              <w:bottom w:val="single" w:color="auto" w:sz="4" w:space="0"/>
              <w:right w:val="single" w:color="auto" w:sz="4" w:space="0"/>
            </w:tcBorders>
            <w:vAlign w:val="center"/>
          </w:tcPr>
          <w:p w14:paraId="6BBD6408">
            <w:pPr>
              <w:spacing w:after="0" w:line="360" w:lineRule="exact"/>
              <w:jc w:val="center"/>
              <w:rPr>
                <w:rFonts w:ascii="宋体" w:hAnsi="宋体" w:cs="宋体"/>
                <w:sz w:val="21"/>
                <w:szCs w:val="21"/>
              </w:rPr>
            </w:pPr>
          </w:p>
        </w:tc>
      </w:tr>
    </w:tbl>
    <w:p w14:paraId="724943B6">
      <w:pPr>
        <w:numPr>
          <w:ilvl w:val="0"/>
          <w:numId w:val="0"/>
        </w:numPr>
        <w:spacing w:after="0" w:line="360" w:lineRule="exact"/>
        <w:ind w:left="142" w:leftChars="0"/>
        <w:contextualSpacing/>
      </w:pPr>
      <w:r>
        <w:rPr>
          <w:rFonts w:hint="eastAsia"/>
          <w:lang w:val="en-US" w:eastAsia="zh-CN"/>
        </w:rPr>
        <w:t>2.6.13</w:t>
      </w:r>
      <w:r>
        <w:rPr>
          <w:rFonts w:hint="eastAsia"/>
        </w:rPr>
        <w:t>指示元件</w:t>
      </w:r>
    </w:p>
    <w:p w14:paraId="094CD518">
      <w:pPr>
        <w:widowControl/>
        <w:numPr>
          <w:ilvl w:val="1"/>
          <w:numId w:val="31"/>
        </w:numPr>
        <w:spacing w:after="0" w:line="360" w:lineRule="exact"/>
        <w:ind w:left="851" w:hanging="425"/>
        <w:rPr>
          <w:rFonts w:ascii="宋体" w:hAnsi="宋体" w:cs="宋体"/>
        </w:rPr>
      </w:pPr>
      <w:r>
        <w:rPr>
          <w:rFonts w:hint="eastAsia" w:ascii="宋体" w:hAnsi="宋体" w:cs="宋体"/>
        </w:rPr>
        <w:t>指示灯符合下表规定要求</w:t>
      </w:r>
    </w:p>
    <w:tbl>
      <w:tblPr>
        <w:tblStyle w:val="42"/>
        <w:tblW w:w="0" w:type="auto"/>
        <w:tblInd w:w="9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2"/>
        <w:gridCol w:w="2548"/>
        <w:gridCol w:w="3069"/>
      </w:tblGrid>
      <w:tr w14:paraId="7D9EF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tcBorders>
              <w:top w:val="single" w:color="auto" w:sz="4" w:space="0"/>
              <w:left w:val="single" w:color="auto" w:sz="4" w:space="0"/>
              <w:bottom w:val="single" w:color="auto" w:sz="4" w:space="0"/>
              <w:right w:val="single" w:color="auto" w:sz="4" w:space="0"/>
            </w:tcBorders>
            <w:shd w:val="clear" w:color="auto" w:fill="D9E2F3" w:themeFill="accent5" w:themeFillTint="33"/>
            <w:vAlign w:val="center"/>
          </w:tcPr>
          <w:p w14:paraId="2058C18B">
            <w:pPr>
              <w:spacing w:after="0" w:line="360" w:lineRule="exact"/>
              <w:jc w:val="center"/>
              <w:rPr>
                <w:rFonts w:ascii="宋体" w:hAnsi="宋体" w:cs="宋体"/>
                <w:b/>
                <w:bCs/>
                <w:sz w:val="21"/>
                <w:szCs w:val="21"/>
              </w:rPr>
            </w:pPr>
            <w:r>
              <w:rPr>
                <w:rFonts w:hint="eastAsia" w:ascii="宋体" w:hAnsi="宋体" w:cs="宋体"/>
                <w:b/>
                <w:bCs/>
                <w:sz w:val="21"/>
                <w:szCs w:val="21"/>
              </w:rPr>
              <w:t>指示灯类别</w:t>
            </w:r>
          </w:p>
        </w:tc>
        <w:tc>
          <w:tcPr>
            <w:tcW w:w="2707" w:type="dxa"/>
            <w:tcBorders>
              <w:top w:val="single" w:color="auto" w:sz="4" w:space="0"/>
              <w:left w:val="single" w:color="auto" w:sz="4" w:space="0"/>
              <w:bottom w:val="single" w:color="auto" w:sz="4" w:space="0"/>
              <w:right w:val="single" w:color="auto" w:sz="4" w:space="0"/>
            </w:tcBorders>
            <w:shd w:val="clear" w:color="auto" w:fill="D9E2F3" w:themeFill="accent5" w:themeFillTint="33"/>
            <w:vAlign w:val="center"/>
          </w:tcPr>
          <w:p w14:paraId="54CAB308">
            <w:pPr>
              <w:spacing w:after="0" w:line="360" w:lineRule="exact"/>
              <w:jc w:val="center"/>
              <w:rPr>
                <w:rFonts w:ascii="宋体" w:hAnsi="宋体" w:cs="宋体"/>
                <w:b/>
                <w:bCs/>
                <w:sz w:val="21"/>
                <w:szCs w:val="21"/>
              </w:rPr>
            </w:pPr>
            <w:r>
              <w:rPr>
                <w:rFonts w:hint="eastAsia" w:ascii="宋体" w:hAnsi="宋体" w:cs="宋体"/>
                <w:b/>
                <w:bCs/>
                <w:sz w:val="21"/>
                <w:szCs w:val="21"/>
              </w:rPr>
              <w:t>颜色</w:t>
            </w:r>
          </w:p>
        </w:tc>
        <w:tc>
          <w:tcPr>
            <w:tcW w:w="3266" w:type="dxa"/>
            <w:tcBorders>
              <w:top w:val="single" w:color="auto" w:sz="4" w:space="0"/>
              <w:left w:val="single" w:color="auto" w:sz="4" w:space="0"/>
              <w:bottom w:val="single" w:color="auto" w:sz="4" w:space="0"/>
              <w:right w:val="single" w:color="auto" w:sz="4" w:space="0"/>
            </w:tcBorders>
            <w:shd w:val="clear" w:color="auto" w:fill="D9E2F3" w:themeFill="accent5" w:themeFillTint="33"/>
            <w:vAlign w:val="center"/>
          </w:tcPr>
          <w:p w14:paraId="0BA6152C">
            <w:pPr>
              <w:spacing w:after="0" w:line="360" w:lineRule="exact"/>
              <w:jc w:val="center"/>
              <w:rPr>
                <w:rFonts w:ascii="宋体" w:hAnsi="宋体" w:cs="宋体"/>
                <w:b/>
                <w:bCs/>
                <w:sz w:val="21"/>
                <w:szCs w:val="21"/>
              </w:rPr>
            </w:pPr>
            <w:r>
              <w:rPr>
                <w:rFonts w:hint="eastAsia" w:ascii="宋体" w:hAnsi="宋体" w:cs="宋体"/>
                <w:b/>
                <w:bCs/>
                <w:sz w:val="21"/>
                <w:szCs w:val="21"/>
              </w:rPr>
              <w:t>备注</w:t>
            </w:r>
          </w:p>
        </w:tc>
      </w:tr>
      <w:tr w14:paraId="5F5AF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tcBorders>
              <w:top w:val="single" w:color="auto" w:sz="4" w:space="0"/>
              <w:left w:val="single" w:color="auto" w:sz="4" w:space="0"/>
              <w:bottom w:val="single" w:color="auto" w:sz="4" w:space="0"/>
              <w:right w:val="single" w:color="auto" w:sz="4" w:space="0"/>
            </w:tcBorders>
            <w:shd w:val="clear" w:color="auto" w:fill="D9E2F3" w:themeFill="accent5" w:themeFillTint="33"/>
            <w:vAlign w:val="center"/>
          </w:tcPr>
          <w:p w14:paraId="51554DEA">
            <w:pPr>
              <w:spacing w:after="0" w:line="360" w:lineRule="exact"/>
              <w:jc w:val="center"/>
              <w:rPr>
                <w:rFonts w:ascii="宋体" w:hAnsi="宋体" w:cs="宋体"/>
                <w:sz w:val="21"/>
                <w:szCs w:val="21"/>
              </w:rPr>
            </w:pPr>
            <w:r>
              <w:rPr>
                <w:rFonts w:hint="eastAsia" w:ascii="宋体" w:hAnsi="宋体" w:cs="宋体"/>
                <w:sz w:val="21"/>
                <w:szCs w:val="21"/>
              </w:rPr>
              <w:t>电源接通，PLC工作</w:t>
            </w:r>
          </w:p>
        </w:tc>
        <w:tc>
          <w:tcPr>
            <w:tcW w:w="2707" w:type="dxa"/>
            <w:tcBorders>
              <w:top w:val="single" w:color="auto" w:sz="4" w:space="0"/>
              <w:left w:val="single" w:color="auto" w:sz="4" w:space="0"/>
              <w:bottom w:val="single" w:color="auto" w:sz="4" w:space="0"/>
              <w:right w:val="single" w:color="auto" w:sz="4" w:space="0"/>
            </w:tcBorders>
            <w:vAlign w:val="center"/>
          </w:tcPr>
          <w:p w14:paraId="616AC5C8">
            <w:pPr>
              <w:spacing w:after="0" w:line="360" w:lineRule="exact"/>
              <w:jc w:val="center"/>
              <w:rPr>
                <w:rFonts w:ascii="宋体" w:hAnsi="宋体" w:cs="宋体"/>
                <w:sz w:val="21"/>
                <w:szCs w:val="21"/>
              </w:rPr>
            </w:pPr>
            <w:r>
              <w:rPr>
                <w:rFonts w:hint="eastAsia" w:ascii="宋体" w:hAnsi="宋体" w:cs="宋体"/>
                <w:sz w:val="21"/>
                <w:szCs w:val="21"/>
              </w:rPr>
              <w:t>白色</w:t>
            </w:r>
          </w:p>
        </w:tc>
        <w:tc>
          <w:tcPr>
            <w:tcW w:w="3266" w:type="dxa"/>
            <w:tcBorders>
              <w:top w:val="single" w:color="auto" w:sz="4" w:space="0"/>
              <w:left w:val="single" w:color="auto" w:sz="4" w:space="0"/>
              <w:bottom w:val="single" w:color="auto" w:sz="4" w:space="0"/>
              <w:right w:val="single" w:color="auto" w:sz="4" w:space="0"/>
            </w:tcBorders>
            <w:vAlign w:val="center"/>
          </w:tcPr>
          <w:p w14:paraId="495E955A">
            <w:pPr>
              <w:spacing w:after="0" w:line="360" w:lineRule="exact"/>
              <w:jc w:val="center"/>
              <w:rPr>
                <w:rFonts w:ascii="宋体" w:hAnsi="宋体" w:cs="宋体"/>
                <w:sz w:val="21"/>
                <w:szCs w:val="21"/>
              </w:rPr>
            </w:pPr>
          </w:p>
        </w:tc>
      </w:tr>
      <w:tr w14:paraId="35D3C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tcBorders>
              <w:top w:val="single" w:color="auto" w:sz="4" w:space="0"/>
              <w:left w:val="single" w:color="auto" w:sz="4" w:space="0"/>
              <w:bottom w:val="single" w:color="auto" w:sz="4" w:space="0"/>
              <w:right w:val="single" w:color="auto" w:sz="4" w:space="0"/>
            </w:tcBorders>
            <w:shd w:val="clear" w:color="auto" w:fill="D9E2F3" w:themeFill="accent5" w:themeFillTint="33"/>
            <w:vAlign w:val="center"/>
          </w:tcPr>
          <w:p w14:paraId="16E86439">
            <w:pPr>
              <w:spacing w:after="0" w:line="360" w:lineRule="exact"/>
              <w:jc w:val="center"/>
              <w:rPr>
                <w:rFonts w:ascii="宋体" w:hAnsi="宋体" w:cs="宋体"/>
                <w:sz w:val="21"/>
                <w:szCs w:val="21"/>
              </w:rPr>
            </w:pPr>
            <w:r>
              <w:rPr>
                <w:rFonts w:hint="eastAsia" w:ascii="宋体" w:hAnsi="宋体" w:cs="宋体"/>
                <w:sz w:val="21"/>
                <w:szCs w:val="21"/>
              </w:rPr>
              <w:t>急停，手动控制，故障</w:t>
            </w:r>
          </w:p>
        </w:tc>
        <w:tc>
          <w:tcPr>
            <w:tcW w:w="2707" w:type="dxa"/>
            <w:tcBorders>
              <w:top w:val="single" w:color="auto" w:sz="4" w:space="0"/>
              <w:left w:val="single" w:color="auto" w:sz="4" w:space="0"/>
              <w:bottom w:val="single" w:color="auto" w:sz="4" w:space="0"/>
              <w:right w:val="single" w:color="auto" w:sz="4" w:space="0"/>
            </w:tcBorders>
            <w:vAlign w:val="center"/>
          </w:tcPr>
          <w:p w14:paraId="6F3DFD72">
            <w:pPr>
              <w:spacing w:after="0" w:line="360" w:lineRule="exact"/>
              <w:jc w:val="center"/>
              <w:rPr>
                <w:rFonts w:ascii="宋体" w:hAnsi="宋体" w:cs="宋体"/>
                <w:sz w:val="21"/>
                <w:szCs w:val="21"/>
              </w:rPr>
            </w:pPr>
            <w:r>
              <w:rPr>
                <w:rFonts w:hint="eastAsia" w:ascii="宋体" w:hAnsi="宋体" w:cs="宋体"/>
                <w:sz w:val="21"/>
                <w:szCs w:val="21"/>
              </w:rPr>
              <w:t>红色</w:t>
            </w:r>
          </w:p>
        </w:tc>
        <w:tc>
          <w:tcPr>
            <w:tcW w:w="3266" w:type="dxa"/>
            <w:tcBorders>
              <w:top w:val="single" w:color="auto" w:sz="4" w:space="0"/>
              <w:left w:val="single" w:color="auto" w:sz="4" w:space="0"/>
              <w:bottom w:val="single" w:color="auto" w:sz="4" w:space="0"/>
              <w:right w:val="single" w:color="auto" w:sz="4" w:space="0"/>
            </w:tcBorders>
            <w:vAlign w:val="center"/>
          </w:tcPr>
          <w:p w14:paraId="1DF7F7CA">
            <w:pPr>
              <w:spacing w:after="0" w:line="360" w:lineRule="exact"/>
              <w:jc w:val="center"/>
              <w:rPr>
                <w:rFonts w:ascii="宋体" w:hAnsi="宋体" w:cs="宋体"/>
                <w:sz w:val="21"/>
                <w:szCs w:val="21"/>
              </w:rPr>
            </w:pPr>
          </w:p>
        </w:tc>
      </w:tr>
      <w:tr w14:paraId="7A48A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tcBorders>
              <w:top w:val="single" w:color="auto" w:sz="4" w:space="0"/>
              <w:left w:val="single" w:color="auto" w:sz="4" w:space="0"/>
              <w:bottom w:val="single" w:color="auto" w:sz="4" w:space="0"/>
              <w:right w:val="single" w:color="auto" w:sz="4" w:space="0"/>
            </w:tcBorders>
            <w:shd w:val="clear" w:color="auto" w:fill="D9E2F3" w:themeFill="accent5" w:themeFillTint="33"/>
            <w:vAlign w:val="center"/>
          </w:tcPr>
          <w:p w14:paraId="791709EC">
            <w:pPr>
              <w:spacing w:after="0" w:line="360" w:lineRule="exact"/>
              <w:jc w:val="center"/>
              <w:rPr>
                <w:rFonts w:ascii="宋体" w:hAnsi="宋体" w:cs="宋体"/>
                <w:sz w:val="21"/>
                <w:szCs w:val="21"/>
              </w:rPr>
            </w:pPr>
            <w:r>
              <w:rPr>
                <w:rFonts w:hint="eastAsia" w:ascii="宋体" w:hAnsi="宋体" w:cs="宋体"/>
                <w:sz w:val="21"/>
                <w:szCs w:val="21"/>
              </w:rPr>
              <w:t>设备正常运行</w:t>
            </w:r>
          </w:p>
        </w:tc>
        <w:tc>
          <w:tcPr>
            <w:tcW w:w="2707" w:type="dxa"/>
            <w:tcBorders>
              <w:top w:val="single" w:color="auto" w:sz="4" w:space="0"/>
              <w:left w:val="single" w:color="auto" w:sz="4" w:space="0"/>
              <w:bottom w:val="single" w:color="auto" w:sz="4" w:space="0"/>
              <w:right w:val="single" w:color="auto" w:sz="4" w:space="0"/>
            </w:tcBorders>
            <w:vAlign w:val="center"/>
          </w:tcPr>
          <w:p w14:paraId="0BABACF5">
            <w:pPr>
              <w:spacing w:after="0" w:line="360" w:lineRule="exact"/>
              <w:jc w:val="center"/>
              <w:rPr>
                <w:rFonts w:ascii="宋体" w:hAnsi="宋体" w:cs="宋体"/>
                <w:sz w:val="21"/>
                <w:szCs w:val="21"/>
              </w:rPr>
            </w:pPr>
            <w:r>
              <w:rPr>
                <w:rFonts w:hint="eastAsia" w:ascii="宋体" w:hAnsi="宋体" w:cs="宋体"/>
                <w:sz w:val="21"/>
                <w:szCs w:val="21"/>
              </w:rPr>
              <w:t>绿色</w:t>
            </w:r>
          </w:p>
        </w:tc>
        <w:tc>
          <w:tcPr>
            <w:tcW w:w="3266" w:type="dxa"/>
            <w:tcBorders>
              <w:top w:val="single" w:color="auto" w:sz="4" w:space="0"/>
              <w:left w:val="single" w:color="auto" w:sz="4" w:space="0"/>
              <w:bottom w:val="single" w:color="auto" w:sz="4" w:space="0"/>
              <w:right w:val="single" w:color="auto" w:sz="4" w:space="0"/>
            </w:tcBorders>
            <w:vAlign w:val="center"/>
          </w:tcPr>
          <w:p w14:paraId="77724113">
            <w:pPr>
              <w:spacing w:after="0" w:line="360" w:lineRule="exact"/>
              <w:jc w:val="center"/>
              <w:rPr>
                <w:rFonts w:ascii="宋体" w:hAnsi="宋体" w:cs="宋体"/>
                <w:sz w:val="21"/>
                <w:szCs w:val="21"/>
              </w:rPr>
            </w:pPr>
          </w:p>
        </w:tc>
      </w:tr>
    </w:tbl>
    <w:p w14:paraId="3E26F07A">
      <w:pPr>
        <w:widowControl/>
        <w:numPr>
          <w:ilvl w:val="1"/>
          <w:numId w:val="31"/>
        </w:numPr>
        <w:spacing w:after="0" w:line="360" w:lineRule="exact"/>
        <w:ind w:left="851" w:hanging="425"/>
        <w:rPr>
          <w:rFonts w:ascii="宋体" w:hAnsi="宋体" w:cs="宋体"/>
        </w:rPr>
      </w:pPr>
      <w:r>
        <w:rPr>
          <w:rFonts w:hint="eastAsia" w:ascii="宋体" w:hAnsi="宋体" w:cs="宋体"/>
        </w:rPr>
        <w:t>报警灯符合下表规定要求</w:t>
      </w:r>
    </w:p>
    <w:tbl>
      <w:tblPr>
        <w:tblStyle w:val="42"/>
        <w:tblW w:w="0" w:type="auto"/>
        <w:tblInd w:w="9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87"/>
        <w:gridCol w:w="4612"/>
      </w:tblGrid>
      <w:tr w14:paraId="6B96B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10" w:type="dxa"/>
            <w:tcBorders>
              <w:top w:val="single" w:color="auto" w:sz="4" w:space="0"/>
              <w:left w:val="single" w:color="auto" w:sz="4" w:space="0"/>
              <w:bottom w:val="single" w:color="auto" w:sz="4" w:space="0"/>
              <w:right w:val="single" w:color="auto" w:sz="4" w:space="0"/>
            </w:tcBorders>
            <w:shd w:val="clear" w:color="auto" w:fill="D9E2F3" w:themeFill="accent5" w:themeFillTint="33"/>
            <w:vAlign w:val="center"/>
          </w:tcPr>
          <w:p w14:paraId="4F2885F9">
            <w:pPr>
              <w:spacing w:after="0" w:line="360" w:lineRule="exact"/>
              <w:jc w:val="center"/>
              <w:rPr>
                <w:rFonts w:ascii="宋体" w:hAnsi="宋体" w:cs="宋体"/>
                <w:b/>
                <w:bCs/>
                <w:sz w:val="21"/>
                <w:szCs w:val="21"/>
              </w:rPr>
            </w:pPr>
            <w:r>
              <w:rPr>
                <w:rFonts w:hint="eastAsia" w:ascii="宋体" w:hAnsi="宋体" w:cs="宋体"/>
                <w:b/>
                <w:bCs/>
                <w:sz w:val="21"/>
                <w:szCs w:val="21"/>
              </w:rPr>
              <w:t>颜色</w:t>
            </w:r>
          </w:p>
        </w:tc>
        <w:tc>
          <w:tcPr>
            <w:tcW w:w="4898" w:type="dxa"/>
            <w:tcBorders>
              <w:top w:val="single" w:color="auto" w:sz="4" w:space="0"/>
              <w:left w:val="single" w:color="auto" w:sz="4" w:space="0"/>
              <w:bottom w:val="single" w:color="auto" w:sz="4" w:space="0"/>
              <w:right w:val="single" w:color="auto" w:sz="4" w:space="0"/>
            </w:tcBorders>
            <w:shd w:val="clear" w:color="auto" w:fill="D9E2F3" w:themeFill="accent5" w:themeFillTint="33"/>
            <w:vAlign w:val="center"/>
          </w:tcPr>
          <w:p w14:paraId="227A2283">
            <w:pPr>
              <w:spacing w:after="0" w:line="360" w:lineRule="exact"/>
              <w:jc w:val="center"/>
              <w:rPr>
                <w:rFonts w:ascii="宋体" w:hAnsi="宋体" w:cs="宋体"/>
                <w:b/>
                <w:bCs/>
                <w:sz w:val="21"/>
                <w:szCs w:val="21"/>
              </w:rPr>
            </w:pPr>
            <w:r>
              <w:rPr>
                <w:rFonts w:hint="eastAsia" w:ascii="宋体" w:hAnsi="宋体" w:cs="宋体"/>
                <w:b/>
                <w:bCs/>
                <w:sz w:val="21"/>
                <w:szCs w:val="21"/>
              </w:rPr>
              <w:t>条件</w:t>
            </w:r>
          </w:p>
        </w:tc>
      </w:tr>
      <w:tr w14:paraId="692C9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10" w:type="dxa"/>
            <w:tcBorders>
              <w:top w:val="single" w:color="auto" w:sz="4" w:space="0"/>
              <w:left w:val="single" w:color="auto" w:sz="4" w:space="0"/>
              <w:bottom w:val="single" w:color="auto" w:sz="4" w:space="0"/>
              <w:right w:val="single" w:color="auto" w:sz="4" w:space="0"/>
            </w:tcBorders>
            <w:vAlign w:val="center"/>
          </w:tcPr>
          <w:p w14:paraId="2F84B451">
            <w:pPr>
              <w:spacing w:after="0" w:line="360" w:lineRule="exact"/>
              <w:jc w:val="center"/>
              <w:rPr>
                <w:rFonts w:ascii="宋体" w:hAnsi="宋体" w:cs="宋体"/>
                <w:sz w:val="21"/>
                <w:szCs w:val="21"/>
              </w:rPr>
            </w:pPr>
            <w:r>
              <w:rPr>
                <w:rFonts w:hint="eastAsia" w:ascii="宋体" w:hAnsi="宋体" w:cs="宋体"/>
                <w:sz w:val="21"/>
                <w:szCs w:val="21"/>
              </w:rPr>
              <w:t>三色</w:t>
            </w:r>
          </w:p>
        </w:tc>
        <w:tc>
          <w:tcPr>
            <w:tcW w:w="4898" w:type="dxa"/>
            <w:tcBorders>
              <w:top w:val="single" w:color="auto" w:sz="4" w:space="0"/>
              <w:left w:val="single" w:color="auto" w:sz="4" w:space="0"/>
              <w:bottom w:val="single" w:color="auto" w:sz="4" w:space="0"/>
              <w:right w:val="single" w:color="auto" w:sz="4" w:space="0"/>
            </w:tcBorders>
            <w:vAlign w:val="center"/>
          </w:tcPr>
          <w:p w14:paraId="135947AE">
            <w:pPr>
              <w:spacing w:after="0" w:line="360" w:lineRule="exact"/>
              <w:jc w:val="center"/>
              <w:rPr>
                <w:rFonts w:ascii="宋体" w:hAnsi="宋体" w:cs="宋体"/>
                <w:sz w:val="21"/>
                <w:szCs w:val="21"/>
              </w:rPr>
            </w:pPr>
            <w:r>
              <w:rPr>
                <w:rFonts w:hint="eastAsia" w:ascii="宋体" w:hAnsi="宋体" w:cs="宋体"/>
                <w:sz w:val="21"/>
                <w:szCs w:val="21"/>
              </w:rPr>
              <w:t>设备运行故障/正常/警告状态</w:t>
            </w:r>
          </w:p>
        </w:tc>
      </w:tr>
    </w:tbl>
    <w:p w14:paraId="45B3B0EB">
      <w:pPr>
        <w:numPr>
          <w:ilvl w:val="0"/>
          <w:numId w:val="0"/>
        </w:numPr>
        <w:spacing w:after="0" w:line="360" w:lineRule="exact"/>
        <w:ind w:left="142" w:leftChars="0"/>
        <w:contextualSpacing/>
      </w:pPr>
      <w:r>
        <w:rPr>
          <w:rFonts w:hint="eastAsia"/>
          <w:lang w:val="en-US" w:eastAsia="zh-CN"/>
        </w:rPr>
        <w:t>2.6.14</w:t>
      </w:r>
      <w:r>
        <w:rPr>
          <w:rFonts w:hint="eastAsia"/>
        </w:rPr>
        <w:t>控制柜、现场操作站</w:t>
      </w:r>
    </w:p>
    <w:p w14:paraId="136F9542">
      <w:pPr>
        <w:widowControl/>
        <w:numPr>
          <w:ilvl w:val="0"/>
          <w:numId w:val="32"/>
        </w:numPr>
        <w:spacing w:after="0" w:line="360" w:lineRule="exact"/>
        <w:rPr>
          <w:rFonts w:ascii="宋体" w:hAnsi="宋体" w:cs="宋体"/>
        </w:rPr>
      </w:pPr>
      <w:r>
        <w:rPr>
          <w:rFonts w:hint="eastAsia" w:ascii="宋体" w:hAnsi="宋体" w:cs="宋体"/>
        </w:rPr>
        <w:t>控制柜技术要求：</w:t>
      </w:r>
    </w:p>
    <w:p w14:paraId="6CE971DF">
      <w:pPr>
        <w:widowControl/>
        <w:numPr>
          <w:ilvl w:val="0"/>
          <w:numId w:val="33"/>
        </w:numPr>
        <w:spacing w:after="0" w:line="360" w:lineRule="exact"/>
        <w:ind w:left="993" w:hanging="284"/>
        <w:jc w:val="both"/>
        <w:rPr>
          <w:rFonts w:ascii="宋体" w:hAnsi="宋体" w:cs="宋体"/>
        </w:rPr>
      </w:pPr>
      <w:r>
        <w:rPr>
          <w:rFonts w:hint="eastAsia" w:ascii="宋体" w:hAnsi="宋体" w:cs="宋体"/>
        </w:rPr>
        <w:t>采用组合式标准电柜；颜色为灰色 RAL7035；安装板为镀白锌板。</w:t>
      </w:r>
    </w:p>
    <w:p w14:paraId="1B083F5B">
      <w:pPr>
        <w:widowControl/>
        <w:numPr>
          <w:ilvl w:val="0"/>
          <w:numId w:val="33"/>
        </w:numPr>
        <w:spacing w:after="0" w:line="360" w:lineRule="exact"/>
        <w:ind w:left="993" w:hanging="284"/>
        <w:jc w:val="both"/>
        <w:rPr>
          <w:rFonts w:ascii="宋体" w:hAnsi="宋体" w:cs="宋体"/>
        </w:rPr>
      </w:pPr>
      <w:r>
        <w:rPr>
          <w:rFonts w:hint="eastAsia" w:ascii="宋体" w:hAnsi="宋体" w:cs="宋体"/>
        </w:rPr>
        <w:t>每个柜子配安装底座，底座采用厚度不小于 2.0mm 的钢板折弯成型，颜色采用黑色。</w:t>
      </w:r>
    </w:p>
    <w:p w14:paraId="76DB57E2">
      <w:pPr>
        <w:widowControl/>
        <w:numPr>
          <w:ilvl w:val="0"/>
          <w:numId w:val="33"/>
        </w:numPr>
        <w:spacing w:after="0" w:line="360" w:lineRule="exact"/>
        <w:ind w:left="993" w:hanging="284"/>
        <w:jc w:val="both"/>
        <w:rPr>
          <w:rFonts w:ascii="宋体" w:hAnsi="宋体" w:cs="宋体"/>
        </w:rPr>
      </w:pPr>
      <w:r>
        <w:rPr>
          <w:rFonts w:hint="eastAsia" w:ascii="宋体" w:hAnsi="宋体" w:cs="宋体"/>
        </w:rPr>
        <w:t>控制柜必须采用橡胶密封处理，电柜的防护等级达到IP5X，满足车间环境要求。</w:t>
      </w:r>
    </w:p>
    <w:p w14:paraId="1C09ED43">
      <w:pPr>
        <w:widowControl/>
        <w:numPr>
          <w:ilvl w:val="0"/>
          <w:numId w:val="33"/>
        </w:numPr>
        <w:spacing w:after="0" w:line="360" w:lineRule="exact"/>
        <w:ind w:left="993" w:hanging="284"/>
        <w:jc w:val="both"/>
        <w:rPr>
          <w:rFonts w:ascii="宋体" w:hAnsi="宋体" w:cs="宋体"/>
        </w:rPr>
      </w:pPr>
      <w:r>
        <w:rPr>
          <w:rFonts w:hint="eastAsia" w:ascii="宋体" w:hAnsi="宋体" w:cs="宋体"/>
        </w:rPr>
        <w:t>电柜门锁采用拉杆锁MS830。</w:t>
      </w:r>
    </w:p>
    <w:p w14:paraId="06A70E76">
      <w:pPr>
        <w:widowControl/>
        <w:numPr>
          <w:ilvl w:val="0"/>
          <w:numId w:val="32"/>
        </w:numPr>
        <w:spacing w:after="0" w:line="360" w:lineRule="exact"/>
        <w:rPr>
          <w:rFonts w:ascii="宋体" w:hAnsi="宋体" w:cs="宋体"/>
        </w:rPr>
      </w:pPr>
      <w:r>
        <w:rPr>
          <w:rFonts w:hint="eastAsia" w:ascii="宋体" w:hAnsi="宋体" w:cs="宋体"/>
        </w:rPr>
        <w:t>每个控制柜顶部安装20W 冷光源照明灯，由门限位开关控制，电源来自主断路器前；</w:t>
      </w:r>
    </w:p>
    <w:p w14:paraId="195E7BB4">
      <w:pPr>
        <w:widowControl/>
        <w:numPr>
          <w:ilvl w:val="0"/>
          <w:numId w:val="32"/>
        </w:numPr>
        <w:spacing w:after="0" w:line="360" w:lineRule="exact"/>
        <w:rPr>
          <w:rFonts w:ascii="宋体" w:hAnsi="宋体" w:cs="宋体"/>
        </w:rPr>
      </w:pPr>
      <w:r>
        <w:rPr>
          <w:rFonts w:hint="eastAsia" w:ascii="宋体" w:hAnsi="宋体" w:cs="宋体"/>
        </w:rPr>
        <w:t>每组控制柜设10A 的单相电源插座一套（2孔+3孔），供调试和维修用；</w:t>
      </w:r>
    </w:p>
    <w:p w14:paraId="6A753AC2">
      <w:pPr>
        <w:widowControl/>
        <w:numPr>
          <w:ilvl w:val="0"/>
          <w:numId w:val="32"/>
        </w:numPr>
        <w:spacing w:after="0" w:line="360" w:lineRule="exact"/>
        <w:rPr>
          <w:rFonts w:ascii="宋体" w:hAnsi="宋体" w:cs="宋体"/>
        </w:rPr>
      </w:pPr>
      <w:r>
        <w:rPr>
          <w:rFonts w:hint="eastAsia" w:ascii="宋体" w:hAnsi="宋体" w:cs="宋体"/>
        </w:rPr>
        <w:t>每套控制柜顶部设旋转报警灯一个；</w:t>
      </w:r>
    </w:p>
    <w:p w14:paraId="59DA3F66">
      <w:pPr>
        <w:widowControl/>
        <w:numPr>
          <w:ilvl w:val="0"/>
          <w:numId w:val="32"/>
        </w:numPr>
        <w:spacing w:after="0" w:line="360" w:lineRule="exact"/>
        <w:rPr>
          <w:rFonts w:ascii="宋体" w:hAnsi="宋体" w:cs="宋体"/>
        </w:rPr>
      </w:pPr>
      <w:r>
        <w:rPr>
          <w:rFonts w:hint="eastAsia" w:ascii="宋体" w:hAnsi="宋体" w:cs="宋体"/>
        </w:rPr>
        <w:t>控制柜下部设置冷却风扇，侧面上部设通风窗，并有过滤网。对散热要求高的场合考虑安装适当功率等级的空调；</w:t>
      </w:r>
    </w:p>
    <w:p w14:paraId="5524AAAF">
      <w:pPr>
        <w:widowControl/>
        <w:numPr>
          <w:ilvl w:val="0"/>
          <w:numId w:val="32"/>
        </w:numPr>
        <w:spacing w:after="0" w:line="360" w:lineRule="exact"/>
        <w:rPr>
          <w:rFonts w:ascii="宋体" w:hAnsi="宋体" w:cs="宋体"/>
        </w:rPr>
      </w:pPr>
      <w:r>
        <w:rPr>
          <w:rFonts w:hint="eastAsia" w:ascii="宋体" w:hAnsi="宋体" w:cs="宋体"/>
        </w:rPr>
        <w:t>电柜进出线方式：采用上进下出线方式；门与柜体采用接地线跨接；</w:t>
      </w:r>
    </w:p>
    <w:p w14:paraId="5EECB041">
      <w:pPr>
        <w:widowControl/>
        <w:numPr>
          <w:ilvl w:val="0"/>
          <w:numId w:val="32"/>
        </w:numPr>
        <w:spacing w:after="0" w:line="360" w:lineRule="exact"/>
        <w:rPr>
          <w:rFonts w:ascii="宋体" w:hAnsi="宋体" w:cs="宋体"/>
        </w:rPr>
      </w:pPr>
      <w:r>
        <w:rPr>
          <w:rFonts w:hint="eastAsia" w:ascii="宋体" w:hAnsi="宋体" w:cs="宋体"/>
        </w:rPr>
        <w:t>低压电气元件布置原则：从上到下依次为熔断器（断路器），电力接触器，热继电器，控制继电器，接线端子（大于25 mm2的电缆直接接在配电系统上）。</w:t>
      </w:r>
    </w:p>
    <w:p w14:paraId="12DA0FBF">
      <w:pPr>
        <w:numPr>
          <w:ilvl w:val="0"/>
          <w:numId w:val="0"/>
        </w:numPr>
        <w:spacing w:after="0" w:line="360" w:lineRule="exact"/>
        <w:ind w:left="142" w:leftChars="0"/>
        <w:contextualSpacing/>
      </w:pPr>
      <w:r>
        <w:rPr>
          <w:rFonts w:hint="eastAsia"/>
          <w:lang w:val="en-US" w:eastAsia="zh-CN"/>
        </w:rPr>
        <w:t>2.6.15</w:t>
      </w:r>
      <w:r>
        <w:rPr>
          <w:rFonts w:hint="eastAsia"/>
        </w:rPr>
        <w:t>主要电气元件选型。</w:t>
      </w:r>
    </w:p>
    <w:p w14:paraId="24E25985">
      <w:pPr>
        <w:widowControl/>
        <w:numPr>
          <w:ilvl w:val="0"/>
          <w:numId w:val="34"/>
        </w:numPr>
        <w:spacing w:after="0" w:line="360" w:lineRule="exact"/>
        <w:rPr>
          <w:rFonts w:ascii="宋体" w:hAnsi="宋体" w:cs="宋体"/>
        </w:rPr>
      </w:pPr>
      <w:r>
        <w:rPr>
          <w:rFonts w:hint="eastAsia" w:ascii="宋体" w:hAnsi="宋体" w:cs="宋体"/>
        </w:rPr>
        <w:t>电控系统主要控制设备采用汇川，配置相应数量的数字量输入/输出模块、模拟量输入/输出模块、总线通讯模块、温度模块、接近开关、电气控制元件以及控制柜（箱）、桥架钢管、电线电缆等电器元件与材料。</w:t>
      </w:r>
    </w:p>
    <w:p w14:paraId="1E7BE4EB">
      <w:pPr>
        <w:widowControl/>
        <w:numPr>
          <w:ilvl w:val="0"/>
          <w:numId w:val="34"/>
        </w:numPr>
        <w:spacing w:after="0" w:line="360" w:lineRule="exact"/>
        <w:rPr>
          <w:rFonts w:ascii="宋体" w:hAnsi="宋体" w:cs="宋体"/>
        </w:rPr>
      </w:pPr>
      <w:r>
        <w:rPr>
          <w:rFonts w:hint="eastAsia" w:ascii="宋体" w:hAnsi="宋体" w:cs="宋体"/>
        </w:rPr>
        <w:t>电控柜集中布置集中控制，现场总线通讯电缆、接插件、中继器等使用网络协议规定的专用器件，按规定使用终端电阻。</w:t>
      </w:r>
    </w:p>
    <w:p w14:paraId="2306FD78">
      <w:pPr>
        <w:widowControl/>
        <w:numPr>
          <w:ilvl w:val="0"/>
          <w:numId w:val="34"/>
        </w:numPr>
        <w:spacing w:after="0" w:line="360" w:lineRule="exact"/>
        <w:rPr>
          <w:rFonts w:ascii="宋体" w:hAnsi="宋体" w:cs="宋体"/>
        </w:rPr>
      </w:pPr>
      <w:r>
        <w:rPr>
          <w:rFonts w:hint="eastAsia" w:ascii="宋体" w:hAnsi="宋体" w:cs="宋体"/>
        </w:rPr>
        <w:t>需要频繁修改参数、查看信息的位置需配置触摸屏，方便工人监视和操作。</w:t>
      </w:r>
    </w:p>
    <w:p w14:paraId="21F911AA">
      <w:pPr>
        <w:widowControl/>
        <w:numPr>
          <w:ilvl w:val="0"/>
          <w:numId w:val="34"/>
        </w:numPr>
        <w:spacing w:after="0" w:line="360" w:lineRule="exact"/>
        <w:rPr>
          <w:rFonts w:ascii="宋体" w:hAnsi="宋体" w:cs="宋体"/>
        </w:rPr>
      </w:pPr>
      <w:r>
        <w:rPr>
          <w:rFonts w:hint="eastAsia" w:ascii="宋体" w:hAnsi="宋体" w:cs="宋体"/>
        </w:rPr>
        <w:t>各电机控制回路配有低压断路器，热继电器组成的短路和过载保护、断相保护线路。电机正常行时有运行信号灯显示，出现异常时，有故障灯指示。按照工艺要求，需要调速的电机采用变频器控制。</w:t>
      </w:r>
    </w:p>
    <w:p w14:paraId="17C94BF3">
      <w:pPr>
        <w:numPr>
          <w:ilvl w:val="0"/>
          <w:numId w:val="0"/>
        </w:numPr>
        <w:spacing w:after="0" w:line="360" w:lineRule="exact"/>
        <w:ind w:left="142" w:leftChars="0"/>
        <w:contextualSpacing/>
      </w:pPr>
      <w:r>
        <w:rPr>
          <w:rFonts w:hint="eastAsia"/>
          <w:lang w:val="en-US" w:eastAsia="zh-CN"/>
        </w:rPr>
        <w:t>2.6.16</w:t>
      </w:r>
      <w:r>
        <w:rPr>
          <w:rFonts w:hint="eastAsia"/>
        </w:rPr>
        <w:t>电气施工执行相关国家标准</w:t>
      </w:r>
    </w:p>
    <w:p w14:paraId="32931A31">
      <w:pPr>
        <w:widowControl/>
        <w:numPr>
          <w:ilvl w:val="0"/>
          <w:numId w:val="35"/>
        </w:numPr>
        <w:spacing w:after="0" w:line="360" w:lineRule="exact"/>
        <w:ind w:hanging="233"/>
        <w:contextualSpacing/>
        <w:rPr>
          <w:rFonts w:ascii="宋体" w:hAnsi="宋体" w:cs="宋体"/>
        </w:rPr>
      </w:pPr>
      <w:r>
        <w:rPr>
          <w:rFonts w:hint="eastAsia" w:ascii="宋体" w:hAnsi="宋体" w:cs="宋体"/>
        </w:rPr>
        <w:t>《电气装置安装工程盘、柜及二次回路施工和验收规范》GB50171；</w:t>
      </w:r>
    </w:p>
    <w:p w14:paraId="6FDB3AD2">
      <w:pPr>
        <w:widowControl/>
        <w:numPr>
          <w:ilvl w:val="0"/>
          <w:numId w:val="35"/>
        </w:numPr>
        <w:spacing w:after="0" w:line="360" w:lineRule="exact"/>
        <w:ind w:hanging="233"/>
        <w:contextualSpacing/>
        <w:rPr>
          <w:rFonts w:ascii="宋体" w:hAnsi="宋体" w:cs="宋体"/>
        </w:rPr>
      </w:pPr>
      <w:r>
        <w:rPr>
          <w:rFonts w:hint="eastAsia" w:ascii="宋体" w:hAnsi="宋体" w:cs="宋体"/>
        </w:rPr>
        <w:t>《电气装置安装工程/低压电器施工及验收规程》GB50254；</w:t>
      </w:r>
    </w:p>
    <w:p w14:paraId="57CCA8CE">
      <w:pPr>
        <w:widowControl/>
        <w:numPr>
          <w:ilvl w:val="0"/>
          <w:numId w:val="35"/>
        </w:numPr>
        <w:spacing w:after="0" w:line="360" w:lineRule="exact"/>
        <w:ind w:hanging="233"/>
        <w:contextualSpacing/>
        <w:rPr>
          <w:rFonts w:ascii="宋体" w:hAnsi="宋体" w:cs="宋体"/>
        </w:rPr>
      </w:pPr>
      <w:r>
        <w:rPr>
          <w:rFonts w:hint="eastAsia" w:ascii="宋体" w:hAnsi="宋体" w:cs="宋体"/>
        </w:rPr>
        <w:t>《低压配电设计规范》GB50054；</w:t>
      </w:r>
    </w:p>
    <w:p w14:paraId="5F09ED5F">
      <w:pPr>
        <w:widowControl/>
        <w:numPr>
          <w:ilvl w:val="0"/>
          <w:numId w:val="35"/>
        </w:numPr>
        <w:spacing w:after="0" w:line="360" w:lineRule="exact"/>
        <w:ind w:hanging="233"/>
        <w:contextualSpacing/>
        <w:rPr>
          <w:rFonts w:ascii="宋体" w:hAnsi="宋体" w:cs="宋体"/>
        </w:rPr>
      </w:pPr>
      <w:r>
        <w:rPr>
          <w:rFonts w:hint="eastAsia" w:ascii="宋体" w:hAnsi="宋体" w:cs="宋体"/>
        </w:rPr>
        <w:t>电气装置安装工程电缆线路施工及验收规范 GB50168；</w:t>
      </w:r>
    </w:p>
    <w:p w14:paraId="34CA071D">
      <w:pPr>
        <w:widowControl/>
        <w:numPr>
          <w:ilvl w:val="0"/>
          <w:numId w:val="35"/>
        </w:numPr>
        <w:spacing w:after="0" w:line="360" w:lineRule="exact"/>
        <w:ind w:hanging="233"/>
        <w:contextualSpacing/>
        <w:rPr>
          <w:rFonts w:ascii="宋体" w:hAnsi="宋体" w:cs="宋体"/>
        </w:rPr>
      </w:pPr>
      <w:r>
        <w:rPr>
          <w:rFonts w:hint="eastAsia" w:ascii="宋体" w:hAnsi="宋体" w:cs="宋体"/>
        </w:rPr>
        <w:t>施工现场临进用电安全技术规范 JG46。</w:t>
      </w:r>
    </w:p>
    <w:p w14:paraId="72375B5E">
      <w:pPr>
        <w:numPr>
          <w:ilvl w:val="1"/>
          <w:numId w:val="36"/>
        </w:numPr>
        <w:spacing w:after="0" w:line="360" w:lineRule="exact"/>
        <w:ind w:left="567" w:hanging="425"/>
        <w:contextualSpacing/>
        <w:rPr>
          <w:rFonts w:ascii="微软雅黑" w:hAnsi="微软雅黑" w:eastAsia="微软雅黑"/>
        </w:rPr>
      </w:pPr>
      <w:r>
        <w:rPr>
          <w:rFonts w:hint="eastAsia" w:ascii="微软雅黑" w:hAnsi="微软雅黑" w:eastAsia="微软雅黑"/>
        </w:rPr>
        <w:t>外观涂装</w:t>
      </w:r>
    </w:p>
    <w:p w14:paraId="006B850D">
      <w:pPr>
        <w:numPr>
          <w:ilvl w:val="2"/>
          <w:numId w:val="36"/>
        </w:numPr>
        <w:spacing w:after="0" w:line="360" w:lineRule="exact"/>
        <w:ind w:left="851" w:hanging="709"/>
        <w:contextualSpacing/>
        <w:rPr>
          <w:rFonts w:ascii="宋体" w:hAnsi="宋体" w:cs="宋体"/>
        </w:rPr>
      </w:pPr>
      <w:r>
        <w:rPr>
          <w:rFonts w:hint="eastAsia" w:ascii="宋体" w:hAnsi="宋体" w:cs="宋体"/>
        </w:rPr>
        <w:t>所有结构件需采用喷砂或抛丸等机械除锈达</w:t>
      </w:r>
      <w:r>
        <w:rPr>
          <w:rFonts w:ascii="宋体" w:hAnsi="宋体" w:cs="宋体"/>
        </w:rPr>
        <w:t>Sa2.5 级，并采用环氧富锌底漆+聚氨酯面漆涂装工艺，整体漆膜厚度60—80μm。所有非暴露表面进行喷砂或抛丸除锈后预涂环氧富锌底漆，螺栓、销轴发黑处理。</w:t>
      </w:r>
    </w:p>
    <w:p w14:paraId="6469A1DD">
      <w:pPr>
        <w:numPr>
          <w:ilvl w:val="2"/>
          <w:numId w:val="36"/>
        </w:numPr>
        <w:spacing w:after="0" w:line="360" w:lineRule="exact"/>
        <w:ind w:left="851" w:hanging="709"/>
        <w:contextualSpacing/>
        <w:rPr>
          <w:rFonts w:ascii="宋体" w:hAnsi="宋体" w:cs="宋体"/>
        </w:rPr>
      </w:pPr>
      <w:r>
        <w:rPr>
          <w:rFonts w:hint="eastAsia" w:ascii="宋体" w:hAnsi="宋体" w:cs="宋体"/>
        </w:rPr>
        <w:t>设备设施颜色严格执行公司企业标准《设备设施颜色标识》（</w:t>
      </w:r>
      <w:r>
        <w:rPr>
          <w:rFonts w:ascii="宋体" w:hAnsi="宋体" w:cs="宋体"/>
        </w:rPr>
        <w:t>Q/ZZ30070-2020），设备外观色彩在涂装前与招标方再行商定若有变动，投标报价不变。</w:t>
      </w:r>
    </w:p>
    <w:p w14:paraId="3D496D73">
      <w:pPr>
        <w:pStyle w:val="212"/>
        <w:rPr>
          <w:rFonts w:hint="eastAsia" w:ascii="宋体" w:hAnsi="宋体" w:eastAsia="宋体" w:cs="宋体"/>
          <w:b/>
          <w:bCs/>
          <w:kern w:val="2"/>
          <w:sz w:val="24"/>
          <w:szCs w:val="32"/>
          <w:lang w:val="en-US" w:eastAsia="zh-CN" w:bidi="ar-SA"/>
        </w:rPr>
      </w:pPr>
      <w:r>
        <w:rPr>
          <w:rFonts w:hint="eastAsia" w:ascii="宋体" w:hAnsi="宋体" w:eastAsia="宋体" w:cs="宋体"/>
          <w:b/>
          <w:bCs/>
          <w:kern w:val="2"/>
          <w:sz w:val="24"/>
          <w:szCs w:val="32"/>
          <w:lang w:val="en-US" w:eastAsia="zh-CN" w:bidi="ar-SA"/>
        </w:rPr>
        <w:t>（</w:t>
      </w:r>
      <w:r>
        <w:rPr>
          <w:rFonts w:hint="eastAsia" w:ascii="宋体" w:hAnsi="宋体" w:cs="宋体"/>
          <w:b/>
          <w:bCs/>
          <w:kern w:val="2"/>
          <w:sz w:val="24"/>
          <w:szCs w:val="32"/>
          <w:lang w:val="en-US" w:eastAsia="zh-CN" w:bidi="ar-SA"/>
        </w:rPr>
        <w:t>三</w:t>
      </w:r>
      <w:r>
        <w:rPr>
          <w:rFonts w:hint="eastAsia" w:ascii="宋体" w:hAnsi="宋体" w:eastAsia="宋体" w:cs="宋体"/>
          <w:b/>
          <w:bCs/>
          <w:kern w:val="2"/>
          <w:sz w:val="24"/>
          <w:szCs w:val="32"/>
          <w:lang w:val="en-US" w:eastAsia="zh-CN" w:bidi="ar-SA"/>
        </w:rPr>
        <w:t>）设备布置方案图</w:t>
      </w:r>
    </w:p>
    <w:p w14:paraId="7C73240E">
      <w:pPr>
        <w:spacing w:line="240" w:lineRule="auto"/>
        <w:jc w:val="center"/>
        <w:rPr>
          <w:rFonts w:ascii="仿宋" w:hAnsi="仿宋" w:eastAsia="仿宋" w:cs="仿宋"/>
        </w:rPr>
      </w:pPr>
      <w:r>
        <w:drawing>
          <wp:inline distT="0" distB="0" distL="114300" distR="114300">
            <wp:extent cx="4476750" cy="2582545"/>
            <wp:effectExtent l="0" t="0" r="0" b="8255"/>
            <wp:docPr id="1" name="图片 1" descr="d:\Documents\xwechat_files\wxid_cytea1d29uaj51_850a\temp\InputTemp\f3ee7843-9b1e-40b9-a977-80ff85743c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Documents\xwechat_files\wxid_cytea1d29uaj51_850a\temp\InputTemp\f3ee7843-9b1e-40b9-a977-80ff85743c43.png"/>
                    <pic:cNvPicPr>
                      <a:picLocks noChangeAspect="1"/>
                    </pic:cNvPicPr>
                  </pic:nvPicPr>
                  <pic:blipFill>
                    <a:blip r:embed="rId23"/>
                    <a:stretch>
                      <a:fillRect/>
                    </a:stretch>
                  </pic:blipFill>
                  <pic:spPr>
                    <a:xfrm>
                      <a:off x="0" y="0"/>
                      <a:ext cx="4476750" cy="2582545"/>
                    </a:xfrm>
                    <a:prstGeom prst="rect">
                      <a:avLst/>
                    </a:prstGeom>
                    <a:noFill/>
                    <a:ln>
                      <a:noFill/>
                    </a:ln>
                  </pic:spPr>
                </pic:pic>
              </a:graphicData>
            </a:graphic>
          </wp:inline>
        </w:drawing>
      </w:r>
    </w:p>
    <w:p w14:paraId="081FF4E7">
      <w:pPr>
        <w:spacing w:line="360" w:lineRule="auto"/>
        <w:ind w:firstLine="482" w:firstLineChars="200"/>
        <w:rPr>
          <w:rFonts w:hint="eastAsia" w:ascii="宋体" w:hAnsi="宋体" w:eastAsia="宋体" w:cs="宋体"/>
          <w:b/>
          <w:bCs/>
          <w:kern w:val="2"/>
          <w:sz w:val="24"/>
          <w:szCs w:val="32"/>
          <w:lang w:val="en-US" w:eastAsia="zh-CN" w:bidi="ar-SA"/>
        </w:rPr>
      </w:pPr>
      <w:r>
        <w:rPr>
          <w:rFonts w:hint="eastAsia" w:ascii="宋体" w:hAnsi="宋体" w:eastAsia="宋体" w:cs="宋体"/>
          <w:b/>
          <w:bCs/>
          <w:kern w:val="2"/>
          <w:sz w:val="24"/>
          <w:szCs w:val="32"/>
          <w:lang w:val="en-US" w:eastAsia="zh-CN" w:bidi="ar-SA"/>
        </w:rPr>
        <w:t>（四）节能</w:t>
      </w:r>
    </w:p>
    <w:p w14:paraId="2415DD95">
      <w:pPr>
        <w:pStyle w:val="212"/>
        <w:ind w:firstLine="480" w:firstLineChars="200"/>
        <w:rPr>
          <w:rFonts w:hint="eastAsia" w:ascii="宋体" w:hAnsi="宋体" w:eastAsia="宋体" w:cs="宋体"/>
          <w:b w:val="0"/>
          <w:bCs w:val="0"/>
          <w:kern w:val="2"/>
          <w:sz w:val="24"/>
          <w:szCs w:val="24"/>
          <w:lang w:val="en-US" w:eastAsia="zh-CN" w:bidi="ar-SA"/>
        </w:rPr>
      </w:pPr>
      <w:r>
        <w:rPr>
          <w:rFonts w:hint="eastAsia" w:ascii="宋体" w:hAnsi="宋体" w:cs="宋体"/>
          <w:b w:val="0"/>
          <w:bCs w:val="0"/>
          <w:kern w:val="2"/>
          <w:sz w:val="24"/>
          <w:szCs w:val="24"/>
          <w:lang w:val="en-US" w:eastAsia="zh-CN" w:bidi="ar-SA"/>
        </w:rPr>
        <w:t>4</w:t>
      </w:r>
      <w:r>
        <w:rPr>
          <w:rFonts w:hint="eastAsia" w:ascii="宋体" w:hAnsi="宋体" w:eastAsia="宋体" w:cs="宋体"/>
          <w:b w:val="0"/>
          <w:bCs w:val="0"/>
          <w:kern w:val="2"/>
          <w:sz w:val="24"/>
          <w:szCs w:val="24"/>
          <w:lang w:val="en-US" w:eastAsia="zh-CN" w:bidi="ar-SA"/>
        </w:rPr>
        <w:t>.1优先采购节能产品和环境标志产品。可参照节能机电设备（产品）推荐目录（工信部）、“能效之星”产品目录（工信部）。</w:t>
      </w:r>
    </w:p>
    <w:p w14:paraId="5B8ED08D">
      <w:pPr>
        <w:pStyle w:val="212"/>
        <w:ind w:firstLine="480" w:firstLineChars="200"/>
        <w:rPr>
          <w:rFonts w:hint="eastAsia" w:ascii="宋体" w:hAnsi="宋体" w:eastAsia="宋体" w:cs="宋体"/>
          <w:b w:val="0"/>
          <w:bCs w:val="0"/>
          <w:kern w:val="2"/>
          <w:sz w:val="24"/>
          <w:szCs w:val="24"/>
          <w:lang w:val="en-US" w:eastAsia="zh-CN" w:bidi="ar-SA"/>
        </w:rPr>
      </w:pPr>
      <w:r>
        <w:rPr>
          <w:rFonts w:hint="eastAsia" w:ascii="宋体" w:hAnsi="宋体" w:cs="宋体"/>
          <w:b w:val="0"/>
          <w:bCs w:val="0"/>
          <w:kern w:val="2"/>
          <w:sz w:val="24"/>
          <w:szCs w:val="24"/>
          <w:lang w:val="en-US" w:eastAsia="zh-CN" w:bidi="ar-SA"/>
        </w:rPr>
        <w:t>4</w:t>
      </w:r>
      <w:r>
        <w:rPr>
          <w:rFonts w:hint="eastAsia" w:ascii="宋体" w:hAnsi="宋体" w:eastAsia="宋体" w:cs="宋体"/>
          <w:b w:val="0"/>
          <w:bCs w:val="0"/>
          <w:kern w:val="2"/>
          <w:sz w:val="24"/>
          <w:szCs w:val="24"/>
          <w:lang w:val="en-US" w:eastAsia="zh-CN" w:bidi="ar-SA"/>
        </w:rPr>
        <w:t>.2</w:t>
      </w:r>
      <w:r>
        <w:rPr>
          <w:rFonts w:hint="eastAsia" w:ascii="宋体" w:hAnsi="宋体" w:cs="宋体"/>
          <w:b w:val="0"/>
          <w:bCs w:val="0"/>
          <w:kern w:val="2"/>
          <w:sz w:val="24"/>
          <w:szCs w:val="24"/>
          <w:lang w:val="en-US" w:eastAsia="zh-CN" w:bidi="ar-SA"/>
        </w:rPr>
        <w:t>所有</w:t>
      </w:r>
      <w:r>
        <w:rPr>
          <w:rFonts w:hint="eastAsia" w:ascii="宋体" w:hAnsi="宋体" w:eastAsia="宋体" w:cs="宋体"/>
          <w:b w:val="0"/>
          <w:bCs w:val="0"/>
          <w:kern w:val="2"/>
          <w:sz w:val="24"/>
          <w:szCs w:val="24"/>
          <w:lang w:val="en-US" w:eastAsia="zh-CN" w:bidi="ar-SA"/>
        </w:rPr>
        <w:t>电机的</w:t>
      </w:r>
      <w:bookmarkStart w:id="35" w:name="OLE_LINK2"/>
      <w:r>
        <w:rPr>
          <w:rFonts w:hint="eastAsia" w:ascii="宋体" w:hAnsi="宋体" w:eastAsia="宋体" w:cs="宋体"/>
          <w:b w:val="0"/>
          <w:bCs w:val="0"/>
          <w:kern w:val="2"/>
          <w:sz w:val="24"/>
          <w:szCs w:val="24"/>
          <w:lang w:val="en-US" w:eastAsia="zh-CN" w:bidi="ar-SA"/>
        </w:rPr>
        <w:t>能效等级不低于国家现行标准一级能效且需提供能效标识</w:t>
      </w:r>
      <w:bookmarkEnd w:id="35"/>
      <w:r>
        <w:rPr>
          <w:rFonts w:hint="eastAsia" w:ascii="宋体" w:hAnsi="宋体" w:cs="宋体"/>
          <w:b w:val="0"/>
          <w:bCs w:val="0"/>
          <w:kern w:val="2"/>
          <w:sz w:val="24"/>
          <w:szCs w:val="24"/>
          <w:lang w:val="en-US" w:eastAsia="zh-CN" w:bidi="ar-SA"/>
        </w:rPr>
        <w:t>。</w:t>
      </w:r>
    </w:p>
    <w:p w14:paraId="44160A2E">
      <w:pPr>
        <w:pStyle w:val="212"/>
        <w:ind w:firstLine="480" w:firstLineChars="200"/>
        <w:rPr>
          <w:rFonts w:hint="eastAsia" w:ascii="宋体" w:hAnsi="宋体" w:eastAsia="宋体" w:cs="宋体"/>
          <w:b w:val="0"/>
          <w:bCs w:val="0"/>
          <w:kern w:val="2"/>
          <w:sz w:val="24"/>
          <w:szCs w:val="24"/>
          <w:lang w:val="en-US" w:eastAsia="zh-CN" w:bidi="ar-SA"/>
        </w:rPr>
      </w:pPr>
      <w:r>
        <w:rPr>
          <w:rFonts w:hint="eastAsia" w:ascii="宋体" w:hAnsi="宋体" w:cs="宋体"/>
          <w:b w:val="0"/>
          <w:bCs w:val="0"/>
          <w:kern w:val="2"/>
          <w:sz w:val="24"/>
          <w:szCs w:val="24"/>
          <w:lang w:val="en-US" w:eastAsia="zh-CN" w:bidi="ar-SA"/>
        </w:rPr>
        <w:t>4</w:t>
      </w:r>
      <w:r>
        <w:rPr>
          <w:rFonts w:hint="eastAsia" w:ascii="宋体" w:hAnsi="宋体" w:eastAsia="宋体" w:cs="宋体"/>
          <w:b w:val="0"/>
          <w:bCs w:val="0"/>
          <w:kern w:val="2"/>
          <w:sz w:val="24"/>
          <w:szCs w:val="24"/>
          <w:lang w:val="en-US" w:eastAsia="zh-CN" w:bidi="ar-SA"/>
        </w:rPr>
        <w:t>.3不应采购列入国家高耗能落后机电设备（产品）淘汰目录的产品（工信部）</w:t>
      </w:r>
    </w:p>
    <w:p w14:paraId="22408329">
      <w:pPr>
        <w:pStyle w:val="212"/>
        <w:ind w:firstLine="480" w:firstLineChars="200"/>
        <w:rPr>
          <w:rFonts w:hint="eastAsia" w:ascii="宋体" w:hAnsi="宋体" w:eastAsia="宋体" w:cs="宋体"/>
          <w:b w:val="0"/>
          <w:bCs w:val="0"/>
          <w:kern w:val="2"/>
          <w:sz w:val="24"/>
          <w:szCs w:val="24"/>
          <w:lang w:val="en-US" w:eastAsia="zh-CN" w:bidi="ar-SA"/>
        </w:rPr>
      </w:pPr>
      <w:r>
        <w:rPr>
          <w:rFonts w:hint="eastAsia" w:ascii="宋体" w:hAnsi="宋体" w:cs="宋体"/>
          <w:b w:val="0"/>
          <w:bCs w:val="0"/>
          <w:kern w:val="2"/>
          <w:sz w:val="24"/>
          <w:szCs w:val="24"/>
          <w:lang w:val="en-US" w:eastAsia="zh-CN" w:bidi="ar-SA"/>
        </w:rPr>
        <w:t>4</w:t>
      </w:r>
      <w:r>
        <w:rPr>
          <w:rFonts w:hint="eastAsia" w:ascii="宋体" w:hAnsi="宋体" w:eastAsia="宋体" w:cs="宋体"/>
          <w:b w:val="0"/>
          <w:bCs w:val="0"/>
          <w:kern w:val="2"/>
          <w:sz w:val="24"/>
          <w:szCs w:val="24"/>
          <w:lang w:val="en-US" w:eastAsia="zh-CN" w:bidi="ar-SA"/>
        </w:rPr>
        <w:t>.4.设备设计使用寿命（年限）</w:t>
      </w:r>
    </w:p>
    <w:p w14:paraId="509223AB">
      <w:pPr>
        <w:pStyle w:val="212"/>
        <w:ind w:firstLine="480" w:firstLineChars="200"/>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设备设计使用寿命不应低于15年。</w:t>
      </w:r>
    </w:p>
    <w:p w14:paraId="51E02E4D">
      <w:pPr>
        <w:pStyle w:val="212"/>
        <w:rPr>
          <w:rFonts w:hint="eastAsia" w:ascii="华文仿宋" w:hAnsi="华文仿宋" w:eastAsia="华文仿宋"/>
          <w:b w:val="0"/>
        </w:rPr>
      </w:pPr>
    </w:p>
    <w:p w14:paraId="3F5A27D5">
      <w:pPr>
        <w:spacing w:line="360" w:lineRule="auto"/>
        <w:ind w:firstLine="480" w:firstLineChars="200"/>
        <w:rPr>
          <w:rFonts w:hint="eastAsia" w:ascii="宋体" w:hAnsi="宋体" w:eastAsia="宋体" w:cs="宋体"/>
          <w:b w:val="0"/>
          <w:bCs w:val="0"/>
          <w:kern w:val="2"/>
          <w:sz w:val="24"/>
          <w:szCs w:val="32"/>
          <w:lang w:val="en-US" w:eastAsia="zh-CN" w:bidi="ar-SA"/>
        </w:rPr>
      </w:pPr>
      <w:r>
        <w:rPr>
          <w:rFonts w:hint="eastAsia" w:ascii="宋体" w:hAnsi="宋体" w:eastAsia="宋体" w:cs="宋体"/>
          <w:b w:val="0"/>
          <w:bCs w:val="0"/>
          <w:kern w:val="2"/>
          <w:sz w:val="24"/>
          <w:szCs w:val="32"/>
          <w:lang w:val="en-US" w:eastAsia="zh-CN" w:bidi="ar-SA"/>
        </w:rPr>
        <w:t>4.5.易维修性</w:t>
      </w:r>
    </w:p>
    <w:p w14:paraId="509BD0DC">
      <w:pPr>
        <w:pStyle w:val="212"/>
        <w:ind w:firstLine="480" w:firstLineChars="200"/>
        <w:rPr>
          <w:rFonts w:hint="eastAsia" w:ascii="宋体" w:hAnsi="宋体" w:eastAsia="宋体" w:cs="宋体"/>
          <w:b w:val="0"/>
          <w:bCs w:val="0"/>
          <w:kern w:val="2"/>
          <w:sz w:val="24"/>
          <w:szCs w:val="24"/>
          <w:lang w:val="en-US" w:eastAsia="zh-CN" w:bidi="ar-SA"/>
        </w:rPr>
      </w:pPr>
      <w:r>
        <w:rPr>
          <w:rFonts w:hint="eastAsia" w:ascii="宋体" w:hAnsi="宋体" w:cs="宋体"/>
          <w:b w:val="0"/>
          <w:bCs w:val="0"/>
          <w:kern w:val="2"/>
          <w:sz w:val="24"/>
          <w:szCs w:val="24"/>
          <w:lang w:val="en-US" w:eastAsia="zh-CN" w:bidi="ar-SA"/>
        </w:rPr>
        <w:t>4</w:t>
      </w:r>
      <w:r>
        <w:rPr>
          <w:rFonts w:hint="eastAsia" w:ascii="宋体" w:hAnsi="宋体" w:eastAsia="宋体" w:cs="宋体"/>
          <w:b w:val="0"/>
          <w:bCs w:val="0"/>
          <w:kern w:val="2"/>
          <w:sz w:val="24"/>
          <w:szCs w:val="24"/>
          <w:lang w:val="en-US" w:eastAsia="zh-CN" w:bidi="ar-SA"/>
        </w:rPr>
        <w:t>.5.1设备在设计、制造、布局、安装时应充分考虑了后续维修的易维修性、可修复性和维修作业的安全、可操作性。</w:t>
      </w:r>
    </w:p>
    <w:p w14:paraId="2DE450E1">
      <w:pPr>
        <w:pStyle w:val="212"/>
        <w:ind w:firstLine="480" w:firstLineChars="200"/>
        <w:rPr>
          <w:rFonts w:hint="eastAsia" w:ascii="宋体" w:hAnsi="宋体" w:eastAsia="宋体" w:cs="宋体"/>
          <w:b w:val="0"/>
          <w:bCs w:val="0"/>
          <w:kern w:val="2"/>
          <w:sz w:val="24"/>
          <w:szCs w:val="24"/>
          <w:lang w:val="en-US" w:eastAsia="zh-CN" w:bidi="ar-SA"/>
        </w:rPr>
      </w:pPr>
      <w:r>
        <w:rPr>
          <w:rFonts w:hint="eastAsia" w:ascii="宋体" w:hAnsi="宋体" w:cs="宋体"/>
          <w:b w:val="0"/>
          <w:bCs w:val="0"/>
          <w:kern w:val="2"/>
          <w:sz w:val="24"/>
          <w:szCs w:val="24"/>
          <w:lang w:val="en-US" w:eastAsia="zh-CN" w:bidi="ar-SA"/>
        </w:rPr>
        <w:t>4</w:t>
      </w:r>
      <w:r>
        <w:rPr>
          <w:rFonts w:hint="eastAsia" w:ascii="宋体" w:hAnsi="宋体" w:eastAsia="宋体" w:cs="宋体"/>
          <w:b w:val="0"/>
          <w:bCs w:val="0"/>
          <w:kern w:val="2"/>
          <w:sz w:val="24"/>
          <w:szCs w:val="24"/>
          <w:lang w:val="en-US" w:eastAsia="zh-CN" w:bidi="ar-SA"/>
        </w:rPr>
        <w:t>.5.2在正式提交的设备资料中应当包含设备的维修BOM。</w:t>
      </w:r>
    </w:p>
    <w:p w14:paraId="657FE408">
      <w:pPr>
        <w:pStyle w:val="212"/>
        <w:ind w:firstLine="480" w:firstLineChars="200"/>
        <w:rPr>
          <w:rFonts w:hint="eastAsia" w:ascii="宋体" w:hAnsi="宋体" w:eastAsia="宋体" w:cs="宋体"/>
          <w:b w:val="0"/>
          <w:bCs w:val="0"/>
          <w:kern w:val="2"/>
          <w:sz w:val="24"/>
          <w:szCs w:val="24"/>
          <w:lang w:val="en-US" w:eastAsia="zh-CN" w:bidi="ar-SA"/>
        </w:rPr>
      </w:pPr>
      <w:r>
        <w:rPr>
          <w:rFonts w:hint="eastAsia" w:ascii="宋体" w:hAnsi="宋体" w:cs="宋体"/>
          <w:b w:val="0"/>
          <w:bCs w:val="0"/>
          <w:kern w:val="2"/>
          <w:sz w:val="24"/>
          <w:szCs w:val="24"/>
          <w:lang w:val="en-US" w:eastAsia="zh-CN" w:bidi="ar-SA"/>
        </w:rPr>
        <w:t>4</w:t>
      </w:r>
      <w:r>
        <w:rPr>
          <w:rFonts w:hint="eastAsia" w:ascii="宋体" w:hAnsi="宋体" w:eastAsia="宋体" w:cs="宋体"/>
          <w:b w:val="0"/>
          <w:bCs w:val="0"/>
          <w:kern w:val="2"/>
          <w:sz w:val="24"/>
          <w:szCs w:val="24"/>
          <w:lang w:val="en-US" w:eastAsia="zh-CN" w:bidi="ar-SA"/>
        </w:rPr>
        <w:t>.5.3在投标文件中说明设备在维保方面的信息，包含但不限于：易损件清单、耗材清单、定期维保项目清单等，上述清单应包含单价；评标原则和评标标准应当包含对此项要求的评价。</w:t>
      </w:r>
    </w:p>
    <w:p w14:paraId="39B29D11">
      <w:pPr>
        <w:keepNext/>
        <w:keepLines/>
        <w:spacing w:line="440" w:lineRule="exact"/>
        <w:ind w:firstLine="723" w:firstLineChars="200"/>
        <w:jc w:val="center"/>
        <w:outlineLvl w:val="0"/>
        <w:rPr>
          <w:rFonts w:hint="eastAsia" w:ascii="Times New Roman" w:hAnsi="Times New Roman" w:eastAsia="宋体"/>
          <w:b/>
          <w:bCs/>
          <w:kern w:val="44"/>
          <w:sz w:val="36"/>
          <w:szCs w:val="44"/>
        </w:rPr>
        <w:sectPr>
          <w:pgSz w:w="11907" w:h="16840"/>
          <w:pgMar w:top="1025" w:right="1418" w:bottom="1418" w:left="1418" w:header="724" w:footer="851" w:gutter="0"/>
          <w:cols w:space="720" w:num="1"/>
          <w:docGrid w:linePitch="290" w:charSpace="-3931"/>
        </w:sectPr>
      </w:pPr>
    </w:p>
    <w:p w14:paraId="155E6E8D">
      <w:pPr>
        <w:keepNext/>
        <w:keepLines/>
        <w:spacing w:line="440" w:lineRule="exact"/>
        <w:ind w:firstLine="723" w:firstLineChars="200"/>
        <w:jc w:val="center"/>
        <w:outlineLvl w:val="0"/>
        <w:rPr>
          <w:rFonts w:ascii="Times New Roman" w:hAnsi="Times New Roman" w:eastAsia="宋体"/>
          <w:b/>
          <w:bCs/>
          <w:kern w:val="44"/>
          <w:sz w:val="36"/>
          <w:szCs w:val="44"/>
        </w:rPr>
      </w:pPr>
      <w:r>
        <w:rPr>
          <w:rFonts w:hint="eastAsia" w:ascii="Times New Roman" w:hAnsi="Times New Roman" w:eastAsia="宋体"/>
          <w:b/>
          <w:bCs/>
          <w:kern w:val="44"/>
          <w:sz w:val="36"/>
          <w:szCs w:val="44"/>
        </w:rPr>
        <w:t>第二章 订货内容及主要设备配置要求</w:t>
      </w:r>
    </w:p>
    <w:p w14:paraId="1AB6E620">
      <w:pPr>
        <w:keepNext/>
        <w:keepLines/>
        <w:spacing w:line="360" w:lineRule="auto"/>
        <w:ind w:firstLine="482" w:firstLineChars="200"/>
        <w:outlineLvl w:val="1"/>
        <w:rPr>
          <w:rFonts w:hint="eastAsia" w:ascii="Arial" w:hAnsi="Arial" w:eastAsia="宋体" w:cs="Times New Roman"/>
          <w:b/>
          <w:bCs/>
          <w:sz w:val="24"/>
          <w:szCs w:val="32"/>
        </w:rPr>
      </w:pPr>
    </w:p>
    <w:p w14:paraId="69996470">
      <w:pPr>
        <w:keepNext/>
        <w:keepLines/>
        <w:spacing w:line="360" w:lineRule="auto"/>
        <w:ind w:firstLine="482" w:firstLineChars="200"/>
        <w:outlineLvl w:val="1"/>
        <w:rPr>
          <w:rFonts w:hint="eastAsia" w:ascii="宋体" w:hAnsi="宋体" w:eastAsia="宋体" w:cs="宋体"/>
          <w:b/>
          <w:bCs/>
          <w:sz w:val="24"/>
          <w:szCs w:val="32"/>
        </w:rPr>
      </w:pPr>
      <w:r>
        <w:rPr>
          <w:rFonts w:hint="eastAsia" w:ascii="宋体" w:hAnsi="宋体" w:eastAsia="宋体" w:cs="宋体"/>
          <w:b/>
          <w:bCs/>
          <w:sz w:val="24"/>
          <w:szCs w:val="32"/>
          <w:lang w:val="en-US" w:eastAsia="zh-CN"/>
        </w:rPr>
        <w:t>订货内容</w:t>
      </w:r>
      <w:r>
        <w:rPr>
          <w:rFonts w:hint="eastAsia" w:ascii="宋体" w:hAnsi="宋体" w:eastAsia="宋体" w:cs="宋体"/>
          <w:b/>
          <w:bCs/>
          <w:sz w:val="24"/>
          <w:szCs w:val="32"/>
        </w:rPr>
        <w:t>一览表</w:t>
      </w:r>
    </w:p>
    <w:tbl>
      <w:tblPr>
        <w:tblStyle w:val="42"/>
        <w:tblW w:w="9213" w:type="dxa"/>
        <w:tblInd w:w="0" w:type="dxa"/>
        <w:tblLayout w:type="autofit"/>
        <w:tblCellMar>
          <w:top w:w="0" w:type="dxa"/>
          <w:left w:w="0" w:type="dxa"/>
          <w:bottom w:w="0" w:type="dxa"/>
          <w:right w:w="0" w:type="dxa"/>
        </w:tblCellMar>
      </w:tblPr>
      <w:tblGrid>
        <w:gridCol w:w="648"/>
        <w:gridCol w:w="1435"/>
        <w:gridCol w:w="3123"/>
        <w:gridCol w:w="1500"/>
        <w:gridCol w:w="722"/>
        <w:gridCol w:w="778"/>
        <w:gridCol w:w="1007"/>
      </w:tblGrid>
      <w:tr w14:paraId="3CB68186">
        <w:tblPrEx>
          <w:tblCellMar>
            <w:top w:w="0" w:type="dxa"/>
            <w:left w:w="0" w:type="dxa"/>
            <w:bottom w:w="0" w:type="dxa"/>
            <w:right w:w="0" w:type="dxa"/>
          </w:tblCellMar>
        </w:tblPrEx>
        <w:trPr>
          <w:trHeight w:val="90" w:hRule="atLeast"/>
        </w:trPr>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639B19">
            <w:pPr>
              <w:spacing w:line="440" w:lineRule="exact"/>
              <w:jc w:val="center"/>
              <w:textAlignment w:val="center"/>
              <w:rPr>
                <w:rFonts w:hint="eastAsia" w:ascii="宋体" w:hAnsi="宋体" w:eastAsia="宋体" w:cs="宋体"/>
                <w:b/>
                <w:bCs/>
                <w:sz w:val="22"/>
              </w:rPr>
            </w:pPr>
            <w:r>
              <w:rPr>
                <w:rFonts w:hint="eastAsia" w:ascii="宋体" w:hAnsi="宋体" w:eastAsia="宋体" w:cs="宋体"/>
                <w:b/>
                <w:bCs/>
                <w:sz w:val="22"/>
                <w:lang w:val="en-US" w:eastAsia="zh-CN"/>
              </w:rPr>
              <w:t>序号</w:t>
            </w:r>
          </w:p>
        </w:tc>
        <w:tc>
          <w:tcPr>
            <w:tcW w:w="14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FFFA9B">
            <w:pPr>
              <w:spacing w:line="440" w:lineRule="exact"/>
              <w:jc w:val="center"/>
              <w:textAlignment w:val="center"/>
              <w:rPr>
                <w:rFonts w:hint="eastAsia" w:ascii="宋体" w:hAnsi="宋体" w:eastAsia="宋体" w:cs="宋体"/>
                <w:b/>
                <w:bCs/>
                <w:sz w:val="22"/>
              </w:rPr>
            </w:pPr>
            <w:r>
              <w:rPr>
                <w:rFonts w:hint="eastAsia" w:ascii="宋体" w:hAnsi="宋体" w:eastAsia="宋体" w:cs="宋体"/>
                <w:b/>
                <w:bCs/>
                <w:sz w:val="22"/>
                <w:lang w:val="en-US" w:eastAsia="zh-CN"/>
              </w:rPr>
              <w:t>物资名称</w:t>
            </w:r>
          </w:p>
        </w:tc>
        <w:tc>
          <w:tcPr>
            <w:tcW w:w="31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6097C2">
            <w:pPr>
              <w:spacing w:line="440" w:lineRule="exact"/>
              <w:jc w:val="center"/>
              <w:textAlignment w:val="center"/>
              <w:rPr>
                <w:rFonts w:hint="eastAsia" w:ascii="宋体" w:hAnsi="宋体" w:eastAsia="宋体" w:cs="宋体"/>
                <w:b/>
                <w:bCs/>
                <w:sz w:val="22"/>
              </w:rPr>
            </w:pPr>
            <w:r>
              <w:rPr>
                <w:rFonts w:hint="eastAsia" w:ascii="宋体" w:hAnsi="宋体" w:eastAsia="宋体" w:cs="宋体"/>
                <w:b/>
                <w:bCs/>
                <w:sz w:val="22"/>
                <w:lang w:val="en-US" w:eastAsia="zh-CN"/>
              </w:rPr>
              <w:t>供货范图</w:t>
            </w:r>
          </w:p>
        </w:tc>
        <w:tc>
          <w:tcPr>
            <w:tcW w:w="15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1888DD">
            <w:pPr>
              <w:spacing w:line="440" w:lineRule="exact"/>
              <w:jc w:val="center"/>
              <w:textAlignment w:val="center"/>
              <w:rPr>
                <w:rFonts w:hint="eastAsia" w:ascii="宋体" w:hAnsi="宋体" w:eastAsia="宋体" w:cs="宋体"/>
                <w:b/>
                <w:bCs/>
                <w:sz w:val="22"/>
              </w:rPr>
            </w:pPr>
            <w:r>
              <w:rPr>
                <w:rFonts w:hint="eastAsia" w:ascii="宋体" w:hAnsi="宋体" w:eastAsia="宋体" w:cs="宋体"/>
                <w:b/>
                <w:bCs/>
                <w:sz w:val="22"/>
                <w:lang w:val="en-US" w:eastAsia="zh-CN"/>
              </w:rPr>
              <w:t>生产厂家</w:t>
            </w:r>
          </w:p>
        </w:tc>
        <w:tc>
          <w:tcPr>
            <w:tcW w:w="72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8FEAE9">
            <w:pPr>
              <w:spacing w:line="440" w:lineRule="exact"/>
              <w:jc w:val="center"/>
              <w:textAlignment w:val="center"/>
              <w:rPr>
                <w:rFonts w:hint="eastAsia" w:ascii="宋体" w:hAnsi="宋体" w:eastAsia="宋体" w:cs="宋体"/>
                <w:b/>
                <w:bCs/>
                <w:sz w:val="22"/>
              </w:rPr>
            </w:pPr>
            <w:r>
              <w:rPr>
                <w:rFonts w:hint="eastAsia" w:ascii="宋体" w:hAnsi="宋体" w:eastAsia="宋体" w:cs="宋体"/>
                <w:b/>
                <w:bCs/>
                <w:sz w:val="22"/>
                <w:lang w:val="en-US" w:eastAsia="zh-CN"/>
              </w:rPr>
              <w:t>单位</w:t>
            </w:r>
          </w:p>
        </w:tc>
        <w:tc>
          <w:tcPr>
            <w:tcW w:w="7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6607D9">
            <w:pPr>
              <w:spacing w:line="440" w:lineRule="exact"/>
              <w:jc w:val="center"/>
              <w:textAlignment w:val="center"/>
              <w:rPr>
                <w:rFonts w:hint="eastAsia" w:ascii="宋体" w:hAnsi="宋体" w:eastAsia="宋体" w:cs="宋体"/>
                <w:b/>
                <w:bCs/>
                <w:sz w:val="22"/>
              </w:rPr>
            </w:pPr>
            <w:r>
              <w:rPr>
                <w:rFonts w:hint="eastAsia" w:ascii="宋体" w:hAnsi="宋体" w:eastAsia="宋体" w:cs="宋体"/>
                <w:b/>
                <w:bCs/>
                <w:sz w:val="22"/>
                <w:lang w:val="en-US" w:eastAsia="zh-CN"/>
              </w:rPr>
              <w:t>数量</w:t>
            </w:r>
          </w:p>
        </w:tc>
        <w:tc>
          <w:tcPr>
            <w:tcW w:w="100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D700A1">
            <w:pPr>
              <w:spacing w:line="440" w:lineRule="exact"/>
              <w:jc w:val="center"/>
              <w:textAlignment w:val="center"/>
              <w:rPr>
                <w:rFonts w:hint="eastAsia" w:ascii="宋体" w:hAnsi="宋体" w:eastAsia="宋体" w:cs="宋体"/>
                <w:b/>
                <w:bCs/>
                <w:sz w:val="22"/>
              </w:rPr>
            </w:pPr>
            <w:r>
              <w:rPr>
                <w:rFonts w:hint="eastAsia" w:ascii="宋体" w:hAnsi="宋体" w:eastAsia="宋体" w:cs="宋体"/>
                <w:b/>
                <w:bCs/>
                <w:sz w:val="22"/>
                <w:lang w:val="en-US" w:eastAsia="zh-CN"/>
              </w:rPr>
              <w:t>备注</w:t>
            </w:r>
          </w:p>
        </w:tc>
      </w:tr>
      <w:tr w14:paraId="3695CD6E">
        <w:tblPrEx>
          <w:tblCellMar>
            <w:top w:w="0" w:type="dxa"/>
            <w:left w:w="0" w:type="dxa"/>
            <w:bottom w:w="0" w:type="dxa"/>
            <w:right w:w="0" w:type="dxa"/>
          </w:tblCellMar>
        </w:tblPrEx>
        <w:trPr>
          <w:trHeight w:val="319" w:hRule="atLeast"/>
        </w:trPr>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3EC376">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一、</w:t>
            </w:r>
          </w:p>
        </w:tc>
        <w:tc>
          <w:tcPr>
            <w:tcW w:w="14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E54B62">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转运线</w:t>
            </w:r>
          </w:p>
        </w:tc>
        <w:tc>
          <w:tcPr>
            <w:tcW w:w="31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3FCE3E">
            <w:pPr>
              <w:spacing w:line="440" w:lineRule="exact"/>
              <w:jc w:val="center"/>
              <w:textAlignment w:val="center"/>
              <w:rPr>
                <w:rFonts w:hint="eastAsia" w:ascii="宋体" w:hAnsi="宋体" w:eastAsia="宋体" w:cs="宋体"/>
                <w:sz w:val="22"/>
              </w:rPr>
            </w:pPr>
          </w:p>
        </w:tc>
        <w:tc>
          <w:tcPr>
            <w:tcW w:w="15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D06906">
            <w:pPr>
              <w:spacing w:line="440" w:lineRule="exact"/>
              <w:jc w:val="center"/>
              <w:textAlignment w:val="center"/>
              <w:rPr>
                <w:rFonts w:hint="eastAsia" w:ascii="宋体" w:hAnsi="宋体" w:eastAsia="宋体" w:cs="宋体"/>
                <w:sz w:val="22"/>
              </w:rPr>
            </w:pPr>
          </w:p>
        </w:tc>
        <w:tc>
          <w:tcPr>
            <w:tcW w:w="72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7CC511">
            <w:pPr>
              <w:spacing w:line="440" w:lineRule="exact"/>
              <w:jc w:val="center"/>
              <w:textAlignment w:val="center"/>
              <w:rPr>
                <w:rFonts w:hint="eastAsia" w:ascii="宋体" w:hAnsi="宋体" w:eastAsia="宋体" w:cs="宋体"/>
                <w:sz w:val="22"/>
              </w:rPr>
            </w:pPr>
          </w:p>
        </w:tc>
        <w:tc>
          <w:tcPr>
            <w:tcW w:w="7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231121">
            <w:pPr>
              <w:spacing w:line="440" w:lineRule="exact"/>
              <w:jc w:val="center"/>
              <w:textAlignment w:val="center"/>
              <w:rPr>
                <w:rFonts w:hint="eastAsia" w:ascii="宋体" w:hAnsi="宋体" w:eastAsia="宋体" w:cs="宋体"/>
                <w:sz w:val="22"/>
              </w:rPr>
            </w:pPr>
          </w:p>
        </w:tc>
        <w:tc>
          <w:tcPr>
            <w:tcW w:w="100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804564">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w:t>
            </w:r>
          </w:p>
        </w:tc>
      </w:tr>
      <w:tr w14:paraId="097DA62D">
        <w:tblPrEx>
          <w:tblCellMar>
            <w:top w:w="0" w:type="dxa"/>
            <w:left w:w="0" w:type="dxa"/>
            <w:bottom w:w="0" w:type="dxa"/>
            <w:right w:w="0" w:type="dxa"/>
          </w:tblCellMar>
        </w:tblPrEx>
        <w:trPr>
          <w:trHeight w:val="716" w:hRule="atLeast"/>
        </w:trPr>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655D1F">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1</w:t>
            </w:r>
          </w:p>
        </w:tc>
        <w:tc>
          <w:tcPr>
            <w:tcW w:w="14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9CAE45">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液压升降电动平车</w:t>
            </w:r>
          </w:p>
        </w:tc>
        <w:tc>
          <w:tcPr>
            <w:tcW w:w="31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9492B3">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含转运、跺码、上料、卸料（转运）液压升降电动平车</w:t>
            </w:r>
          </w:p>
        </w:tc>
        <w:tc>
          <w:tcPr>
            <w:tcW w:w="15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D81421">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国内一线</w:t>
            </w:r>
          </w:p>
        </w:tc>
        <w:tc>
          <w:tcPr>
            <w:tcW w:w="72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4F65B2">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套</w:t>
            </w:r>
          </w:p>
        </w:tc>
        <w:tc>
          <w:tcPr>
            <w:tcW w:w="7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AC53E8">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4</w:t>
            </w:r>
          </w:p>
        </w:tc>
        <w:tc>
          <w:tcPr>
            <w:tcW w:w="100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60CE8E">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w:t>
            </w:r>
          </w:p>
        </w:tc>
      </w:tr>
      <w:tr w14:paraId="5486677E">
        <w:tblPrEx>
          <w:tblCellMar>
            <w:top w:w="0" w:type="dxa"/>
            <w:left w:w="0" w:type="dxa"/>
            <w:bottom w:w="0" w:type="dxa"/>
            <w:right w:w="0" w:type="dxa"/>
          </w:tblCellMar>
        </w:tblPrEx>
        <w:trPr>
          <w:trHeight w:val="333" w:hRule="atLeast"/>
        </w:trPr>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75C530">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2</w:t>
            </w:r>
          </w:p>
        </w:tc>
        <w:tc>
          <w:tcPr>
            <w:tcW w:w="14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4A85DA">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1800电动转盘</w:t>
            </w:r>
          </w:p>
        </w:tc>
        <w:tc>
          <w:tcPr>
            <w:tcW w:w="31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49BA1A">
            <w:pPr>
              <w:spacing w:line="440" w:lineRule="exact"/>
              <w:jc w:val="center"/>
              <w:textAlignment w:val="center"/>
              <w:rPr>
                <w:rFonts w:hint="eastAsia" w:ascii="宋体" w:hAnsi="宋体" w:eastAsia="宋体" w:cs="宋体"/>
                <w:sz w:val="22"/>
                <w:lang w:val="en-US" w:eastAsia="zh-CN"/>
              </w:rPr>
            </w:pPr>
            <w:r>
              <w:rPr>
                <w:rFonts w:hint="eastAsia" w:ascii="宋体" w:hAnsi="宋体" w:eastAsia="宋体" w:cs="宋体"/>
                <w:sz w:val="22"/>
                <w:lang w:val="en-US" w:eastAsia="zh-CN"/>
              </w:rPr>
              <w:t>/</w:t>
            </w:r>
          </w:p>
        </w:tc>
        <w:tc>
          <w:tcPr>
            <w:tcW w:w="15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9197CC">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国内一线</w:t>
            </w:r>
          </w:p>
        </w:tc>
        <w:tc>
          <w:tcPr>
            <w:tcW w:w="72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F0254B">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套</w:t>
            </w:r>
          </w:p>
        </w:tc>
        <w:tc>
          <w:tcPr>
            <w:tcW w:w="7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DABE12">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1</w:t>
            </w:r>
          </w:p>
        </w:tc>
        <w:tc>
          <w:tcPr>
            <w:tcW w:w="100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75A889">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w:t>
            </w:r>
          </w:p>
        </w:tc>
      </w:tr>
      <w:tr w14:paraId="4F25AFDD">
        <w:tblPrEx>
          <w:tblCellMar>
            <w:top w:w="0" w:type="dxa"/>
            <w:left w:w="0" w:type="dxa"/>
            <w:bottom w:w="0" w:type="dxa"/>
            <w:right w:w="0" w:type="dxa"/>
          </w:tblCellMar>
        </w:tblPrEx>
        <w:trPr>
          <w:trHeight w:val="414" w:hRule="atLeast"/>
        </w:trPr>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4BF7DF">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3</w:t>
            </w:r>
          </w:p>
        </w:tc>
        <w:tc>
          <w:tcPr>
            <w:tcW w:w="14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97767C">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轨道</w:t>
            </w:r>
          </w:p>
        </w:tc>
        <w:tc>
          <w:tcPr>
            <w:tcW w:w="31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4DEDD3">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43kg级铁路轨道、压铁、水平垫板等</w:t>
            </w:r>
          </w:p>
        </w:tc>
        <w:tc>
          <w:tcPr>
            <w:tcW w:w="15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DB8FC7">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国内一线</w:t>
            </w:r>
          </w:p>
        </w:tc>
        <w:tc>
          <w:tcPr>
            <w:tcW w:w="72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F6DDC8">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宗</w:t>
            </w:r>
          </w:p>
        </w:tc>
        <w:tc>
          <w:tcPr>
            <w:tcW w:w="7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C449FD">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1</w:t>
            </w:r>
          </w:p>
        </w:tc>
        <w:tc>
          <w:tcPr>
            <w:tcW w:w="100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FC8601">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w:t>
            </w:r>
          </w:p>
        </w:tc>
      </w:tr>
      <w:tr w14:paraId="6A91C7D9">
        <w:tblPrEx>
          <w:tblCellMar>
            <w:top w:w="0" w:type="dxa"/>
            <w:left w:w="0" w:type="dxa"/>
            <w:bottom w:w="0" w:type="dxa"/>
            <w:right w:w="0" w:type="dxa"/>
          </w:tblCellMar>
        </w:tblPrEx>
        <w:trPr>
          <w:trHeight w:val="319" w:hRule="atLeast"/>
        </w:trPr>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1BBD94">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4</w:t>
            </w:r>
          </w:p>
        </w:tc>
        <w:tc>
          <w:tcPr>
            <w:tcW w:w="14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5B1D76">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跺码架</w:t>
            </w:r>
          </w:p>
        </w:tc>
        <w:tc>
          <w:tcPr>
            <w:tcW w:w="31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EFAA6F">
            <w:pPr>
              <w:spacing w:line="440" w:lineRule="exact"/>
              <w:jc w:val="center"/>
              <w:textAlignment w:val="center"/>
              <w:rPr>
                <w:rFonts w:hint="eastAsia" w:ascii="宋体" w:hAnsi="宋体" w:eastAsia="宋体" w:cs="宋体"/>
                <w:sz w:val="22"/>
                <w:lang w:val="en-US" w:eastAsia="zh-CN"/>
              </w:rPr>
            </w:pPr>
            <w:r>
              <w:rPr>
                <w:rFonts w:hint="eastAsia" w:ascii="宋体" w:hAnsi="宋体" w:eastAsia="宋体" w:cs="宋体"/>
                <w:sz w:val="22"/>
                <w:lang w:val="en-US" w:eastAsia="zh-CN"/>
              </w:rPr>
              <w:t>/</w:t>
            </w:r>
          </w:p>
        </w:tc>
        <w:tc>
          <w:tcPr>
            <w:tcW w:w="15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AE5865">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厂家配套</w:t>
            </w:r>
          </w:p>
        </w:tc>
        <w:tc>
          <w:tcPr>
            <w:tcW w:w="72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4D3531">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套</w:t>
            </w:r>
          </w:p>
        </w:tc>
        <w:tc>
          <w:tcPr>
            <w:tcW w:w="7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AD1EFB">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1</w:t>
            </w:r>
          </w:p>
        </w:tc>
        <w:tc>
          <w:tcPr>
            <w:tcW w:w="100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D7AE51">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14个工位</w:t>
            </w:r>
          </w:p>
        </w:tc>
      </w:tr>
      <w:tr w14:paraId="554B100D">
        <w:tblPrEx>
          <w:tblCellMar>
            <w:top w:w="0" w:type="dxa"/>
            <w:left w:w="0" w:type="dxa"/>
            <w:bottom w:w="0" w:type="dxa"/>
            <w:right w:w="0" w:type="dxa"/>
          </w:tblCellMar>
        </w:tblPrEx>
        <w:trPr>
          <w:trHeight w:val="479" w:hRule="atLeast"/>
        </w:trPr>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DB1E3C">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5</w:t>
            </w:r>
          </w:p>
        </w:tc>
        <w:tc>
          <w:tcPr>
            <w:tcW w:w="14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2BA15E">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检测、控制系统</w:t>
            </w:r>
          </w:p>
        </w:tc>
        <w:tc>
          <w:tcPr>
            <w:tcW w:w="31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4EFCF2">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检测元件、控制元件、遥控器等</w:t>
            </w:r>
          </w:p>
        </w:tc>
        <w:tc>
          <w:tcPr>
            <w:tcW w:w="15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CCB5E1">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施奈德</w:t>
            </w:r>
          </w:p>
        </w:tc>
        <w:tc>
          <w:tcPr>
            <w:tcW w:w="72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B3254A">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套</w:t>
            </w:r>
          </w:p>
        </w:tc>
        <w:tc>
          <w:tcPr>
            <w:tcW w:w="7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2D67E4">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1</w:t>
            </w:r>
          </w:p>
        </w:tc>
        <w:tc>
          <w:tcPr>
            <w:tcW w:w="100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45AF70">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w:t>
            </w:r>
          </w:p>
        </w:tc>
      </w:tr>
      <w:tr w14:paraId="06CEAD74">
        <w:tblPrEx>
          <w:tblCellMar>
            <w:top w:w="0" w:type="dxa"/>
            <w:left w:w="0" w:type="dxa"/>
            <w:bottom w:w="0" w:type="dxa"/>
            <w:right w:w="0" w:type="dxa"/>
          </w:tblCellMar>
        </w:tblPrEx>
        <w:trPr>
          <w:trHeight w:val="319" w:hRule="atLeast"/>
        </w:trPr>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BA406A">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二、</w:t>
            </w:r>
          </w:p>
        </w:tc>
        <w:tc>
          <w:tcPr>
            <w:tcW w:w="14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5F5F3F">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抛丸清理机</w:t>
            </w:r>
          </w:p>
        </w:tc>
        <w:tc>
          <w:tcPr>
            <w:tcW w:w="31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A728AC">
            <w:pPr>
              <w:spacing w:line="440" w:lineRule="exact"/>
              <w:jc w:val="center"/>
              <w:textAlignment w:val="center"/>
              <w:rPr>
                <w:rFonts w:hint="eastAsia" w:ascii="宋体" w:hAnsi="宋体" w:eastAsia="宋体" w:cs="宋体"/>
                <w:sz w:val="22"/>
              </w:rPr>
            </w:pPr>
          </w:p>
        </w:tc>
        <w:tc>
          <w:tcPr>
            <w:tcW w:w="15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44D483">
            <w:pPr>
              <w:spacing w:line="440" w:lineRule="exact"/>
              <w:jc w:val="center"/>
              <w:textAlignment w:val="center"/>
              <w:rPr>
                <w:rFonts w:hint="eastAsia" w:ascii="宋体" w:hAnsi="宋体" w:eastAsia="宋体" w:cs="宋体"/>
                <w:sz w:val="22"/>
              </w:rPr>
            </w:pPr>
          </w:p>
        </w:tc>
        <w:tc>
          <w:tcPr>
            <w:tcW w:w="72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EE3A04">
            <w:pPr>
              <w:spacing w:line="440" w:lineRule="exact"/>
              <w:jc w:val="center"/>
              <w:textAlignment w:val="center"/>
              <w:rPr>
                <w:rFonts w:hint="eastAsia" w:ascii="宋体" w:hAnsi="宋体" w:eastAsia="宋体" w:cs="宋体"/>
                <w:sz w:val="22"/>
              </w:rPr>
            </w:pPr>
          </w:p>
        </w:tc>
        <w:tc>
          <w:tcPr>
            <w:tcW w:w="7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BA78FF">
            <w:pPr>
              <w:spacing w:line="440" w:lineRule="exact"/>
              <w:jc w:val="center"/>
              <w:textAlignment w:val="center"/>
              <w:rPr>
                <w:rFonts w:hint="eastAsia" w:ascii="宋体" w:hAnsi="宋体" w:eastAsia="宋体" w:cs="宋体"/>
                <w:sz w:val="22"/>
              </w:rPr>
            </w:pPr>
          </w:p>
        </w:tc>
        <w:tc>
          <w:tcPr>
            <w:tcW w:w="100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B9DDF8">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w:t>
            </w:r>
          </w:p>
        </w:tc>
      </w:tr>
      <w:tr w14:paraId="6CD59B8E">
        <w:tblPrEx>
          <w:tblCellMar>
            <w:top w:w="0" w:type="dxa"/>
            <w:left w:w="0" w:type="dxa"/>
            <w:bottom w:w="0" w:type="dxa"/>
            <w:right w:w="0" w:type="dxa"/>
          </w:tblCellMar>
        </w:tblPrEx>
        <w:trPr>
          <w:trHeight w:val="479" w:hRule="atLeast"/>
        </w:trPr>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34FB29">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1</w:t>
            </w:r>
          </w:p>
        </w:tc>
        <w:tc>
          <w:tcPr>
            <w:tcW w:w="1435"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2C6C58">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悬挂输送系统</w:t>
            </w:r>
          </w:p>
        </w:tc>
        <w:tc>
          <w:tcPr>
            <w:tcW w:w="31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D8C87E">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电动葫芦</w:t>
            </w:r>
          </w:p>
        </w:tc>
        <w:tc>
          <w:tcPr>
            <w:tcW w:w="15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78EC2F">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浙江凯岛/凯恒</w:t>
            </w:r>
          </w:p>
        </w:tc>
        <w:tc>
          <w:tcPr>
            <w:tcW w:w="72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56AA97">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台</w:t>
            </w:r>
          </w:p>
        </w:tc>
        <w:tc>
          <w:tcPr>
            <w:tcW w:w="7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2447B2">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10</w:t>
            </w:r>
          </w:p>
        </w:tc>
        <w:tc>
          <w:tcPr>
            <w:tcW w:w="100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388AA6">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5组</w:t>
            </w:r>
          </w:p>
        </w:tc>
      </w:tr>
      <w:tr w14:paraId="25B18AE7">
        <w:tblPrEx>
          <w:tblCellMar>
            <w:top w:w="0" w:type="dxa"/>
            <w:left w:w="0" w:type="dxa"/>
            <w:bottom w:w="0" w:type="dxa"/>
            <w:right w:w="0" w:type="dxa"/>
          </w:tblCellMar>
        </w:tblPrEx>
        <w:trPr>
          <w:trHeight w:val="612" w:hRule="atLeast"/>
        </w:trPr>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FF7896">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2</w:t>
            </w:r>
          </w:p>
        </w:tc>
        <w:tc>
          <w:tcPr>
            <w:tcW w:w="143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A71D22">
            <w:pPr>
              <w:spacing w:line="440" w:lineRule="exact"/>
              <w:jc w:val="center"/>
              <w:textAlignment w:val="center"/>
              <w:rPr>
                <w:rFonts w:hint="eastAsia" w:ascii="宋体" w:hAnsi="宋体" w:eastAsia="宋体" w:cs="宋体"/>
                <w:sz w:val="22"/>
              </w:rPr>
            </w:pPr>
          </w:p>
        </w:tc>
        <w:tc>
          <w:tcPr>
            <w:tcW w:w="31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EF82D6">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轨道、门架、立柱、滑触线、集电器、检修平台、检修道岔</w:t>
            </w:r>
          </w:p>
        </w:tc>
        <w:tc>
          <w:tcPr>
            <w:tcW w:w="15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8E01AF">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厂家配套</w:t>
            </w:r>
          </w:p>
        </w:tc>
        <w:tc>
          <w:tcPr>
            <w:tcW w:w="72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A5FF61">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套</w:t>
            </w:r>
          </w:p>
        </w:tc>
        <w:tc>
          <w:tcPr>
            <w:tcW w:w="7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DFD7A1">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1</w:t>
            </w:r>
          </w:p>
        </w:tc>
        <w:tc>
          <w:tcPr>
            <w:tcW w:w="100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02F294">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w:t>
            </w:r>
          </w:p>
        </w:tc>
      </w:tr>
      <w:tr w14:paraId="4AD65CA5">
        <w:tblPrEx>
          <w:tblCellMar>
            <w:top w:w="0" w:type="dxa"/>
            <w:left w:w="0" w:type="dxa"/>
            <w:bottom w:w="0" w:type="dxa"/>
            <w:right w:w="0" w:type="dxa"/>
          </w:tblCellMar>
        </w:tblPrEx>
        <w:trPr>
          <w:trHeight w:val="319" w:hRule="atLeast"/>
        </w:trPr>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097D62">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3</w:t>
            </w:r>
          </w:p>
        </w:tc>
        <w:tc>
          <w:tcPr>
            <w:tcW w:w="143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7707A0">
            <w:pPr>
              <w:spacing w:line="440" w:lineRule="exact"/>
              <w:jc w:val="center"/>
              <w:textAlignment w:val="center"/>
              <w:rPr>
                <w:rFonts w:hint="eastAsia" w:ascii="宋体" w:hAnsi="宋体" w:eastAsia="宋体" w:cs="宋体"/>
                <w:sz w:val="22"/>
              </w:rPr>
            </w:pPr>
          </w:p>
        </w:tc>
        <w:tc>
          <w:tcPr>
            <w:tcW w:w="31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7E53E1">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专用吊具</w:t>
            </w:r>
          </w:p>
        </w:tc>
        <w:tc>
          <w:tcPr>
            <w:tcW w:w="15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0942DC">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厂家配套</w:t>
            </w:r>
          </w:p>
        </w:tc>
        <w:tc>
          <w:tcPr>
            <w:tcW w:w="72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E9F5B2">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套</w:t>
            </w:r>
          </w:p>
        </w:tc>
        <w:tc>
          <w:tcPr>
            <w:tcW w:w="7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C6C0DC">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5</w:t>
            </w:r>
          </w:p>
        </w:tc>
        <w:tc>
          <w:tcPr>
            <w:tcW w:w="100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1CF33C">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w:t>
            </w:r>
          </w:p>
        </w:tc>
      </w:tr>
      <w:tr w14:paraId="2CAAD524">
        <w:tblPrEx>
          <w:tblCellMar>
            <w:top w:w="0" w:type="dxa"/>
            <w:left w:w="0" w:type="dxa"/>
            <w:bottom w:w="0" w:type="dxa"/>
            <w:right w:w="0" w:type="dxa"/>
          </w:tblCellMar>
        </w:tblPrEx>
        <w:trPr>
          <w:trHeight w:val="1319" w:hRule="atLeast"/>
        </w:trPr>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B0930D">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4</w:t>
            </w:r>
          </w:p>
        </w:tc>
        <w:tc>
          <w:tcPr>
            <w:tcW w:w="14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BC6E87">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前、后密封室</w:t>
            </w:r>
          </w:p>
        </w:tc>
        <w:tc>
          <w:tcPr>
            <w:tcW w:w="31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C13652">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室体采用双层结构，外层采用Q235碳素钢板与型钢焊接，内层采用NM500耐磨合金钢板防护,与抛丸室连接3m采用ZMn13固熔处理高锰钢板防护，辅室防护使用寿命＞30000小时。</w:t>
            </w:r>
          </w:p>
        </w:tc>
        <w:tc>
          <w:tcPr>
            <w:tcW w:w="15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0C785C">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国内一线品牌，防护需满足使用寿命</w:t>
            </w:r>
          </w:p>
        </w:tc>
        <w:tc>
          <w:tcPr>
            <w:tcW w:w="72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55F65B">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套</w:t>
            </w:r>
          </w:p>
        </w:tc>
        <w:tc>
          <w:tcPr>
            <w:tcW w:w="7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25CA5C">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2</w:t>
            </w:r>
          </w:p>
        </w:tc>
        <w:tc>
          <w:tcPr>
            <w:tcW w:w="100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A85CFC">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基本要求，允许正向偏离</w:t>
            </w:r>
          </w:p>
        </w:tc>
      </w:tr>
      <w:tr w14:paraId="7BAE980A">
        <w:tblPrEx>
          <w:tblCellMar>
            <w:top w:w="0" w:type="dxa"/>
            <w:left w:w="0" w:type="dxa"/>
            <w:bottom w:w="0" w:type="dxa"/>
            <w:right w:w="0" w:type="dxa"/>
          </w:tblCellMar>
        </w:tblPrEx>
        <w:trPr>
          <w:trHeight w:val="974" w:hRule="atLeast"/>
        </w:trPr>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D7F744">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5</w:t>
            </w:r>
          </w:p>
        </w:tc>
        <w:tc>
          <w:tcPr>
            <w:tcW w:w="14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DD5237">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抛丸室</w:t>
            </w:r>
          </w:p>
        </w:tc>
        <w:tc>
          <w:tcPr>
            <w:tcW w:w="31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B0B327">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室体采用双层结构，外层采用Q235钢板与型钢焊接，内层采用ZMn13固熔处理高锰钢板防护，辅室防护使用寿命＞30000小时。</w:t>
            </w:r>
          </w:p>
        </w:tc>
        <w:tc>
          <w:tcPr>
            <w:tcW w:w="15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935B2B">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国内一线品牌，防护需满足使用寿命</w:t>
            </w:r>
          </w:p>
        </w:tc>
        <w:tc>
          <w:tcPr>
            <w:tcW w:w="72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0B06F7">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套</w:t>
            </w:r>
          </w:p>
        </w:tc>
        <w:tc>
          <w:tcPr>
            <w:tcW w:w="7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5B0C99">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1</w:t>
            </w:r>
          </w:p>
        </w:tc>
        <w:tc>
          <w:tcPr>
            <w:tcW w:w="100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1DF4E4">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基本要求，允许正向偏离</w:t>
            </w:r>
          </w:p>
        </w:tc>
      </w:tr>
      <w:tr w14:paraId="6E6FFA4C">
        <w:tblPrEx>
          <w:tblCellMar>
            <w:top w:w="0" w:type="dxa"/>
            <w:left w:w="0" w:type="dxa"/>
            <w:bottom w:w="0" w:type="dxa"/>
            <w:right w:w="0" w:type="dxa"/>
          </w:tblCellMar>
        </w:tblPrEx>
        <w:trPr>
          <w:trHeight w:val="1199" w:hRule="atLeast"/>
        </w:trPr>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B1A673">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6</w:t>
            </w:r>
          </w:p>
        </w:tc>
        <w:tc>
          <w:tcPr>
            <w:tcW w:w="14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49FBBF">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倒砂（补喷）室</w:t>
            </w:r>
          </w:p>
        </w:tc>
        <w:tc>
          <w:tcPr>
            <w:tcW w:w="31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2618FB">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倒砂室整体为单层结构，采用Q235碳素钢板与型钢焊接结，具有足够的强度和刚性，内部喷白色油漆，增加亮度，室体使用寿命≥20年、作业平台、扶兰及踏步梯等</w:t>
            </w:r>
          </w:p>
        </w:tc>
        <w:tc>
          <w:tcPr>
            <w:tcW w:w="15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6BD74D">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国内一线品牌，防护需满足使用寿命</w:t>
            </w:r>
          </w:p>
        </w:tc>
        <w:tc>
          <w:tcPr>
            <w:tcW w:w="72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CCF577">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套</w:t>
            </w:r>
          </w:p>
        </w:tc>
        <w:tc>
          <w:tcPr>
            <w:tcW w:w="7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D8A337">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1</w:t>
            </w:r>
          </w:p>
        </w:tc>
        <w:tc>
          <w:tcPr>
            <w:tcW w:w="100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2AC65A">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基本要求，允许正向偏离</w:t>
            </w:r>
          </w:p>
        </w:tc>
      </w:tr>
      <w:tr w14:paraId="50B51BA7">
        <w:tblPrEx>
          <w:tblCellMar>
            <w:top w:w="0" w:type="dxa"/>
            <w:left w:w="0" w:type="dxa"/>
            <w:bottom w:w="0" w:type="dxa"/>
            <w:right w:w="0" w:type="dxa"/>
          </w:tblCellMar>
        </w:tblPrEx>
        <w:trPr>
          <w:trHeight w:val="1513" w:hRule="atLeast"/>
        </w:trPr>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2F96AE">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7</w:t>
            </w:r>
          </w:p>
        </w:tc>
        <w:tc>
          <w:tcPr>
            <w:tcW w:w="14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E1CB41">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顶部4级迷宫密封</w:t>
            </w:r>
          </w:p>
        </w:tc>
        <w:tc>
          <w:tcPr>
            <w:tcW w:w="31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ADBE97">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室体顶部吊钩通过槽设有4级迷宫密封装置。抛丸室顶部密封装置由进口高锰钢护板、2层聚氨酯板、尼龙毛排等组成；前后辅室顶部密封装置由进口高锰钢护板、2层聚氨酯板、尼龙毛排等</w:t>
            </w:r>
          </w:p>
        </w:tc>
        <w:tc>
          <w:tcPr>
            <w:tcW w:w="15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9F2FF9">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国内一线品牌，防护需满足使用寿命</w:t>
            </w:r>
          </w:p>
        </w:tc>
        <w:tc>
          <w:tcPr>
            <w:tcW w:w="72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EA2D87">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套</w:t>
            </w:r>
          </w:p>
        </w:tc>
        <w:tc>
          <w:tcPr>
            <w:tcW w:w="7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7AE2ED">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1</w:t>
            </w:r>
          </w:p>
        </w:tc>
        <w:tc>
          <w:tcPr>
            <w:tcW w:w="100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8F3EC6">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基本要求，允许正向偏离</w:t>
            </w:r>
          </w:p>
        </w:tc>
      </w:tr>
      <w:tr w14:paraId="37AF044A">
        <w:tblPrEx>
          <w:tblCellMar>
            <w:top w:w="0" w:type="dxa"/>
            <w:left w:w="0" w:type="dxa"/>
            <w:bottom w:w="0" w:type="dxa"/>
            <w:right w:w="0" w:type="dxa"/>
          </w:tblCellMar>
        </w:tblPrEx>
        <w:trPr>
          <w:trHeight w:val="319" w:hRule="atLeast"/>
        </w:trPr>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D0408C">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8</w:t>
            </w:r>
          </w:p>
        </w:tc>
        <w:tc>
          <w:tcPr>
            <w:tcW w:w="14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16B719">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下仓集丸斗</w:t>
            </w:r>
          </w:p>
        </w:tc>
        <w:tc>
          <w:tcPr>
            <w:tcW w:w="31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A7CFF2">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16ZMn13耐磨多孔漏砂板、格栅、集丸斗</w:t>
            </w:r>
          </w:p>
        </w:tc>
        <w:tc>
          <w:tcPr>
            <w:tcW w:w="15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DF0F48">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厂家配套</w:t>
            </w:r>
          </w:p>
        </w:tc>
        <w:tc>
          <w:tcPr>
            <w:tcW w:w="72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FD2365">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套</w:t>
            </w:r>
          </w:p>
        </w:tc>
        <w:tc>
          <w:tcPr>
            <w:tcW w:w="7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3B9E09">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1</w:t>
            </w:r>
          </w:p>
        </w:tc>
        <w:tc>
          <w:tcPr>
            <w:tcW w:w="100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6459C7">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w:t>
            </w:r>
          </w:p>
        </w:tc>
      </w:tr>
      <w:tr w14:paraId="2476201D">
        <w:tblPrEx>
          <w:tblCellMar>
            <w:top w:w="0" w:type="dxa"/>
            <w:left w:w="0" w:type="dxa"/>
            <w:bottom w:w="0" w:type="dxa"/>
            <w:right w:w="0" w:type="dxa"/>
          </w:tblCellMar>
        </w:tblPrEx>
        <w:trPr>
          <w:trHeight w:val="90" w:hRule="atLeast"/>
        </w:trPr>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432285">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9</w:t>
            </w:r>
          </w:p>
        </w:tc>
        <w:tc>
          <w:tcPr>
            <w:tcW w:w="14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0789AF">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抛丸器总成</w:t>
            </w:r>
          </w:p>
        </w:tc>
        <w:tc>
          <w:tcPr>
            <w:tcW w:w="31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26C4DB">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直嵌式抛丸器</w:t>
            </w:r>
          </w:p>
        </w:tc>
        <w:tc>
          <w:tcPr>
            <w:tcW w:w="15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C18EC5">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厂家配套</w:t>
            </w:r>
          </w:p>
        </w:tc>
        <w:tc>
          <w:tcPr>
            <w:tcW w:w="72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2B0ACC">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套</w:t>
            </w:r>
          </w:p>
        </w:tc>
        <w:tc>
          <w:tcPr>
            <w:tcW w:w="7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60CFE5">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16</w:t>
            </w:r>
          </w:p>
        </w:tc>
        <w:tc>
          <w:tcPr>
            <w:tcW w:w="100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227808">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基本要求，允许正向偏离</w:t>
            </w:r>
          </w:p>
        </w:tc>
      </w:tr>
      <w:tr w14:paraId="462723AC">
        <w:tblPrEx>
          <w:tblCellMar>
            <w:top w:w="0" w:type="dxa"/>
            <w:left w:w="0" w:type="dxa"/>
            <w:bottom w:w="0" w:type="dxa"/>
            <w:right w:w="0" w:type="dxa"/>
          </w:tblCellMar>
        </w:tblPrEx>
        <w:trPr>
          <w:trHeight w:val="612" w:hRule="atLeast"/>
        </w:trPr>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0A7927">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10</w:t>
            </w:r>
          </w:p>
        </w:tc>
        <w:tc>
          <w:tcPr>
            <w:tcW w:w="14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C005CD">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抛丸器检修机构</w:t>
            </w:r>
          </w:p>
        </w:tc>
        <w:tc>
          <w:tcPr>
            <w:tcW w:w="31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782365">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抛丸器检修桁架、1t环链电动葫芦、检修平台、爬梯等</w:t>
            </w:r>
          </w:p>
        </w:tc>
        <w:tc>
          <w:tcPr>
            <w:tcW w:w="15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7578F7">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厂家配套</w:t>
            </w:r>
          </w:p>
        </w:tc>
        <w:tc>
          <w:tcPr>
            <w:tcW w:w="72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974A2C">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套</w:t>
            </w:r>
          </w:p>
        </w:tc>
        <w:tc>
          <w:tcPr>
            <w:tcW w:w="7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45E5AA">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2</w:t>
            </w:r>
          </w:p>
        </w:tc>
        <w:tc>
          <w:tcPr>
            <w:tcW w:w="100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8A714C">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w:t>
            </w:r>
          </w:p>
        </w:tc>
      </w:tr>
      <w:tr w14:paraId="7A618180">
        <w:tblPrEx>
          <w:tblCellMar>
            <w:top w:w="0" w:type="dxa"/>
            <w:left w:w="0" w:type="dxa"/>
            <w:bottom w:w="0" w:type="dxa"/>
            <w:right w:w="0" w:type="dxa"/>
          </w:tblCellMar>
        </w:tblPrEx>
        <w:trPr>
          <w:trHeight w:val="651" w:hRule="atLeast"/>
        </w:trPr>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6B91FB">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11</w:t>
            </w:r>
          </w:p>
        </w:tc>
        <w:tc>
          <w:tcPr>
            <w:tcW w:w="14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5C7FC6">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抛丸器降噪房</w:t>
            </w:r>
          </w:p>
        </w:tc>
        <w:tc>
          <w:tcPr>
            <w:tcW w:w="31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E5363F">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抛丸室两侧抛丸器安装处，加装用于装饰和隔音的防护板，并安装用于进出的安全门</w:t>
            </w:r>
          </w:p>
        </w:tc>
        <w:tc>
          <w:tcPr>
            <w:tcW w:w="15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3CC1EC">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厂家配套</w:t>
            </w:r>
          </w:p>
        </w:tc>
        <w:tc>
          <w:tcPr>
            <w:tcW w:w="72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BD60BA">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套</w:t>
            </w:r>
          </w:p>
        </w:tc>
        <w:tc>
          <w:tcPr>
            <w:tcW w:w="7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968B28">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2</w:t>
            </w:r>
          </w:p>
        </w:tc>
        <w:tc>
          <w:tcPr>
            <w:tcW w:w="100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ABFB31">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w:t>
            </w:r>
          </w:p>
        </w:tc>
      </w:tr>
      <w:tr w14:paraId="55855B79">
        <w:tblPrEx>
          <w:tblCellMar>
            <w:top w:w="0" w:type="dxa"/>
            <w:left w:w="0" w:type="dxa"/>
            <w:bottom w:w="0" w:type="dxa"/>
            <w:right w:w="0" w:type="dxa"/>
          </w:tblCellMar>
        </w:tblPrEx>
        <w:trPr>
          <w:trHeight w:val="906" w:hRule="atLeast"/>
        </w:trPr>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0A754B">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12</w:t>
            </w:r>
          </w:p>
        </w:tc>
        <w:tc>
          <w:tcPr>
            <w:tcW w:w="1435"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B6520F">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丸砂循环系统</w:t>
            </w:r>
          </w:p>
        </w:tc>
        <w:tc>
          <w:tcPr>
            <w:tcW w:w="31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CDF84E">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斗式提升机含提升带、提升斗、上、下提升滚轮、壳体、调节涨紧装置、驱动装置、链轮、链条、轴承等</w:t>
            </w:r>
          </w:p>
        </w:tc>
        <w:tc>
          <w:tcPr>
            <w:tcW w:w="15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7072BE">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国茂减速机、哈、瓦、洛轴承</w:t>
            </w:r>
          </w:p>
        </w:tc>
        <w:tc>
          <w:tcPr>
            <w:tcW w:w="72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2CF7B4">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套</w:t>
            </w:r>
          </w:p>
        </w:tc>
        <w:tc>
          <w:tcPr>
            <w:tcW w:w="7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6A948C">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2</w:t>
            </w:r>
          </w:p>
        </w:tc>
        <w:tc>
          <w:tcPr>
            <w:tcW w:w="100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EE5553">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w:t>
            </w:r>
          </w:p>
        </w:tc>
      </w:tr>
      <w:tr w14:paraId="61939591">
        <w:tblPrEx>
          <w:tblCellMar>
            <w:top w:w="0" w:type="dxa"/>
            <w:left w:w="0" w:type="dxa"/>
            <w:bottom w:w="0" w:type="dxa"/>
            <w:right w:w="0" w:type="dxa"/>
          </w:tblCellMar>
        </w:tblPrEx>
        <w:trPr>
          <w:trHeight w:val="630" w:hRule="atLeast"/>
        </w:trPr>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8E0B00">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13</w:t>
            </w:r>
          </w:p>
        </w:tc>
        <w:tc>
          <w:tcPr>
            <w:tcW w:w="143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27CF47">
            <w:pPr>
              <w:spacing w:line="440" w:lineRule="exact"/>
              <w:jc w:val="center"/>
              <w:textAlignment w:val="center"/>
              <w:rPr>
                <w:rFonts w:hint="eastAsia" w:ascii="宋体" w:hAnsi="宋体" w:eastAsia="宋体" w:cs="宋体"/>
                <w:sz w:val="22"/>
              </w:rPr>
            </w:pPr>
          </w:p>
        </w:tc>
        <w:tc>
          <w:tcPr>
            <w:tcW w:w="31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966958">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分离器含输送螺旋，轴承，链轮，链条，驱动装置等</w:t>
            </w:r>
          </w:p>
        </w:tc>
        <w:tc>
          <w:tcPr>
            <w:tcW w:w="15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A68A96">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国茂减速机、哈、瓦、洛轴承</w:t>
            </w:r>
          </w:p>
        </w:tc>
        <w:tc>
          <w:tcPr>
            <w:tcW w:w="72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B48EE2">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套</w:t>
            </w:r>
          </w:p>
        </w:tc>
        <w:tc>
          <w:tcPr>
            <w:tcW w:w="7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EC3372">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2</w:t>
            </w:r>
          </w:p>
        </w:tc>
        <w:tc>
          <w:tcPr>
            <w:tcW w:w="100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8449F8">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w:t>
            </w:r>
          </w:p>
        </w:tc>
      </w:tr>
      <w:tr w14:paraId="7BFCDC0D">
        <w:tblPrEx>
          <w:tblCellMar>
            <w:top w:w="0" w:type="dxa"/>
            <w:left w:w="0" w:type="dxa"/>
            <w:bottom w:w="0" w:type="dxa"/>
            <w:right w:w="0" w:type="dxa"/>
          </w:tblCellMar>
        </w:tblPrEx>
        <w:trPr>
          <w:trHeight w:val="319" w:hRule="atLeast"/>
        </w:trPr>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096A91">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14</w:t>
            </w:r>
          </w:p>
        </w:tc>
        <w:tc>
          <w:tcPr>
            <w:tcW w:w="143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162066">
            <w:pPr>
              <w:spacing w:line="440" w:lineRule="exact"/>
              <w:jc w:val="center"/>
              <w:textAlignment w:val="center"/>
              <w:rPr>
                <w:rFonts w:hint="eastAsia" w:ascii="宋体" w:hAnsi="宋体" w:eastAsia="宋体" w:cs="宋体"/>
                <w:sz w:val="22"/>
              </w:rPr>
            </w:pPr>
          </w:p>
        </w:tc>
        <w:tc>
          <w:tcPr>
            <w:tcW w:w="31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DFA222">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电控气动控丸阀</w:t>
            </w:r>
          </w:p>
        </w:tc>
        <w:tc>
          <w:tcPr>
            <w:tcW w:w="15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8023BC">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亚德克气缸</w:t>
            </w:r>
          </w:p>
        </w:tc>
        <w:tc>
          <w:tcPr>
            <w:tcW w:w="72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81ABDD">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套</w:t>
            </w:r>
          </w:p>
        </w:tc>
        <w:tc>
          <w:tcPr>
            <w:tcW w:w="7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BEF8BF">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16</w:t>
            </w:r>
          </w:p>
        </w:tc>
        <w:tc>
          <w:tcPr>
            <w:tcW w:w="100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1422BA">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w:t>
            </w:r>
          </w:p>
        </w:tc>
      </w:tr>
      <w:tr w14:paraId="347509EB">
        <w:tblPrEx>
          <w:tblCellMar>
            <w:top w:w="0" w:type="dxa"/>
            <w:left w:w="0" w:type="dxa"/>
            <w:bottom w:w="0" w:type="dxa"/>
            <w:right w:w="0" w:type="dxa"/>
          </w:tblCellMar>
        </w:tblPrEx>
        <w:trPr>
          <w:trHeight w:val="371" w:hRule="atLeast"/>
        </w:trPr>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E982BE">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15</w:t>
            </w:r>
          </w:p>
        </w:tc>
        <w:tc>
          <w:tcPr>
            <w:tcW w:w="143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AB2E15">
            <w:pPr>
              <w:spacing w:line="440" w:lineRule="exact"/>
              <w:jc w:val="center"/>
              <w:textAlignment w:val="center"/>
              <w:rPr>
                <w:rFonts w:hint="eastAsia" w:ascii="宋体" w:hAnsi="宋体" w:eastAsia="宋体" w:cs="宋体"/>
                <w:sz w:val="22"/>
              </w:rPr>
            </w:pPr>
          </w:p>
        </w:tc>
        <w:tc>
          <w:tcPr>
            <w:tcW w:w="31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F2E6AB">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流丸管、节套、卡箍等</w:t>
            </w:r>
          </w:p>
        </w:tc>
        <w:tc>
          <w:tcPr>
            <w:tcW w:w="15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787F75">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厂家配套</w:t>
            </w:r>
          </w:p>
        </w:tc>
        <w:tc>
          <w:tcPr>
            <w:tcW w:w="72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82BCFB">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套</w:t>
            </w:r>
          </w:p>
        </w:tc>
        <w:tc>
          <w:tcPr>
            <w:tcW w:w="7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0288D9">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16</w:t>
            </w:r>
          </w:p>
        </w:tc>
        <w:tc>
          <w:tcPr>
            <w:tcW w:w="100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B5A07E">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w:t>
            </w:r>
          </w:p>
        </w:tc>
      </w:tr>
      <w:tr w14:paraId="4ACAC06B">
        <w:tblPrEx>
          <w:tblCellMar>
            <w:top w:w="0" w:type="dxa"/>
            <w:left w:w="0" w:type="dxa"/>
            <w:bottom w:w="0" w:type="dxa"/>
            <w:right w:w="0" w:type="dxa"/>
          </w:tblCellMar>
        </w:tblPrEx>
        <w:trPr>
          <w:trHeight w:val="906" w:hRule="atLeast"/>
        </w:trPr>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A930F9">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16</w:t>
            </w:r>
          </w:p>
        </w:tc>
        <w:tc>
          <w:tcPr>
            <w:tcW w:w="143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29684B">
            <w:pPr>
              <w:spacing w:line="440" w:lineRule="exact"/>
              <w:jc w:val="center"/>
              <w:textAlignment w:val="center"/>
              <w:rPr>
                <w:rFonts w:hint="eastAsia" w:ascii="宋体" w:hAnsi="宋体" w:eastAsia="宋体" w:cs="宋体"/>
                <w:sz w:val="22"/>
              </w:rPr>
            </w:pPr>
          </w:p>
        </w:tc>
        <w:tc>
          <w:tcPr>
            <w:tcW w:w="31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EE4252">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水平皮带输送机含机架、调节装置、环形皮带、托辊、立辊、前、后辊筒轴、驱动装置、链轮、链条、轴承等</w:t>
            </w:r>
          </w:p>
        </w:tc>
        <w:tc>
          <w:tcPr>
            <w:tcW w:w="15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821BB2">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国茂减速机、哈、瓦、洛轴承</w:t>
            </w:r>
          </w:p>
        </w:tc>
        <w:tc>
          <w:tcPr>
            <w:tcW w:w="72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715290">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套</w:t>
            </w:r>
          </w:p>
        </w:tc>
        <w:tc>
          <w:tcPr>
            <w:tcW w:w="7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7A96CD">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2</w:t>
            </w:r>
          </w:p>
        </w:tc>
        <w:tc>
          <w:tcPr>
            <w:tcW w:w="100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7563CD">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w:t>
            </w:r>
          </w:p>
        </w:tc>
      </w:tr>
      <w:tr w14:paraId="0130BC03">
        <w:tblPrEx>
          <w:tblCellMar>
            <w:top w:w="0" w:type="dxa"/>
            <w:left w:w="0" w:type="dxa"/>
            <w:bottom w:w="0" w:type="dxa"/>
            <w:right w:w="0" w:type="dxa"/>
          </w:tblCellMar>
        </w:tblPrEx>
        <w:trPr>
          <w:trHeight w:val="888" w:hRule="atLeast"/>
        </w:trPr>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3A4951">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17</w:t>
            </w:r>
          </w:p>
        </w:tc>
        <w:tc>
          <w:tcPr>
            <w:tcW w:w="143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ABAB91">
            <w:pPr>
              <w:spacing w:line="440" w:lineRule="exact"/>
              <w:jc w:val="center"/>
              <w:textAlignment w:val="center"/>
              <w:rPr>
                <w:rFonts w:hint="eastAsia" w:ascii="宋体" w:hAnsi="宋体" w:eastAsia="宋体" w:cs="宋体"/>
                <w:sz w:val="22"/>
              </w:rPr>
            </w:pPr>
          </w:p>
        </w:tc>
        <w:tc>
          <w:tcPr>
            <w:tcW w:w="31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03DDB8">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横向螺旋输送器：含壳体，绞龙，轴承，链轮，链条，驱动装置等</w:t>
            </w:r>
          </w:p>
        </w:tc>
        <w:tc>
          <w:tcPr>
            <w:tcW w:w="15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8F5A95">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国茂减速机、哈、瓦、洛轴承</w:t>
            </w:r>
          </w:p>
        </w:tc>
        <w:tc>
          <w:tcPr>
            <w:tcW w:w="72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F00069">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套</w:t>
            </w:r>
          </w:p>
        </w:tc>
        <w:tc>
          <w:tcPr>
            <w:tcW w:w="7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A8DCAD">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2</w:t>
            </w:r>
          </w:p>
        </w:tc>
        <w:tc>
          <w:tcPr>
            <w:tcW w:w="100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9E6D41">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w:t>
            </w:r>
          </w:p>
        </w:tc>
      </w:tr>
      <w:tr w14:paraId="4C5C9ED1">
        <w:tblPrEx>
          <w:tblCellMar>
            <w:top w:w="0" w:type="dxa"/>
            <w:left w:w="0" w:type="dxa"/>
            <w:bottom w:w="0" w:type="dxa"/>
            <w:right w:w="0" w:type="dxa"/>
          </w:tblCellMar>
        </w:tblPrEx>
        <w:trPr>
          <w:trHeight w:val="612" w:hRule="atLeast"/>
        </w:trPr>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D0DB72">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18</w:t>
            </w:r>
          </w:p>
        </w:tc>
        <w:tc>
          <w:tcPr>
            <w:tcW w:w="143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98BF23">
            <w:pPr>
              <w:spacing w:line="440" w:lineRule="exact"/>
              <w:jc w:val="center"/>
              <w:textAlignment w:val="center"/>
              <w:rPr>
                <w:rFonts w:hint="eastAsia" w:ascii="宋体" w:hAnsi="宋体" w:eastAsia="宋体" w:cs="宋体"/>
                <w:sz w:val="22"/>
              </w:rPr>
            </w:pPr>
          </w:p>
        </w:tc>
        <w:tc>
          <w:tcPr>
            <w:tcW w:w="31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3CBA45">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纵向螺旋输送器：含壳体，绞龙，轴承，链轮，链条，驱动装置等</w:t>
            </w:r>
          </w:p>
        </w:tc>
        <w:tc>
          <w:tcPr>
            <w:tcW w:w="15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F5F3ED">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国茂减速机、哈、瓦、洛轴承</w:t>
            </w:r>
          </w:p>
        </w:tc>
        <w:tc>
          <w:tcPr>
            <w:tcW w:w="72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4A3891">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套</w:t>
            </w:r>
          </w:p>
        </w:tc>
        <w:tc>
          <w:tcPr>
            <w:tcW w:w="7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063166">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1</w:t>
            </w:r>
          </w:p>
        </w:tc>
        <w:tc>
          <w:tcPr>
            <w:tcW w:w="100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AA9D08">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w:t>
            </w:r>
          </w:p>
        </w:tc>
      </w:tr>
      <w:tr w14:paraId="191822D6">
        <w:tblPrEx>
          <w:tblCellMar>
            <w:top w:w="0" w:type="dxa"/>
            <w:left w:w="0" w:type="dxa"/>
            <w:bottom w:w="0" w:type="dxa"/>
            <w:right w:w="0" w:type="dxa"/>
          </w:tblCellMar>
        </w:tblPrEx>
        <w:trPr>
          <w:trHeight w:val="608" w:hRule="atLeast"/>
        </w:trPr>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9977FA">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11</w:t>
            </w:r>
          </w:p>
        </w:tc>
        <w:tc>
          <w:tcPr>
            <w:tcW w:w="14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697539">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照明系统</w:t>
            </w:r>
          </w:p>
        </w:tc>
        <w:tc>
          <w:tcPr>
            <w:tcW w:w="31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22F30C">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倒砂（补喷）室照明、地坑照明</w:t>
            </w:r>
          </w:p>
        </w:tc>
        <w:tc>
          <w:tcPr>
            <w:tcW w:w="15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D8EF29">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海洋王、哈工大品牌</w:t>
            </w:r>
          </w:p>
        </w:tc>
        <w:tc>
          <w:tcPr>
            <w:tcW w:w="72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4E8581">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套</w:t>
            </w:r>
          </w:p>
        </w:tc>
        <w:tc>
          <w:tcPr>
            <w:tcW w:w="7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F64EC0">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1</w:t>
            </w:r>
          </w:p>
        </w:tc>
        <w:tc>
          <w:tcPr>
            <w:tcW w:w="100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FA63B8">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w:t>
            </w:r>
          </w:p>
        </w:tc>
      </w:tr>
      <w:tr w14:paraId="3819C3B4">
        <w:tblPrEx>
          <w:tblCellMar>
            <w:top w:w="0" w:type="dxa"/>
            <w:left w:w="0" w:type="dxa"/>
            <w:bottom w:w="0" w:type="dxa"/>
            <w:right w:w="0" w:type="dxa"/>
          </w:tblCellMar>
        </w:tblPrEx>
        <w:trPr>
          <w:trHeight w:val="612" w:hRule="atLeast"/>
        </w:trPr>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AA8229">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12</w:t>
            </w:r>
          </w:p>
        </w:tc>
        <w:tc>
          <w:tcPr>
            <w:tcW w:w="14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BD03AD">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平台、踏步梯、扶手</w:t>
            </w:r>
          </w:p>
        </w:tc>
        <w:tc>
          <w:tcPr>
            <w:tcW w:w="31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05B5B0">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设备主体、提升机、分离器检修平台踏步梯、扶手等</w:t>
            </w:r>
          </w:p>
        </w:tc>
        <w:tc>
          <w:tcPr>
            <w:tcW w:w="15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F597AA">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厂家配套</w:t>
            </w:r>
          </w:p>
        </w:tc>
        <w:tc>
          <w:tcPr>
            <w:tcW w:w="72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A68E17">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套</w:t>
            </w:r>
          </w:p>
        </w:tc>
        <w:tc>
          <w:tcPr>
            <w:tcW w:w="7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15B7D0">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1</w:t>
            </w:r>
          </w:p>
        </w:tc>
        <w:tc>
          <w:tcPr>
            <w:tcW w:w="100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E27920">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w:t>
            </w:r>
          </w:p>
        </w:tc>
      </w:tr>
      <w:tr w14:paraId="45A31703">
        <w:tblPrEx>
          <w:tblCellMar>
            <w:top w:w="0" w:type="dxa"/>
            <w:left w:w="0" w:type="dxa"/>
            <w:bottom w:w="0" w:type="dxa"/>
            <w:right w:w="0" w:type="dxa"/>
          </w:tblCellMar>
        </w:tblPrEx>
        <w:trPr>
          <w:trHeight w:val="543" w:hRule="atLeast"/>
        </w:trPr>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35E3E1">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13</w:t>
            </w:r>
          </w:p>
        </w:tc>
        <w:tc>
          <w:tcPr>
            <w:tcW w:w="14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7FC95E">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补喷系统</w:t>
            </w:r>
          </w:p>
        </w:tc>
        <w:tc>
          <w:tcPr>
            <w:tcW w:w="31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AF5E2D">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喷砂机、喷砂管、喷枪、遥控器等</w:t>
            </w:r>
          </w:p>
        </w:tc>
        <w:tc>
          <w:tcPr>
            <w:tcW w:w="15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B7C02D">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厂家配套</w:t>
            </w:r>
          </w:p>
        </w:tc>
        <w:tc>
          <w:tcPr>
            <w:tcW w:w="72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EC15C9">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套</w:t>
            </w:r>
          </w:p>
        </w:tc>
        <w:tc>
          <w:tcPr>
            <w:tcW w:w="7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68789C">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1</w:t>
            </w:r>
          </w:p>
        </w:tc>
        <w:tc>
          <w:tcPr>
            <w:tcW w:w="100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EAF342">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w:t>
            </w:r>
          </w:p>
        </w:tc>
      </w:tr>
      <w:tr w14:paraId="6D524010">
        <w:tblPrEx>
          <w:tblCellMar>
            <w:top w:w="0" w:type="dxa"/>
            <w:left w:w="0" w:type="dxa"/>
            <w:bottom w:w="0" w:type="dxa"/>
            <w:right w:w="0" w:type="dxa"/>
          </w:tblCellMar>
        </w:tblPrEx>
        <w:trPr>
          <w:trHeight w:val="612" w:hRule="atLeast"/>
        </w:trPr>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572CAF">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14</w:t>
            </w:r>
          </w:p>
        </w:tc>
        <w:tc>
          <w:tcPr>
            <w:tcW w:w="1435"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B4D5EE">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除尘系统</w:t>
            </w:r>
          </w:p>
        </w:tc>
        <w:tc>
          <w:tcPr>
            <w:tcW w:w="31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F00B87">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沉降集丸器、旋风除尘器、脉冲反吹滤筒除尘器</w:t>
            </w:r>
          </w:p>
        </w:tc>
        <w:tc>
          <w:tcPr>
            <w:tcW w:w="15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55297D">
            <w:pPr>
              <w:spacing w:line="440" w:lineRule="exact"/>
              <w:jc w:val="center"/>
              <w:textAlignment w:val="center"/>
              <w:rPr>
                <w:rFonts w:hint="default" w:ascii="宋体" w:hAnsi="宋体" w:eastAsia="宋体" w:cs="宋体"/>
                <w:sz w:val="22"/>
                <w:lang w:val="en-US"/>
              </w:rPr>
            </w:pPr>
            <w:r>
              <w:rPr>
                <w:rFonts w:hint="eastAsia" w:ascii="宋体" w:hAnsi="宋体" w:eastAsia="宋体" w:cs="宋体"/>
                <w:sz w:val="22"/>
                <w:lang w:val="en-US" w:eastAsia="zh-CN"/>
              </w:rPr>
              <w:t>国内一线，一级能效</w:t>
            </w:r>
          </w:p>
        </w:tc>
        <w:tc>
          <w:tcPr>
            <w:tcW w:w="72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CB066B">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套</w:t>
            </w:r>
          </w:p>
        </w:tc>
        <w:tc>
          <w:tcPr>
            <w:tcW w:w="7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9ACB47">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2</w:t>
            </w:r>
          </w:p>
        </w:tc>
        <w:tc>
          <w:tcPr>
            <w:tcW w:w="100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5E598F">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w:t>
            </w:r>
          </w:p>
        </w:tc>
      </w:tr>
      <w:tr w14:paraId="56E74881">
        <w:tblPrEx>
          <w:tblCellMar>
            <w:top w:w="0" w:type="dxa"/>
            <w:left w:w="0" w:type="dxa"/>
            <w:bottom w:w="0" w:type="dxa"/>
            <w:right w:w="0" w:type="dxa"/>
          </w:tblCellMar>
        </w:tblPrEx>
        <w:trPr>
          <w:trHeight w:val="759" w:hRule="atLeast"/>
        </w:trPr>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AC45EB">
            <w:pPr>
              <w:spacing w:line="440" w:lineRule="exact"/>
              <w:jc w:val="center"/>
              <w:textAlignment w:val="center"/>
              <w:rPr>
                <w:rFonts w:hint="eastAsia" w:ascii="宋体" w:hAnsi="宋体" w:eastAsia="宋体" w:cs="宋体"/>
                <w:sz w:val="22"/>
              </w:rPr>
            </w:pPr>
          </w:p>
        </w:tc>
        <w:tc>
          <w:tcPr>
            <w:tcW w:w="143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7D3FB1">
            <w:pPr>
              <w:spacing w:line="440" w:lineRule="exact"/>
              <w:jc w:val="center"/>
              <w:textAlignment w:val="center"/>
              <w:rPr>
                <w:rFonts w:hint="eastAsia" w:ascii="宋体" w:hAnsi="宋体" w:eastAsia="宋体" w:cs="宋体"/>
                <w:sz w:val="22"/>
              </w:rPr>
            </w:pPr>
          </w:p>
        </w:tc>
        <w:tc>
          <w:tcPr>
            <w:tcW w:w="31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BFCF99">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除尘风管、风量调节蝶阀、消音器、隔音房、烟囱等</w:t>
            </w:r>
          </w:p>
        </w:tc>
        <w:tc>
          <w:tcPr>
            <w:tcW w:w="15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E3AF1F">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厂家配套</w:t>
            </w:r>
          </w:p>
        </w:tc>
        <w:tc>
          <w:tcPr>
            <w:tcW w:w="72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00F37F">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套</w:t>
            </w:r>
          </w:p>
        </w:tc>
        <w:tc>
          <w:tcPr>
            <w:tcW w:w="7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DD61B5">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2</w:t>
            </w:r>
          </w:p>
        </w:tc>
        <w:tc>
          <w:tcPr>
            <w:tcW w:w="100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A975F8">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w:t>
            </w:r>
          </w:p>
        </w:tc>
      </w:tr>
      <w:tr w14:paraId="0EC60A2E">
        <w:tblPrEx>
          <w:tblCellMar>
            <w:top w:w="0" w:type="dxa"/>
            <w:left w:w="0" w:type="dxa"/>
            <w:bottom w:w="0" w:type="dxa"/>
            <w:right w:w="0" w:type="dxa"/>
          </w:tblCellMar>
        </w:tblPrEx>
        <w:trPr>
          <w:trHeight w:val="612" w:hRule="atLeast"/>
        </w:trPr>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1F9DF1">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15</w:t>
            </w:r>
          </w:p>
        </w:tc>
        <w:tc>
          <w:tcPr>
            <w:tcW w:w="14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7A74BF">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电控系统</w:t>
            </w:r>
          </w:p>
        </w:tc>
        <w:tc>
          <w:tcPr>
            <w:tcW w:w="31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5BFBAE">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仿威图集控柜、西门子PLC、昆仑通太液晶显示器、施耐德电器元件等</w:t>
            </w:r>
          </w:p>
        </w:tc>
        <w:tc>
          <w:tcPr>
            <w:tcW w:w="15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CB87AD">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w:t>
            </w:r>
          </w:p>
        </w:tc>
        <w:tc>
          <w:tcPr>
            <w:tcW w:w="72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6A7736">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套</w:t>
            </w:r>
          </w:p>
        </w:tc>
        <w:tc>
          <w:tcPr>
            <w:tcW w:w="7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D24394">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1</w:t>
            </w:r>
          </w:p>
        </w:tc>
        <w:tc>
          <w:tcPr>
            <w:tcW w:w="100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BD8FBA">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w:t>
            </w:r>
          </w:p>
        </w:tc>
      </w:tr>
      <w:tr w14:paraId="188F2787">
        <w:tblPrEx>
          <w:tblCellMar>
            <w:top w:w="0" w:type="dxa"/>
            <w:left w:w="0" w:type="dxa"/>
            <w:bottom w:w="0" w:type="dxa"/>
            <w:right w:w="0" w:type="dxa"/>
          </w:tblCellMar>
        </w:tblPrEx>
        <w:trPr>
          <w:trHeight w:val="716" w:hRule="atLeast"/>
        </w:trPr>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D9052F">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16</w:t>
            </w:r>
          </w:p>
        </w:tc>
        <w:tc>
          <w:tcPr>
            <w:tcW w:w="14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8C5343">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气控系统</w:t>
            </w:r>
          </w:p>
        </w:tc>
        <w:tc>
          <w:tcPr>
            <w:tcW w:w="31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B14899">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气控箱、三位五通电磁阀、气管、快接等</w:t>
            </w:r>
          </w:p>
        </w:tc>
        <w:tc>
          <w:tcPr>
            <w:tcW w:w="15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B612E6">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亚德克</w:t>
            </w:r>
          </w:p>
        </w:tc>
        <w:tc>
          <w:tcPr>
            <w:tcW w:w="72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933252">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套</w:t>
            </w:r>
          </w:p>
        </w:tc>
        <w:tc>
          <w:tcPr>
            <w:tcW w:w="7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9DB763">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1</w:t>
            </w:r>
          </w:p>
        </w:tc>
        <w:tc>
          <w:tcPr>
            <w:tcW w:w="100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5B8CC6">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w:t>
            </w:r>
          </w:p>
        </w:tc>
      </w:tr>
      <w:tr w14:paraId="3794E4A0">
        <w:tblPrEx>
          <w:tblCellMar>
            <w:top w:w="0" w:type="dxa"/>
            <w:left w:w="0" w:type="dxa"/>
            <w:bottom w:w="0" w:type="dxa"/>
            <w:right w:w="0" w:type="dxa"/>
          </w:tblCellMar>
        </w:tblPrEx>
        <w:trPr>
          <w:trHeight w:val="319" w:hRule="atLeast"/>
        </w:trPr>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E78829">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17</w:t>
            </w:r>
          </w:p>
        </w:tc>
        <w:tc>
          <w:tcPr>
            <w:tcW w:w="14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C71D7E">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油漆</w:t>
            </w:r>
          </w:p>
        </w:tc>
        <w:tc>
          <w:tcPr>
            <w:tcW w:w="31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1CCF79">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根据买方提供色标</w:t>
            </w:r>
          </w:p>
        </w:tc>
        <w:tc>
          <w:tcPr>
            <w:tcW w:w="15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99A0D9">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佐敦</w:t>
            </w:r>
          </w:p>
        </w:tc>
        <w:tc>
          <w:tcPr>
            <w:tcW w:w="72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36856C">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套</w:t>
            </w:r>
          </w:p>
        </w:tc>
        <w:tc>
          <w:tcPr>
            <w:tcW w:w="7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CBD1EC">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1</w:t>
            </w:r>
          </w:p>
        </w:tc>
        <w:tc>
          <w:tcPr>
            <w:tcW w:w="100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E839E2">
            <w:pPr>
              <w:spacing w:line="440" w:lineRule="exact"/>
              <w:jc w:val="center"/>
              <w:textAlignment w:val="center"/>
              <w:rPr>
                <w:rFonts w:hint="eastAsia" w:ascii="宋体" w:hAnsi="宋体" w:eastAsia="宋体" w:cs="宋体"/>
                <w:sz w:val="22"/>
              </w:rPr>
            </w:pPr>
            <w:r>
              <w:rPr>
                <w:rFonts w:hint="eastAsia" w:ascii="宋体" w:hAnsi="宋体" w:eastAsia="宋体" w:cs="宋体"/>
                <w:sz w:val="22"/>
                <w:lang w:val="en-US" w:eastAsia="zh-CN"/>
              </w:rPr>
              <w:t>/</w:t>
            </w:r>
          </w:p>
        </w:tc>
      </w:tr>
    </w:tbl>
    <w:p w14:paraId="69BB0753">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eastAsia="宋体" w:cs="宋体"/>
          <w:sz w:val="24"/>
        </w:rPr>
      </w:pPr>
      <w:r>
        <w:rPr>
          <w:rFonts w:hint="eastAsia" w:ascii="宋体" w:hAnsi="宋体" w:eastAsia="宋体" w:cs="宋体"/>
          <w:sz w:val="24"/>
        </w:rPr>
        <w:t>注：具体以详细设计为准，要求性能不能低于招标文件。</w:t>
      </w:r>
    </w:p>
    <w:p w14:paraId="2118A0E3">
      <w:pPr>
        <w:spacing w:line="440" w:lineRule="exact"/>
        <w:rPr>
          <w:rFonts w:hint="eastAsia" w:ascii="Times New Roman" w:hAnsi="Times New Roman" w:eastAsia="宋体"/>
          <w:b/>
          <w:bCs/>
          <w:kern w:val="44"/>
          <w:sz w:val="36"/>
          <w:szCs w:val="44"/>
        </w:rPr>
        <w:sectPr>
          <w:pgSz w:w="11907" w:h="16840"/>
          <w:pgMar w:top="1025" w:right="1418" w:bottom="1418" w:left="1418" w:header="724" w:footer="851" w:gutter="0"/>
          <w:cols w:space="720" w:num="1"/>
          <w:docGrid w:linePitch="290" w:charSpace="-3931"/>
        </w:sectPr>
      </w:pPr>
    </w:p>
    <w:p w14:paraId="3E51FBEE">
      <w:pPr>
        <w:keepNext/>
        <w:keepLines/>
        <w:spacing w:line="440" w:lineRule="exact"/>
        <w:jc w:val="center"/>
        <w:outlineLvl w:val="0"/>
        <w:rPr>
          <w:rFonts w:hint="eastAsia" w:ascii="Times New Roman" w:hAnsi="Times New Roman" w:eastAsia="宋体"/>
          <w:b/>
          <w:bCs/>
          <w:kern w:val="44"/>
          <w:sz w:val="36"/>
          <w:szCs w:val="44"/>
        </w:rPr>
      </w:pPr>
      <w:r>
        <w:rPr>
          <w:rFonts w:hint="eastAsia" w:ascii="Times New Roman" w:hAnsi="Times New Roman" w:eastAsia="宋体"/>
          <w:b/>
          <w:bCs/>
          <w:kern w:val="44"/>
          <w:sz w:val="36"/>
          <w:szCs w:val="44"/>
        </w:rPr>
        <w:t>第</w:t>
      </w:r>
      <w:r>
        <w:rPr>
          <w:rFonts w:hint="eastAsia" w:ascii="Times New Roman" w:hAnsi="Times New Roman" w:eastAsia="宋体"/>
          <w:b/>
          <w:bCs/>
          <w:kern w:val="44"/>
          <w:sz w:val="36"/>
          <w:szCs w:val="44"/>
          <w:lang w:val="en-US" w:eastAsia="zh-CN"/>
        </w:rPr>
        <w:t>三</w:t>
      </w:r>
      <w:r>
        <w:rPr>
          <w:rFonts w:hint="eastAsia" w:ascii="Times New Roman" w:hAnsi="Times New Roman" w:eastAsia="宋体"/>
          <w:b/>
          <w:bCs/>
          <w:kern w:val="44"/>
          <w:sz w:val="36"/>
          <w:szCs w:val="44"/>
        </w:rPr>
        <w:t>章 执行标准和规范</w:t>
      </w:r>
    </w:p>
    <w:p w14:paraId="49757B06">
      <w:pPr>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下列文件（包含但不仅限于）对于本文件的应用是必不可少的。凡是不注日期的引用文件，其最新版本（包括所有的修改单）适用于本文件。</w:t>
      </w:r>
    </w:p>
    <w:p w14:paraId="0D44AC53">
      <w:pPr>
        <w:adjustRightInd w:val="0"/>
        <w:snapToGrid w:val="0"/>
        <w:spacing w:before="120" w:beforeLines="50" w:after="120" w:afterLines="50" w:line="440" w:lineRule="exact"/>
        <w:ind w:firstLine="480" w:firstLineChars="200"/>
        <w:jc w:val="left"/>
        <w:outlineLvl w:val="0"/>
        <w:rPr>
          <w:rFonts w:hint="eastAsia" w:ascii="宋体" w:hAnsi="宋体" w:eastAsia="宋体" w:cs="宋体"/>
          <w:sz w:val="24"/>
          <w:szCs w:val="24"/>
        </w:rPr>
      </w:pPr>
      <w:r>
        <w:rPr>
          <w:rFonts w:hint="eastAsia" w:ascii="宋体" w:hAnsi="宋体" w:eastAsia="宋体" w:cs="宋体"/>
          <w:sz w:val="24"/>
          <w:szCs w:val="24"/>
        </w:rPr>
        <w:t>JB/T 8355—96 《抛喷丸设备通用技术条件》</w:t>
      </w:r>
    </w:p>
    <w:p w14:paraId="35A208A0">
      <w:pPr>
        <w:adjustRightInd w:val="0"/>
        <w:snapToGrid w:val="0"/>
        <w:spacing w:before="120" w:beforeLines="50" w:after="120" w:afterLines="50" w:line="440" w:lineRule="exact"/>
        <w:ind w:firstLine="480" w:firstLineChars="200"/>
        <w:jc w:val="left"/>
        <w:outlineLvl w:val="0"/>
        <w:rPr>
          <w:rFonts w:hint="eastAsia" w:ascii="宋体" w:hAnsi="宋体" w:eastAsia="宋体" w:cs="宋体"/>
          <w:sz w:val="24"/>
          <w:szCs w:val="24"/>
        </w:rPr>
      </w:pPr>
      <w:r>
        <w:rPr>
          <w:rFonts w:hint="eastAsia" w:ascii="宋体" w:hAnsi="宋体" w:eastAsia="宋体" w:cs="宋体"/>
          <w:sz w:val="24"/>
          <w:szCs w:val="24"/>
        </w:rPr>
        <w:t>JB/T 5364—91 《砂处理、清理设备涂漆技术条件》</w:t>
      </w:r>
    </w:p>
    <w:p w14:paraId="3A85CB68">
      <w:pPr>
        <w:adjustRightInd w:val="0"/>
        <w:snapToGrid w:val="0"/>
        <w:spacing w:before="120" w:beforeLines="50" w:after="120" w:afterLines="50" w:line="440" w:lineRule="exact"/>
        <w:ind w:firstLine="480" w:firstLineChars="200"/>
        <w:jc w:val="left"/>
        <w:outlineLvl w:val="0"/>
        <w:rPr>
          <w:rFonts w:hint="eastAsia" w:ascii="宋体" w:hAnsi="宋体" w:eastAsia="宋体" w:cs="宋体"/>
          <w:sz w:val="24"/>
          <w:szCs w:val="24"/>
        </w:rPr>
      </w:pPr>
      <w:r>
        <w:rPr>
          <w:rFonts w:hint="eastAsia" w:ascii="宋体" w:hAnsi="宋体" w:eastAsia="宋体" w:cs="宋体"/>
          <w:sz w:val="24"/>
          <w:szCs w:val="24"/>
        </w:rPr>
        <w:t>JB/T 1644</w:t>
      </w:r>
      <w:r>
        <w:rPr>
          <w:rFonts w:hint="eastAsia" w:ascii="宋体" w:hAnsi="宋体" w:eastAsia="宋体" w:cs="宋体"/>
          <w:sz w:val="24"/>
          <w:szCs w:val="24"/>
        </w:rPr>
        <w:softHyphen/>
      </w:r>
      <w:r>
        <w:rPr>
          <w:rFonts w:hint="eastAsia" w:ascii="宋体" w:hAnsi="宋体" w:eastAsia="宋体" w:cs="宋体"/>
          <w:sz w:val="24"/>
          <w:szCs w:val="24"/>
        </w:rPr>
        <w:t>—2005 《铸造机械通用技术条件》</w:t>
      </w:r>
    </w:p>
    <w:p w14:paraId="213C7A70">
      <w:pPr>
        <w:adjustRightInd w:val="0"/>
        <w:snapToGrid w:val="0"/>
        <w:spacing w:before="120" w:beforeLines="50" w:after="120" w:afterLines="50" w:line="440" w:lineRule="exact"/>
        <w:ind w:firstLine="480" w:firstLineChars="200"/>
        <w:jc w:val="left"/>
        <w:outlineLvl w:val="0"/>
        <w:rPr>
          <w:rFonts w:hint="eastAsia" w:ascii="宋体" w:hAnsi="宋体" w:eastAsia="宋体" w:cs="宋体"/>
          <w:sz w:val="24"/>
          <w:szCs w:val="24"/>
        </w:rPr>
      </w:pPr>
      <w:r>
        <w:rPr>
          <w:rFonts w:hint="eastAsia" w:ascii="宋体" w:hAnsi="宋体" w:eastAsia="宋体" w:cs="宋体"/>
          <w:sz w:val="24"/>
          <w:szCs w:val="24"/>
        </w:rPr>
        <w:t>JB 5545—1991 《铸造机械安全防护技术条件》</w:t>
      </w:r>
    </w:p>
    <w:p w14:paraId="596447F0">
      <w:pPr>
        <w:adjustRightInd w:val="0"/>
        <w:snapToGrid w:val="0"/>
        <w:spacing w:before="120" w:beforeLines="50" w:after="120" w:afterLines="50" w:line="440" w:lineRule="exact"/>
        <w:ind w:firstLine="480" w:firstLineChars="200"/>
        <w:jc w:val="left"/>
        <w:outlineLvl w:val="0"/>
        <w:rPr>
          <w:rFonts w:hint="eastAsia" w:ascii="宋体" w:hAnsi="宋体" w:eastAsia="宋体" w:cs="宋体"/>
          <w:sz w:val="24"/>
          <w:szCs w:val="24"/>
        </w:rPr>
      </w:pPr>
      <w:r>
        <w:rPr>
          <w:rFonts w:hint="eastAsia" w:ascii="宋体" w:hAnsi="宋体" w:eastAsia="宋体" w:cs="宋体"/>
          <w:sz w:val="24"/>
          <w:szCs w:val="24"/>
        </w:rPr>
        <w:t>GBJ 205-2001 《钢结构工程施工及验收规范》</w:t>
      </w:r>
    </w:p>
    <w:p w14:paraId="1D3F1BBE">
      <w:pPr>
        <w:adjustRightInd w:val="0"/>
        <w:snapToGrid w:val="0"/>
        <w:spacing w:before="120" w:beforeLines="50" w:after="120" w:afterLines="50" w:line="440" w:lineRule="exact"/>
        <w:ind w:firstLine="480" w:firstLineChars="200"/>
        <w:jc w:val="left"/>
        <w:outlineLvl w:val="0"/>
        <w:rPr>
          <w:rFonts w:hint="eastAsia" w:ascii="宋体" w:hAnsi="宋体" w:eastAsia="宋体" w:cs="宋体"/>
          <w:sz w:val="24"/>
          <w:szCs w:val="24"/>
        </w:rPr>
      </w:pPr>
      <w:r>
        <w:rPr>
          <w:rFonts w:hint="eastAsia" w:ascii="宋体" w:hAnsi="宋体" w:eastAsia="宋体" w:cs="宋体"/>
          <w:sz w:val="24"/>
          <w:szCs w:val="24"/>
        </w:rPr>
        <w:t>GB 4053.1-93  《固定式钢直梯安全技术标准》</w:t>
      </w:r>
    </w:p>
    <w:p w14:paraId="5AC94350">
      <w:pPr>
        <w:adjustRightInd w:val="0"/>
        <w:snapToGrid w:val="0"/>
        <w:spacing w:before="120" w:beforeLines="50" w:after="120" w:afterLines="50" w:line="440" w:lineRule="exact"/>
        <w:ind w:firstLine="480" w:firstLineChars="200"/>
        <w:jc w:val="left"/>
        <w:outlineLvl w:val="0"/>
        <w:rPr>
          <w:rFonts w:hint="eastAsia" w:ascii="宋体" w:hAnsi="宋体" w:eastAsia="宋体" w:cs="宋体"/>
          <w:sz w:val="24"/>
          <w:szCs w:val="24"/>
        </w:rPr>
      </w:pPr>
      <w:r>
        <w:rPr>
          <w:rFonts w:hint="eastAsia" w:ascii="宋体" w:hAnsi="宋体" w:eastAsia="宋体" w:cs="宋体"/>
          <w:sz w:val="24"/>
          <w:szCs w:val="24"/>
        </w:rPr>
        <w:t>GB 4053.2-93  《固定式钢斜梯安全技术标准》</w:t>
      </w:r>
    </w:p>
    <w:p w14:paraId="080CA659">
      <w:pPr>
        <w:adjustRightInd w:val="0"/>
        <w:snapToGrid w:val="0"/>
        <w:spacing w:before="120" w:beforeLines="50" w:after="120" w:afterLines="50" w:line="440" w:lineRule="exact"/>
        <w:ind w:firstLine="480" w:firstLineChars="200"/>
        <w:jc w:val="left"/>
        <w:outlineLvl w:val="0"/>
        <w:rPr>
          <w:rFonts w:hint="eastAsia" w:ascii="宋体" w:hAnsi="宋体" w:eastAsia="宋体" w:cs="宋体"/>
          <w:sz w:val="24"/>
          <w:szCs w:val="24"/>
        </w:rPr>
      </w:pPr>
      <w:r>
        <w:rPr>
          <w:rFonts w:hint="eastAsia" w:ascii="宋体" w:hAnsi="宋体" w:eastAsia="宋体" w:cs="宋体"/>
          <w:sz w:val="24"/>
          <w:szCs w:val="24"/>
        </w:rPr>
        <w:t>GB 4053.3-93  《固定式工业防护栏杆安全技术标准》</w:t>
      </w:r>
    </w:p>
    <w:p w14:paraId="6571C128">
      <w:pPr>
        <w:adjustRightInd w:val="0"/>
        <w:snapToGrid w:val="0"/>
        <w:spacing w:before="120" w:beforeLines="50" w:after="120" w:afterLines="50" w:line="440" w:lineRule="exact"/>
        <w:ind w:firstLine="480" w:firstLineChars="200"/>
        <w:jc w:val="left"/>
        <w:outlineLvl w:val="0"/>
        <w:rPr>
          <w:rFonts w:hint="eastAsia" w:ascii="宋体" w:hAnsi="宋体" w:eastAsia="宋体" w:cs="宋体"/>
          <w:sz w:val="24"/>
          <w:szCs w:val="24"/>
        </w:rPr>
      </w:pPr>
      <w:r>
        <w:rPr>
          <w:rFonts w:hint="eastAsia" w:ascii="宋体" w:hAnsi="宋体" w:eastAsia="宋体" w:cs="宋体"/>
          <w:sz w:val="24"/>
          <w:szCs w:val="24"/>
        </w:rPr>
        <w:t>GB 5083-1999  《生产设备安全卫生设计总则》</w:t>
      </w:r>
    </w:p>
    <w:p w14:paraId="52F88392">
      <w:pPr>
        <w:adjustRightInd w:val="0"/>
        <w:snapToGrid w:val="0"/>
        <w:spacing w:before="120" w:beforeLines="50" w:after="120" w:afterLines="50" w:line="440" w:lineRule="exact"/>
        <w:ind w:firstLine="480" w:firstLineChars="200"/>
        <w:jc w:val="left"/>
        <w:outlineLvl w:val="0"/>
        <w:rPr>
          <w:rFonts w:hint="eastAsia" w:ascii="宋体" w:hAnsi="宋体" w:eastAsia="宋体" w:cs="宋体"/>
          <w:sz w:val="24"/>
          <w:szCs w:val="24"/>
        </w:rPr>
      </w:pPr>
      <w:r>
        <w:rPr>
          <w:rFonts w:hint="eastAsia" w:ascii="宋体" w:hAnsi="宋体" w:eastAsia="宋体" w:cs="宋体"/>
          <w:sz w:val="24"/>
          <w:szCs w:val="24"/>
        </w:rPr>
        <w:t>GB 12801-91  《生产过程 安全卫生要求总则》</w:t>
      </w:r>
    </w:p>
    <w:p w14:paraId="05603061">
      <w:pPr>
        <w:adjustRightInd w:val="0"/>
        <w:snapToGrid w:val="0"/>
        <w:spacing w:before="120" w:beforeLines="50" w:after="120" w:afterLines="50" w:line="440" w:lineRule="exact"/>
        <w:ind w:firstLine="480" w:firstLineChars="200"/>
        <w:jc w:val="left"/>
        <w:outlineLvl w:val="0"/>
        <w:rPr>
          <w:rFonts w:hint="eastAsia" w:ascii="宋体" w:hAnsi="宋体" w:eastAsia="宋体" w:cs="宋体"/>
          <w:sz w:val="24"/>
          <w:szCs w:val="24"/>
        </w:rPr>
      </w:pPr>
      <w:r>
        <w:rPr>
          <w:rFonts w:hint="eastAsia" w:ascii="宋体" w:hAnsi="宋体" w:eastAsia="宋体" w:cs="宋体"/>
          <w:sz w:val="24"/>
          <w:szCs w:val="24"/>
        </w:rPr>
        <w:t>GB/T 5226.1-1996 《工业机械电气设备 第1部分：通用技术条件》</w:t>
      </w:r>
    </w:p>
    <w:p w14:paraId="656C90E1">
      <w:pPr>
        <w:adjustRightInd w:val="0"/>
        <w:snapToGrid w:val="0"/>
        <w:spacing w:before="120" w:beforeLines="50" w:after="120" w:afterLines="50" w:line="440" w:lineRule="exact"/>
        <w:ind w:firstLine="480" w:firstLineChars="200"/>
        <w:jc w:val="left"/>
        <w:outlineLvl w:val="0"/>
        <w:rPr>
          <w:rFonts w:hint="eastAsia" w:ascii="宋体" w:hAnsi="宋体" w:eastAsia="宋体" w:cs="宋体"/>
          <w:sz w:val="24"/>
          <w:szCs w:val="24"/>
        </w:rPr>
      </w:pPr>
      <w:r>
        <w:rPr>
          <w:rFonts w:hint="eastAsia" w:ascii="宋体" w:hAnsi="宋体" w:eastAsia="宋体" w:cs="宋体"/>
          <w:sz w:val="24"/>
          <w:szCs w:val="24"/>
        </w:rPr>
        <w:t>GB 16754-1997 《机械安全急停设计原则》</w:t>
      </w:r>
    </w:p>
    <w:p w14:paraId="4F5812DD">
      <w:pPr>
        <w:adjustRightInd w:val="0"/>
        <w:snapToGrid w:val="0"/>
        <w:spacing w:before="120" w:beforeLines="50" w:after="120" w:afterLines="50" w:line="440" w:lineRule="exact"/>
        <w:ind w:firstLine="480" w:firstLineChars="200"/>
        <w:jc w:val="left"/>
        <w:outlineLvl w:val="0"/>
        <w:rPr>
          <w:rFonts w:hint="eastAsia" w:ascii="宋体" w:hAnsi="宋体" w:eastAsia="宋体" w:cs="宋体"/>
          <w:sz w:val="24"/>
          <w:szCs w:val="24"/>
        </w:rPr>
      </w:pPr>
      <w:r>
        <w:rPr>
          <w:rFonts w:hint="eastAsia" w:ascii="宋体" w:hAnsi="宋体" w:eastAsia="宋体" w:cs="宋体"/>
          <w:sz w:val="24"/>
          <w:szCs w:val="24"/>
        </w:rPr>
        <w:t>GB 8196-87 《机械设备防护罩安全标准》</w:t>
      </w:r>
    </w:p>
    <w:p w14:paraId="077E7D94">
      <w:pPr>
        <w:adjustRightInd w:val="0"/>
        <w:snapToGrid w:val="0"/>
        <w:spacing w:before="120" w:beforeLines="50" w:after="120" w:afterLines="50" w:line="440" w:lineRule="exact"/>
        <w:ind w:firstLine="480" w:firstLineChars="200"/>
        <w:jc w:val="left"/>
        <w:outlineLvl w:val="0"/>
        <w:rPr>
          <w:rFonts w:hint="eastAsia" w:ascii="宋体" w:hAnsi="宋体" w:eastAsia="宋体" w:cs="宋体"/>
          <w:sz w:val="24"/>
          <w:szCs w:val="24"/>
        </w:rPr>
      </w:pPr>
      <w:r>
        <w:rPr>
          <w:rFonts w:hint="eastAsia" w:ascii="宋体" w:hAnsi="宋体" w:eastAsia="宋体" w:cs="宋体"/>
          <w:sz w:val="24"/>
          <w:szCs w:val="24"/>
        </w:rPr>
        <w:t>GB 2894-87 《安全标志》</w:t>
      </w:r>
    </w:p>
    <w:p w14:paraId="547AA2EE">
      <w:pPr>
        <w:adjustRightInd w:val="0"/>
        <w:snapToGrid w:val="0"/>
        <w:spacing w:before="120" w:beforeLines="50" w:after="120" w:afterLines="50" w:line="440" w:lineRule="exact"/>
        <w:ind w:firstLine="480" w:firstLineChars="200"/>
        <w:jc w:val="left"/>
        <w:outlineLvl w:val="0"/>
        <w:rPr>
          <w:rFonts w:hint="eastAsia" w:ascii="宋体" w:hAnsi="宋体" w:eastAsia="宋体" w:cs="宋体"/>
          <w:sz w:val="24"/>
          <w:szCs w:val="24"/>
        </w:rPr>
      </w:pPr>
      <w:r>
        <w:rPr>
          <w:rFonts w:hint="eastAsia" w:ascii="宋体" w:hAnsi="宋体" w:eastAsia="宋体" w:cs="宋体"/>
          <w:sz w:val="24"/>
          <w:szCs w:val="24"/>
        </w:rPr>
        <w:t>GB 16297-1996 《大气污染综合排放标准》</w:t>
      </w:r>
    </w:p>
    <w:p w14:paraId="56C81D95">
      <w:pPr>
        <w:adjustRightInd w:val="0"/>
        <w:snapToGrid w:val="0"/>
        <w:spacing w:before="120" w:beforeLines="50" w:after="120" w:afterLines="50" w:line="440" w:lineRule="exact"/>
        <w:ind w:firstLine="480" w:firstLineChars="200"/>
        <w:jc w:val="left"/>
        <w:outlineLvl w:val="0"/>
        <w:rPr>
          <w:rFonts w:hint="eastAsia" w:ascii="宋体" w:hAnsi="宋体" w:eastAsia="宋体" w:cs="宋体"/>
          <w:sz w:val="24"/>
          <w:szCs w:val="24"/>
        </w:rPr>
      </w:pPr>
      <w:r>
        <w:rPr>
          <w:rFonts w:hint="eastAsia" w:ascii="宋体" w:hAnsi="宋体" w:eastAsia="宋体" w:cs="宋体"/>
          <w:sz w:val="24"/>
          <w:szCs w:val="24"/>
        </w:rPr>
        <w:t>JB5365.1—91 《铸造机械清洁度测定方法  重量法》</w:t>
      </w:r>
    </w:p>
    <w:p w14:paraId="5FE24024">
      <w:pPr>
        <w:adjustRightInd w:val="0"/>
        <w:snapToGrid w:val="0"/>
        <w:spacing w:before="120" w:beforeLines="50" w:after="120" w:afterLines="50" w:line="440" w:lineRule="exact"/>
        <w:ind w:firstLine="480" w:firstLineChars="200"/>
        <w:jc w:val="left"/>
        <w:outlineLvl w:val="0"/>
        <w:rPr>
          <w:rFonts w:hint="eastAsia" w:ascii="宋体" w:hAnsi="宋体" w:eastAsia="宋体" w:cs="宋体"/>
          <w:sz w:val="24"/>
          <w:szCs w:val="24"/>
        </w:rPr>
      </w:pPr>
      <w:r>
        <w:rPr>
          <w:rFonts w:hint="eastAsia" w:ascii="宋体" w:hAnsi="宋体" w:eastAsia="宋体" w:cs="宋体"/>
          <w:sz w:val="24"/>
          <w:szCs w:val="24"/>
        </w:rPr>
        <w:t>JB5365.2—91  《铸造机械清洁度测定方法  显微镜法》</w:t>
      </w:r>
    </w:p>
    <w:p w14:paraId="1731635B">
      <w:pPr>
        <w:adjustRightInd w:val="0"/>
        <w:snapToGrid w:val="0"/>
        <w:spacing w:before="120" w:beforeLines="50" w:after="120" w:afterLines="50" w:line="440" w:lineRule="exact"/>
        <w:ind w:firstLine="480" w:firstLineChars="200"/>
        <w:jc w:val="left"/>
        <w:outlineLvl w:val="0"/>
        <w:rPr>
          <w:rFonts w:hint="eastAsia" w:ascii="宋体" w:hAnsi="宋体" w:eastAsia="宋体" w:cs="宋体"/>
          <w:sz w:val="24"/>
          <w:szCs w:val="24"/>
        </w:rPr>
      </w:pPr>
      <w:r>
        <w:rPr>
          <w:rFonts w:hint="eastAsia" w:ascii="宋体" w:hAnsi="宋体" w:eastAsia="宋体" w:cs="宋体"/>
          <w:sz w:val="24"/>
          <w:szCs w:val="24"/>
        </w:rPr>
        <w:t>JB526—96  《铸造设备安装工程施工及验收规范》</w:t>
      </w:r>
    </w:p>
    <w:p w14:paraId="424B7376">
      <w:pPr>
        <w:adjustRightInd w:val="0"/>
        <w:snapToGrid w:val="0"/>
        <w:spacing w:before="120" w:beforeLines="50" w:after="120" w:afterLines="50" w:line="440" w:lineRule="exact"/>
        <w:ind w:firstLine="480" w:firstLineChars="200"/>
        <w:jc w:val="left"/>
        <w:outlineLvl w:val="0"/>
        <w:rPr>
          <w:rFonts w:hint="eastAsia" w:ascii="宋体" w:hAnsi="宋体" w:eastAsia="宋体" w:cs="宋体"/>
          <w:sz w:val="24"/>
          <w:szCs w:val="24"/>
        </w:rPr>
      </w:pPr>
      <w:r>
        <w:rPr>
          <w:rFonts w:hint="eastAsia" w:ascii="宋体" w:hAnsi="宋体" w:eastAsia="宋体" w:cs="宋体"/>
          <w:sz w:val="24"/>
          <w:szCs w:val="24"/>
        </w:rPr>
        <w:t>JB50118—98 《抛喷丸设备可靠性试验方法》</w:t>
      </w:r>
    </w:p>
    <w:p w14:paraId="7DA8A27D">
      <w:pPr>
        <w:adjustRightInd w:val="0"/>
        <w:snapToGrid w:val="0"/>
        <w:spacing w:before="120" w:beforeLines="50" w:after="120" w:afterLines="50" w:line="440" w:lineRule="exact"/>
        <w:ind w:firstLine="480" w:firstLineChars="200"/>
        <w:jc w:val="left"/>
        <w:outlineLvl w:val="0"/>
        <w:rPr>
          <w:rFonts w:hint="eastAsia" w:ascii="宋体" w:hAnsi="宋体" w:eastAsia="宋体" w:cs="宋体"/>
          <w:sz w:val="24"/>
          <w:szCs w:val="24"/>
        </w:rPr>
      </w:pPr>
      <w:r>
        <w:rPr>
          <w:rFonts w:hint="eastAsia" w:ascii="宋体" w:hAnsi="宋体" w:eastAsia="宋体" w:cs="宋体"/>
          <w:sz w:val="24"/>
          <w:szCs w:val="24"/>
        </w:rPr>
        <w:t>Q/02 QSZ003—99  《通过式抛丸清理机》</w:t>
      </w:r>
    </w:p>
    <w:p w14:paraId="298235C8">
      <w:pPr>
        <w:adjustRightInd w:val="0"/>
        <w:snapToGrid w:val="0"/>
        <w:spacing w:before="120" w:beforeLines="50" w:after="120" w:afterLines="50" w:line="440" w:lineRule="exact"/>
        <w:ind w:firstLine="480" w:firstLineChars="200"/>
        <w:jc w:val="left"/>
        <w:outlineLvl w:val="0"/>
        <w:rPr>
          <w:rFonts w:hint="eastAsia" w:ascii="宋体" w:hAnsi="宋体" w:eastAsia="宋体" w:cs="宋体"/>
          <w:sz w:val="24"/>
          <w:szCs w:val="24"/>
        </w:rPr>
      </w:pPr>
      <w:r>
        <w:rPr>
          <w:rFonts w:hint="eastAsia" w:ascii="宋体" w:hAnsi="宋体" w:eastAsia="宋体" w:cs="宋体"/>
          <w:sz w:val="24"/>
          <w:szCs w:val="24"/>
        </w:rPr>
        <w:t>JB3713.2 《单、双圆盘抛丸器  技术条件》</w:t>
      </w:r>
    </w:p>
    <w:p w14:paraId="3CE21004">
      <w:pPr>
        <w:adjustRightInd w:val="0"/>
        <w:snapToGrid w:val="0"/>
        <w:spacing w:before="120" w:beforeLines="50" w:after="120" w:afterLines="50" w:line="440" w:lineRule="exact"/>
        <w:ind w:firstLine="480" w:firstLineChars="200"/>
        <w:jc w:val="left"/>
        <w:outlineLvl w:val="0"/>
        <w:rPr>
          <w:rFonts w:hint="eastAsia" w:ascii="宋体" w:hAnsi="宋体" w:eastAsia="宋体" w:cs="宋体"/>
          <w:sz w:val="24"/>
          <w:szCs w:val="24"/>
        </w:rPr>
      </w:pPr>
      <w:r>
        <w:rPr>
          <w:rFonts w:hint="eastAsia" w:ascii="宋体" w:hAnsi="宋体" w:eastAsia="宋体" w:cs="宋体"/>
          <w:sz w:val="24"/>
          <w:szCs w:val="24"/>
        </w:rPr>
        <w:t>GB12348 《工业企业厂界噪声标准》</w:t>
      </w:r>
    </w:p>
    <w:p w14:paraId="754F7F10">
      <w:pPr>
        <w:adjustRightInd w:val="0"/>
        <w:snapToGrid w:val="0"/>
        <w:spacing w:before="120" w:beforeLines="50" w:after="120" w:afterLines="50" w:line="440" w:lineRule="exact"/>
        <w:ind w:firstLine="480" w:firstLineChars="200"/>
        <w:jc w:val="left"/>
        <w:outlineLvl w:val="0"/>
        <w:rPr>
          <w:rFonts w:hint="eastAsia" w:ascii="宋体" w:hAnsi="宋体" w:eastAsia="宋体" w:cs="宋体"/>
          <w:sz w:val="24"/>
          <w:szCs w:val="24"/>
        </w:rPr>
      </w:pPr>
      <w:r>
        <w:rPr>
          <w:rFonts w:hint="eastAsia" w:ascii="宋体" w:hAnsi="宋体" w:eastAsia="宋体" w:cs="宋体"/>
          <w:sz w:val="24"/>
          <w:szCs w:val="24"/>
        </w:rPr>
        <w:t>GB12349 《工业企业厂界噪声测量方法》</w:t>
      </w:r>
    </w:p>
    <w:p w14:paraId="0036398C">
      <w:pPr>
        <w:adjustRightInd w:val="0"/>
        <w:snapToGrid w:val="0"/>
        <w:spacing w:before="120" w:beforeLines="50" w:after="120" w:afterLines="50" w:line="440" w:lineRule="exact"/>
        <w:ind w:firstLine="480" w:firstLineChars="200"/>
        <w:jc w:val="left"/>
        <w:outlineLvl w:val="0"/>
        <w:rPr>
          <w:rFonts w:hint="eastAsia" w:ascii="宋体" w:hAnsi="宋体" w:eastAsia="宋体" w:cs="宋体"/>
          <w:sz w:val="24"/>
          <w:szCs w:val="24"/>
        </w:rPr>
      </w:pPr>
      <w:r>
        <w:rPr>
          <w:rFonts w:hint="eastAsia" w:ascii="宋体" w:hAnsi="宋体" w:eastAsia="宋体" w:cs="宋体"/>
          <w:sz w:val="24"/>
          <w:szCs w:val="24"/>
        </w:rPr>
        <w:t xml:space="preserve">GB9969.1 《工业产品使用说明书   总则》 </w:t>
      </w:r>
    </w:p>
    <w:p w14:paraId="2D66D58F">
      <w:pPr>
        <w:adjustRightInd w:val="0"/>
        <w:snapToGrid w:val="0"/>
        <w:spacing w:before="120" w:beforeLines="50" w:after="120" w:afterLines="50" w:line="440" w:lineRule="exact"/>
        <w:ind w:firstLine="480" w:firstLineChars="200"/>
        <w:jc w:val="left"/>
        <w:outlineLvl w:val="0"/>
        <w:rPr>
          <w:rFonts w:hint="eastAsia" w:ascii="宋体" w:hAnsi="宋体" w:eastAsia="宋体" w:cs="宋体"/>
          <w:sz w:val="24"/>
          <w:szCs w:val="24"/>
        </w:rPr>
      </w:pPr>
      <w:r>
        <w:rPr>
          <w:rFonts w:hint="eastAsia" w:ascii="宋体" w:hAnsi="宋体" w:eastAsia="宋体" w:cs="宋体"/>
          <w:sz w:val="24"/>
          <w:szCs w:val="24"/>
        </w:rPr>
        <w:t>GB50054-2011 《低压配电设计规范》</w:t>
      </w:r>
    </w:p>
    <w:p w14:paraId="30CFB4ED">
      <w:pPr>
        <w:adjustRightInd w:val="0"/>
        <w:snapToGrid w:val="0"/>
        <w:spacing w:before="120" w:beforeLines="50" w:after="120" w:afterLines="50" w:line="440" w:lineRule="exact"/>
        <w:ind w:firstLine="480" w:firstLineChars="200"/>
        <w:jc w:val="left"/>
        <w:outlineLvl w:val="0"/>
        <w:rPr>
          <w:rFonts w:hint="eastAsia" w:ascii="宋体" w:hAnsi="宋体" w:eastAsia="宋体" w:cs="宋体"/>
          <w:sz w:val="24"/>
          <w:szCs w:val="24"/>
        </w:rPr>
      </w:pPr>
      <w:r>
        <w:rPr>
          <w:rFonts w:hint="eastAsia" w:ascii="宋体" w:hAnsi="宋体" w:eastAsia="宋体" w:cs="宋体"/>
          <w:sz w:val="24"/>
          <w:szCs w:val="24"/>
        </w:rPr>
        <w:t>GB/T13869-2008  《用电安全导则》</w:t>
      </w:r>
    </w:p>
    <w:p w14:paraId="41F16DA2">
      <w:pPr>
        <w:adjustRightInd w:val="0"/>
        <w:snapToGrid w:val="0"/>
        <w:spacing w:before="120" w:beforeLines="50" w:after="120" w:afterLines="50" w:line="440" w:lineRule="exact"/>
        <w:ind w:firstLine="480" w:firstLineChars="200"/>
        <w:jc w:val="left"/>
        <w:outlineLvl w:val="0"/>
        <w:rPr>
          <w:rFonts w:hint="eastAsia" w:ascii="宋体" w:hAnsi="宋体" w:eastAsia="宋体" w:cs="宋体"/>
          <w:sz w:val="24"/>
          <w:szCs w:val="24"/>
        </w:rPr>
      </w:pPr>
      <w:r>
        <w:rPr>
          <w:rFonts w:hint="eastAsia" w:ascii="宋体" w:hAnsi="宋体" w:eastAsia="宋体" w:cs="宋体"/>
          <w:sz w:val="24"/>
          <w:szCs w:val="24"/>
        </w:rPr>
        <w:t>JBJ18-2000 《机械工业职业安全卫生设计规范》</w:t>
      </w:r>
    </w:p>
    <w:p w14:paraId="1E34D3CE">
      <w:pPr>
        <w:adjustRightInd w:val="0"/>
        <w:snapToGrid w:val="0"/>
        <w:spacing w:before="120" w:beforeLines="50" w:after="120" w:afterLines="50" w:line="440" w:lineRule="exact"/>
        <w:ind w:firstLine="480" w:firstLineChars="200"/>
        <w:jc w:val="left"/>
        <w:outlineLvl w:val="0"/>
        <w:rPr>
          <w:rFonts w:hint="eastAsia" w:ascii="宋体" w:hAnsi="宋体" w:eastAsia="宋体" w:cs="宋体"/>
          <w:sz w:val="24"/>
          <w:szCs w:val="24"/>
        </w:rPr>
      </w:pPr>
      <w:r>
        <w:rPr>
          <w:rFonts w:hint="eastAsia" w:ascii="宋体" w:hAnsi="宋体" w:eastAsia="宋体" w:cs="宋体"/>
          <w:sz w:val="24"/>
          <w:szCs w:val="24"/>
        </w:rPr>
        <w:t>DB37/2376-2019《区域性大气污染物综合排放标准》</w:t>
      </w:r>
    </w:p>
    <w:p w14:paraId="2F8804C6">
      <w:pPr>
        <w:adjustRightInd w:val="0"/>
        <w:snapToGrid w:val="0"/>
        <w:spacing w:before="120" w:beforeLines="50" w:after="120" w:afterLines="50" w:line="440" w:lineRule="exact"/>
        <w:ind w:firstLine="480" w:firstLineChars="200"/>
        <w:jc w:val="left"/>
        <w:outlineLvl w:val="0"/>
        <w:rPr>
          <w:rFonts w:hint="eastAsia" w:ascii="宋体" w:hAnsi="宋体" w:eastAsia="宋体" w:cs="宋体"/>
          <w:b/>
          <w:bCs/>
          <w:sz w:val="24"/>
          <w:szCs w:val="24"/>
        </w:rPr>
      </w:pPr>
      <w:r>
        <w:rPr>
          <w:rFonts w:hint="eastAsia" w:ascii="宋体" w:hAnsi="宋体" w:eastAsia="宋体" w:cs="宋体"/>
          <w:sz w:val="24"/>
          <w:szCs w:val="24"/>
        </w:rPr>
        <w:t>GB16297-1996《大气污染物综合排放标准》</w:t>
      </w:r>
    </w:p>
    <w:p w14:paraId="58CC68C6">
      <w:pPr>
        <w:keepNext/>
        <w:keepLines/>
        <w:spacing w:line="440" w:lineRule="exact"/>
        <w:ind w:firstLine="723" w:firstLineChars="200"/>
        <w:jc w:val="center"/>
        <w:outlineLvl w:val="0"/>
        <w:rPr>
          <w:rFonts w:ascii="宋体" w:hAnsi="宋体" w:eastAsia="宋体" w:cs="宋体"/>
          <w:b/>
          <w:bCs/>
          <w:sz w:val="24"/>
          <w:szCs w:val="24"/>
        </w:rPr>
      </w:pPr>
      <w:r>
        <w:rPr>
          <w:rFonts w:hint="eastAsia" w:ascii="Times New Roman" w:hAnsi="Times New Roman" w:eastAsia="宋体"/>
          <w:b/>
          <w:bCs/>
          <w:kern w:val="44"/>
          <w:sz w:val="36"/>
          <w:szCs w:val="44"/>
        </w:rPr>
        <w:t>第</w:t>
      </w:r>
      <w:r>
        <w:rPr>
          <w:rFonts w:hint="eastAsia" w:ascii="Times New Roman" w:hAnsi="Times New Roman" w:eastAsia="宋体"/>
          <w:b/>
          <w:bCs/>
          <w:kern w:val="44"/>
          <w:sz w:val="36"/>
          <w:szCs w:val="44"/>
          <w:lang w:val="en-US" w:eastAsia="zh-CN"/>
        </w:rPr>
        <w:t>四</w:t>
      </w:r>
      <w:r>
        <w:rPr>
          <w:rFonts w:hint="eastAsia" w:ascii="Times New Roman" w:hAnsi="Times New Roman" w:eastAsia="宋体"/>
          <w:b/>
          <w:bCs/>
          <w:kern w:val="44"/>
          <w:sz w:val="36"/>
          <w:szCs w:val="44"/>
        </w:rPr>
        <w:t>章 供货范围及供货方式</w:t>
      </w:r>
    </w:p>
    <w:p w14:paraId="598EC532">
      <w:pPr>
        <w:spacing w:line="440" w:lineRule="exact"/>
        <w:ind w:firstLine="482" w:firstLineChars="200"/>
        <w:outlineLvl w:val="0"/>
        <w:rPr>
          <w:rFonts w:hint="eastAsia" w:ascii="宋体" w:hAnsi="宋体" w:eastAsia="宋体" w:cs="宋体"/>
          <w:b/>
          <w:sz w:val="24"/>
          <w:szCs w:val="24"/>
          <w:lang w:val="en-US" w:eastAsia="zh-CN"/>
        </w:rPr>
      </w:pPr>
      <w:r>
        <w:rPr>
          <w:rFonts w:hint="eastAsia" w:ascii="宋体" w:hAnsi="宋体" w:eastAsia="宋体" w:cs="宋体"/>
          <w:b/>
          <w:sz w:val="24"/>
          <w:szCs w:val="24"/>
        </w:rPr>
        <w:t>一、</w:t>
      </w:r>
      <w:r>
        <w:rPr>
          <w:rFonts w:hint="eastAsia" w:ascii="宋体" w:hAnsi="宋体" w:eastAsia="宋体" w:cs="宋体"/>
          <w:b/>
          <w:sz w:val="24"/>
          <w:szCs w:val="24"/>
          <w:lang w:val="en-US" w:eastAsia="zh-CN"/>
        </w:rPr>
        <w:t>供货范围：</w:t>
      </w:r>
    </w:p>
    <w:p w14:paraId="36046583">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1、供货范围为整个独立设备所配套的机械、电器、仪表全部零部件和材料（包括辅机材料），并提供工程所需电缆（连接至我方指定配电柜）。</w:t>
      </w:r>
    </w:p>
    <w:p w14:paraId="2284EBE8">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2、供货方应提供的配电柜（电控柜）所配制的主电路电气元件及保护装置的主要元器件应明确品牌（型号、规格）及制造厂，经甲方认可后，才可配套使用。</w:t>
      </w:r>
    </w:p>
    <w:p w14:paraId="5C160A0E">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3、供货方负责设备的设计、制造、安装、调试、试车验收的全过程。</w:t>
      </w:r>
    </w:p>
    <w:p w14:paraId="338A0CB6">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4、供货方负责设备的防腐施工（材料由供货方提供）。</w:t>
      </w:r>
    </w:p>
    <w:p w14:paraId="77017005">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5、供货方提供全套的技术资料，并提供噪音及环保方面相关第三方检测报告。</w:t>
      </w:r>
    </w:p>
    <w:p w14:paraId="38BDAD2A">
      <w:pPr>
        <w:pStyle w:val="52"/>
        <w:rPr>
          <w:rFonts w:hint="default" w:ascii="宋体" w:hAnsi="宋体" w:eastAsia="宋体" w:cs="宋体"/>
          <w:b/>
          <w:color w:val="auto"/>
          <w:kern w:val="2"/>
          <w:sz w:val="24"/>
          <w:szCs w:val="24"/>
          <w:lang w:val="en-US" w:eastAsia="zh-CN" w:bidi="ar-SA"/>
        </w:rPr>
      </w:pPr>
      <w:r>
        <w:rPr>
          <w:rFonts w:hint="eastAsia" w:ascii="宋体" w:hAnsi="宋体" w:eastAsia="宋体" w:cs="宋体"/>
          <w:b/>
          <w:color w:val="auto"/>
          <w:kern w:val="2"/>
          <w:sz w:val="24"/>
          <w:szCs w:val="24"/>
          <w:lang w:val="en-US" w:eastAsia="zh-CN" w:bidi="ar-SA"/>
        </w:rPr>
        <w:t>二、技术资料及交付进度;</w:t>
      </w:r>
    </w:p>
    <w:p w14:paraId="5C46702E">
      <w:pPr>
        <w:pStyle w:val="133"/>
        <w:numPr>
          <w:ilvl w:val="1"/>
          <w:numId w:val="37"/>
        </w:numPr>
        <w:spacing w:line="440" w:lineRule="exact"/>
        <w:ind w:left="850" w:leftChars="202" w:hanging="426" w:firstLineChars="0"/>
        <w:rPr>
          <w:rFonts w:ascii="宋体" w:hAnsi="宋体" w:eastAsia="宋体" w:cs="宋体"/>
          <w:sz w:val="24"/>
          <w:szCs w:val="24"/>
        </w:rPr>
      </w:pPr>
      <w:bookmarkStart w:id="36" w:name="_Toc169605884"/>
      <w:bookmarkStart w:id="37" w:name="_Toc238287414"/>
      <w:r>
        <w:rPr>
          <w:rFonts w:hint="eastAsia" w:ascii="宋体" w:hAnsi="宋体" w:eastAsia="宋体" w:cs="宋体"/>
          <w:sz w:val="24"/>
          <w:szCs w:val="24"/>
        </w:rPr>
        <w:t>招标方提供货物（或生产线）所需的建筑物（如厂房等）和构筑物（如混凝土池、砼基础等），包含正常安装施工所需的预埋件（如穿管、预埋螺栓、螺母及垫片）。</w:t>
      </w:r>
    </w:p>
    <w:p w14:paraId="154A6928">
      <w:pPr>
        <w:pStyle w:val="133"/>
        <w:numPr>
          <w:ilvl w:val="1"/>
          <w:numId w:val="37"/>
        </w:numPr>
        <w:spacing w:line="440" w:lineRule="exact"/>
        <w:ind w:left="851" w:hanging="425" w:firstLineChars="0"/>
        <w:rPr>
          <w:rFonts w:ascii="宋体" w:hAnsi="宋体" w:eastAsia="宋体" w:cs="宋体"/>
          <w:sz w:val="24"/>
          <w:szCs w:val="24"/>
        </w:rPr>
      </w:pPr>
      <w:r>
        <w:rPr>
          <w:rFonts w:hint="eastAsia" w:ascii="宋体" w:hAnsi="宋体" w:eastAsia="宋体" w:cs="宋体"/>
          <w:sz w:val="24"/>
          <w:szCs w:val="24"/>
        </w:rPr>
        <w:t>招标方提供符合本技术标书中“采购货物概况”和“使用环境”章节所列明品质的电力、自来水、压缩空气、蒸汽、天然气（或煤气）管线至系统接口，如：系统电力接口的接线端，水、气、汽等外围管线端联接法兰外端面。如果投标方认为能源系统接口地点以及操控地点之间的货物数量不清或难以界定，应当以书面方式询标或以单价方式报价；否则视同满足招标方要求。</w:t>
      </w:r>
    </w:p>
    <w:p w14:paraId="62B0F234">
      <w:pPr>
        <w:pStyle w:val="133"/>
        <w:numPr>
          <w:ilvl w:val="1"/>
          <w:numId w:val="37"/>
        </w:numPr>
        <w:spacing w:line="440" w:lineRule="exact"/>
        <w:ind w:left="851" w:hanging="425" w:firstLineChars="0"/>
        <w:rPr>
          <w:rFonts w:ascii="宋体" w:hAnsi="宋体" w:eastAsia="宋体" w:cs="宋体"/>
          <w:sz w:val="24"/>
          <w:szCs w:val="24"/>
        </w:rPr>
      </w:pPr>
      <w:r>
        <w:rPr>
          <w:rFonts w:hint="eastAsia" w:ascii="宋体" w:hAnsi="宋体" w:eastAsia="宋体" w:cs="宋体"/>
          <w:sz w:val="24"/>
          <w:szCs w:val="24"/>
        </w:rPr>
        <w:t>对于招标文件中无明确具体要求而投标方认为必须具备的其它货物，投标方必须将该部分货物单独报价（该报价含运杂费及税费等其它费用，而且不再作为其它报价涉及的其它费用的计算基数）。</w:t>
      </w:r>
    </w:p>
    <w:p w14:paraId="3948AA74">
      <w:pPr>
        <w:pStyle w:val="133"/>
        <w:numPr>
          <w:ilvl w:val="1"/>
          <w:numId w:val="37"/>
        </w:numPr>
        <w:spacing w:line="440" w:lineRule="exact"/>
        <w:ind w:left="851" w:hanging="425" w:firstLineChars="0"/>
        <w:rPr>
          <w:rFonts w:ascii="宋体" w:hAnsi="宋体" w:eastAsia="宋体" w:cs="宋体"/>
          <w:sz w:val="24"/>
          <w:szCs w:val="24"/>
        </w:rPr>
      </w:pPr>
      <w:r>
        <w:rPr>
          <w:rFonts w:hint="eastAsia" w:ascii="宋体" w:hAnsi="宋体" w:eastAsia="宋体" w:cs="宋体"/>
          <w:sz w:val="24"/>
          <w:szCs w:val="24"/>
        </w:rPr>
        <w:t>以“交钥匙”方式采购的货物（或生产线），在满足技术标书本节上述要求之外，同时包括货物（或生产线）正常运行、使用所需要的过桥、护栏、防护网、盖板等辅助设施。</w:t>
      </w:r>
    </w:p>
    <w:p w14:paraId="33BFFDC2">
      <w:pPr>
        <w:spacing w:line="440" w:lineRule="exact"/>
        <w:ind w:firstLine="482" w:firstLineChars="200"/>
        <w:outlineLvl w:val="0"/>
        <w:rPr>
          <w:rFonts w:ascii="宋体" w:hAnsi="宋体" w:eastAsia="宋体" w:cs="宋体"/>
          <w:b/>
          <w:sz w:val="24"/>
          <w:szCs w:val="24"/>
        </w:rPr>
      </w:pPr>
      <w:bookmarkStart w:id="38" w:name="_Toc240120824"/>
      <w:bookmarkStart w:id="39" w:name="_Toc240120876"/>
      <w:bookmarkStart w:id="40" w:name="_Toc240095867"/>
      <w:r>
        <w:rPr>
          <w:rFonts w:hint="eastAsia" w:ascii="宋体" w:hAnsi="宋体" w:eastAsia="宋体" w:cs="宋体"/>
          <w:b/>
          <w:sz w:val="24"/>
          <w:szCs w:val="24"/>
        </w:rPr>
        <w:t>三、备品备件、易损件和专用耗材供货范围</w:t>
      </w:r>
      <w:bookmarkEnd w:id="38"/>
      <w:bookmarkEnd w:id="39"/>
      <w:bookmarkEnd w:id="40"/>
    </w:p>
    <w:p w14:paraId="6776B83E">
      <w:pPr>
        <w:pStyle w:val="133"/>
        <w:numPr>
          <w:ilvl w:val="1"/>
          <w:numId w:val="38"/>
        </w:numPr>
        <w:spacing w:line="440" w:lineRule="exact"/>
        <w:ind w:left="851" w:hanging="426" w:firstLineChars="0"/>
        <w:rPr>
          <w:rFonts w:ascii="宋体" w:hAnsi="宋体" w:eastAsia="宋体" w:cs="宋体"/>
          <w:sz w:val="24"/>
          <w:szCs w:val="24"/>
        </w:rPr>
      </w:pPr>
      <w:r>
        <w:rPr>
          <w:rFonts w:hint="eastAsia" w:ascii="宋体" w:hAnsi="宋体" w:eastAsia="宋体" w:cs="宋体"/>
          <w:sz w:val="24"/>
          <w:szCs w:val="24"/>
        </w:rPr>
        <w:t>备品备件、易损件和专用耗材是招标方为保证货物（或生产线）质保期之内正常运行所需自备自用的备品备件、易损件和专用耗材。</w:t>
      </w:r>
    </w:p>
    <w:p w14:paraId="50870846">
      <w:pPr>
        <w:pStyle w:val="133"/>
        <w:numPr>
          <w:ilvl w:val="1"/>
          <w:numId w:val="38"/>
        </w:numPr>
        <w:spacing w:line="440" w:lineRule="exact"/>
        <w:ind w:left="851" w:hanging="426" w:firstLineChars="0"/>
        <w:rPr>
          <w:rFonts w:ascii="宋体" w:hAnsi="宋体" w:eastAsia="宋体" w:cs="宋体"/>
          <w:sz w:val="24"/>
          <w:szCs w:val="24"/>
        </w:rPr>
      </w:pPr>
      <w:r>
        <w:rPr>
          <w:rFonts w:hint="eastAsia" w:ascii="宋体" w:hAnsi="宋体" w:eastAsia="宋体" w:cs="宋体"/>
          <w:sz w:val="24"/>
          <w:szCs w:val="24"/>
        </w:rPr>
        <w:t>提供货物（或生产线）正常运行需要的备品备件、易损件和专用耗材全清单。</w:t>
      </w:r>
    </w:p>
    <w:p w14:paraId="675558E4">
      <w:pPr>
        <w:pStyle w:val="133"/>
        <w:numPr>
          <w:ilvl w:val="1"/>
          <w:numId w:val="38"/>
        </w:numPr>
        <w:spacing w:line="440" w:lineRule="exact"/>
        <w:ind w:left="851" w:hanging="426" w:firstLineChars="0"/>
        <w:rPr>
          <w:rFonts w:ascii="宋体" w:hAnsi="宋体" w:eastAsia="宋体" w:cs="宋体"/>
          <w:sz w:val="24"/>
          <w:szCs w:val="24"/>
        </w:rPr>
      </w:pPr>
      <w:r>
        <w:rPr>
          <w:rFonts w:hint="eastAsia" w:ascii="宋体" w:hAnsi="宋体" w:eastAsia="宋体" w:cs="宋体"/>
          <w:sz w:val="24"/>
          <w:szCs w:val="24"/>
        </w:rPr>
        <w:t>供货范围包括易损件和专用耗材的制造图纸及其技术要求等资料，如涉及专有技术或无法提供，应在投标文件中予以澄清或说明。</w:t>
      </w:r>
    </w:p>
    <w:p w14:paraId="50401F82">
      <w:pPr>
        <w:spacing w:line="440" w:lineRule="exact"/>
        <w:ind w:firstLine="482" w:firstLineChars="200"/>
        <w:outlineLvl w:val="0"/>
        <w:rPr>
          <w:rFonts w:ascii="宋体" w:hAnsi="宋体" w:eastAsia="宋体" w:cs="宋体"/>
          <w:b/>
          <w:sz w:val="24"/>
          <w:szCs w:val="24"/>
        </w:rPr>
      </w:pPr>
      <w:bookmarkStart w:id="41" w:name="_Toc240095868"/>
      <w:bookmarkStart w:id="42" w:name="_Toc240120825"/>
      <w:bookmarkStart w:id="43" w:name="_Toc240120877"/>
      <w:r>
        <w:rPr>
          <w:rFonts w:hint="eastAsia" w:ascii="宋体" w:hAnsi="宋体" w:eastAsia="宋体" w:cs="宋体"/>
          <w:b/>
          <w:sz w:val="24"/>
          <w:szCs w:val="24"/>
        </w:rPr>
        <w:t>四、技术资料供货范围</w:t>
      </w:r>
      <w:bookmarkEnd w:id="41"/>
      <w:bookmarkEnd w:id="42"/>
      <w:bookmarkEnd w:id="43"/>
    </w:p>
    <w:p w14:paraId="4705A1A8">
      <w:pPr>
        <w:spacing w:line="440" w:lineRule="exact"/>
        <w:ind w:firstLine="960" w:firstLineChars="400"/>
        <w:rPr>
          <w:rFonts w:ascii="宋体" w:hAnsi="宋体" w:eastAsia="宋体" w:cs="宋体"/>
          <w:sz w:val="24"/>
          <w:szCs w:val="24"/>
        </w:rPr>
      </w:pPr>
      <w:r>
        <w:rPr>
          <w:rFonts w:hint="eastAsia" w:ascii="宋体" w:hAnsi="宋体" w:eastAsia="宋体" w:cs="宋体"/>
          <w:sz w:val="24"/>
          <w:szCs w:val="24"/>
        </w:rPr>
        <w:t>技术资料（进口设备要求中英文对照）主要包括且不限于以下文件：</w:t>
      </w:r>
      <w:r>
        <w:rPr>
          <w:rFonts w:ascii="宋体" w:hAnsi="宋体" w:eastAsia="宋体" w:cs="宋体"/>
          <w:sz w:val="24"/>
          <w:szCs w:val="24"/>
        </w:rPr>
        <w:t xml:space="preserve"> </w:t>
      </w:r>
    </w:p>
    <w:p w14:paraId="3E17854B">
      <w:pPr>
        <w:pStyle w:val="133"/>
        <w:numPr>
          <w:ilvl w:val="1"/>
          <w:numId w:val="39"/>
        </w:numPr>
        <w:spacing w:line="440" w:lineRule="exact"/>
        <w:ind w:firstLineChars="0"/>
        <w:rPr>
          <w:rFonts w:ascii="宋体" w:hAnsi="宋体" w:eastAsia="宋体" w:cs="宋体"/>
          <w:bCs/>
          <w:sz w:val="24"/>
          <w:szCs w:val="24"/>
        </w:rPr>
      </w:pPr>
      <w:r>
        <w:rPr>
          <w:rFonts w:hint="eastAsia" w:ascii="宋体" w:hAnsi="宋体" w:eastAsia="宋体" w:cs="宋体"/>
          <w:sz w:val="24"/>
          <w:szCs w:val="24"/>
        </w:rPr>
        <w:t xml:space="preserve"> 在收到中标通知书后</w:t>
      </w:r>
      <w:r>
        <w:rPr>
          <w:rFonts w:ascii="宋体" w:hAnsi="宋体" w:eastAsia="宋体" w:cs="宋体"/>
          <w:sz w:val="24"/>
          <w:szCs w:val="24"/>
        </w:rPr>
        <w:t>10</w:t>
      </w:r>
      <w:r>
        <w:rPr>
          <w:rFonts w:hint="eastAsia" w:ascii="宋体" w:hAnsi="宋体" w:eastAsia="宋体" w:cs="宋体"/>
          <w:sz w:val="24"/>
          <w:szCs w:val="24"/>
        </w:rPr>
        <w:t>个日历日内，提供产线具体定位、地基图、公用需求及相关的设计、制作所需的纸质及电子版资料；电子版文件应当能够使用常用版本软件可以阅读。</w:t>
      </w:r>
      <w:r>
        <w:rPr>
          <w:rFonts w:ascii="宋体" w:hAnsi="宋体" w:eastAsia="宋体" w:cs="宋体"/>
          <w:bCs/>
          <w:sz w:val="24"/>
          <w:szCs w:val="24"/>
        </w:rPr>
        <w:t xml:space="preserve"> </w:t>
      </w:r>
    </w:p>
    <w:p w14:paraId="2761713A">
      <w:pPr>
        <w:pStyle w:val="133"/>
        <w:numPr>
          <w:ilvl w:val="1"/>
          <w:numId w:val="39"/>
        </w:numPr>
        <w:spacing w:line="440" w:lineRule="exact"/>
        <w:ind w:firstLineChars="0"/>
        <w:rPr>
          <w:rFonts w:ascii="宋体" w:hAnsi="宋体" w:eastAsia="宋体" w:cs="宋体"/>
          <w:sz w:val="24"/>
          <w:szCs w:val="24"/>
        </w:rPr>
      </w:pPr>
      <w:bookmarkStart w:id="44" w:name="_Hlk240037979"/>
      <w:r>
        <w:rPr>
          <w:rFonts w:hint="eastAsia" w:ascii="宋体" w:hAnsi="宋体" w:eastAsia="宋体" w:cs="宋体"/>
          <w:sz w:val="24"/>
          <w:szCs w:val="24"/>
        </w:rPr>
        <w:t xml:space="preserve"> </w:t>
      </w:r>
      <w:r>
        <w:rPr>
          <w:rFonts w:ascii="宋体" w:hAnsi="宋体" w:eastAsia="宋体" w:cs="宋体"/>
          <w:sz w:val="24"/>
          <w:szCs w:val="24"/>
        </w:rPr>
        <w:t>投标方须负责在设备到达招标方工厂时，</w:t>
      </w:r>
      <w:r>
        <w:rPr>
          <w:rFonts w:hint="eastAsia" w:ascii="宋体" w:hAnsi="宋体" w:eastAsia="宋体" w:cs="宋体"/>
          <w:sz w:val="24"/>
          <w:szCs w:val="24"/>
        </w:rPr>
        <w:t>提供进厂物资明细表。</w:t>
      </w:r>
      <w:r>
        <w:rPr>
          <w:rFonts w:ascii="宋体" w:hAnsi="宋体" w:eastAsia="宋体" w:cs="宋体"/>
          <w:sz w:val="24"/>
          <w:szCs w:val="24"/>
        </w:rPr>
        <w:t>特种钢材制造商出具的材质单。</w:t>
      </w:r>
    </w:p>
    <w:p w14:paraId="604195E2">
      <w:pPr>
        <w:pStyle w:val="133"/>
        <w:numPr>
          <w:ilvl w:val="1"/>
          <w:numId w:val="39"/>
        </w:numPr>
        <w:spacing w:line="440" w:lineRule="exact"/>
        <w:ind w:firstLineChars="0"/>
        <w:rPr>
          <w:rFonts w:ascii="宋体" w:hAnsi="宋体" w:eastAsia="宋体" w:cs="宋体"/>
          <w:sz w:val="24"/>
          <w:szCs w:val="24"/>
        </w:rPr>
      </w:pPr>
      <w:r>
        <w:rPr>
          <w:rFonts w:hint="eastAsia" w:ascii="宋体" w:hAnsi="宋体" w:eastAsia="宋体" w:cs="宋体"/>
          <w:sz w:val="24"/>
          <w:szCs w:val="24"/>
        </w:rPr>
        <w:t xml:space="preserve"> </w:t>
      </w:r>
      <w:r>
        <w:rPr>
          <w:rFonts w:ascii="宋体" w:hAnsi="宋体" w:eastAsia="宋体" w:cs="宋体"/>
          <w:sz w:val="24"/>
          <w:szCs w:val="24"/>
        </w:rPr>
        <w:t>在终验收前，</w:t>
      </w:r>
      <w:bookmarkEnd w:id="44"/>
      <w:r>
        <w:rPr>
          <w:rFonts w:hint="eastAsia" w:ascii="宋体" w:hAnsi="宋体" w:eastAsia="宋体" w:cs="宋体"/>
          <w:sz w:val="24"/>
          <w:szCs w:val="24"/>
        </w:rPr>
        <w:t>提供</w:t>
      </w:r>
      <w:r>
        <w:rPr>
          <w:rFonts w:ascii="宋体" w:hAnsi="宋体" w:eastAsia="宋体" w:cs="宋体"/>
          <w:sz w:val="24"/>
          <w:szCs w:val="24"/>
        </w:rPr>
        <w:t>设备安全操作规程</w:t>
      </w:r>
      <w:r>
        <w:rPr>
          <w:rFonts w:hint="eastAsia" w:ascii="宋体" w:hAnsi="宋体" w:eastAsia="宋体" w:cs="宋体"/>
          <w:sz w:val="24"/>
          <w:szCs w:val="24"/>
        </w:rPr>
        <w:t>、</w:t>
      </w:r>
      <w:r>
        <w:rPr>
          <w:rFonts w:ascii="宋体" w:hAnsi="宋体" w:eastAsia="宋体" w:cs="宋体"/>
          <w:sz w:val="24"/>
          <w:szCs w:val="24"/>
        </w:rPr>
        <w:t>设备使用手册</w:t>
      </w:r>
      <w:r>
        <w:rPr>
          <w:rFonts w:hint="eastAsia" w:ascii="宋体" w:hAnsi="宋体" w:eastAsia="宋体" w:cs="宋体"/>
          <w:sz w:val="24"/>
          <w:szCs w:val="24"/>
        </w:rPr>
        <w:t>、</w:t>
      </w:r>
      <w:r>
        <w:rPr>
          <w:rFonts w:ascii="宋体" w:hAnsi="宋体" w:eastAsia="宋体" w:cs="宋体"/>
          <w:sz w:val="24"/>
          <w:szCs w:val="24"/>
        </w:rPr>
        <w:t>设备维修及保养手册</w:t>
      </w:r>
      <w:r>
        <w:rPr>
          <w:rFonts w:hint="eastAsia" w:ascii="宋体" w:hAnsi="宋体" w:eastAsia="宋体" w:cs="宋体"/>
          <w:sz w:val="24"/>
          <w:szCs w:val="24"/>
        </w:rPr>
        <w:t>等技术文件、影像等。</w:t>
      </w:r>
    </w:p>
    <w:p w14:paraId="4F1FFACF">
      <w:pPr>
        <w:pStyle w:val="133"/>
        <w:numPr>
          <w:ilvl w:val="1"/>
          <w:numId w:val="40"/>
        </w:numPr>
        <w:spacing w:line="440" w:lineRule="exact"/>
        <w:ind w:firstLineChars="0"/>
        <w:rPr>
          <w:rFonts w:ascii="宋体" w:hAnsi="宋体" w:eastAsia="宋体" w:cs="宋体"/>
          <w:sz w:val="24"/>
          <w:szCs w:val="24"/>
        </w:rPr>
      </w:pPr>
      <w:r>
        <w:rPr>
          <w:rFonts w:hint="eastAsia" w:ascii="宋体" w:hAnsi="宋体" w:eastAsia="宋体" w:cs="宋体"/>
          <w:sz w:val="24"/>
          <w:szCs w:val="24"/>
        </w:rPr>
        <w:t xml:space="preserve"> </w:t>
      </w:r>
      <w:r>
        <w:rPr>
          <w:rFonts w:ascii="宋体" w:hAnsi="宋体" w:eastAsia="宋体" w:cs="宋体"/>
          <w:sz w:val="24"/>
          <w:szCs w:val="24"/>
        </w:rPr>
        <w:t>在终验收前，提供</w:t>
      </w:r>
      <w:r>
        <w:rPr>
          <w:rFonts w:hint="eastAsia" w:ascii="宋体" w:hAnsi="宋体" w:eastAsia="宋体" w:cs="宋体"/>
          <w:sz w:val="24"/>
          <w:szCs w:val="24"/>
        </w:rPr>
        <w:t>包括设备的设计总图、设备全线布置图、</w:t>
      </w:r>
      <w:r>
        <w:rPr>
          <w:rFonts w:ascii="宋体" w:hAnsi="宋体" w:eastAsia="宋体" w:cs="宋体"/>
          <w:sz w:val="24"/>
          <w:szCs w:val="24"/>
        </w:rPr>
        <w:t>正规装配图及零件明细</w:t>
      </w:r>
      <w:r>
        <w:rPr>
          <w:rFonts w:hint="eastAsia" w:ascii="宋体" w:hAnsi="宋体" w:eastAsia="宋体" w:cs="宋体"/>
          <w:sz w:val="24"/>
          <w:szCs w:val="24"/>
        </w:rPr>
        <w:t>、电气资料（包括接线图、原理图、布线图、梯形图等）、维修图等有关的资料、图片、影像等资料；</w:t>
      </w:r>
      <w:r>
        <w:rPr>
          <w:rFonts w:ascii="宋体" w:hAnsi="宋体" w:eastAsia="宋体" w:cs="宋体"/>
          <w:sz w:val="24"/>
          <w:szCs w:val="24"/>
        </w:rPr>
        <w:t xml:space="preserve"> </w:t>
      </w:r>
    </w:p>
    <w:p w14:paraId="18E5ACC5">
      <w:pPr>
        <w:pStyle w:val="133"/>
        <w:numPr>
          <w:ilvl w:val="1"/>
          <w:numId w:val="39"/>
        </w:numPr>
        <w:spacing w:line="440" w:lineRule="exact"/>
        <w:ind w:firstLineChars="0"/>
        <w:rPr>
          <w:rFonts w:ascii="宋体" w:hAnsi="宋体" w:eastAsia="宋体" w:cs="宋体"/>
          <w:sz w:val="24"/>
          <w:szCs w:val="24"/>
        </w:rPr>
      </w:pPr>
      <w:r>
        <w:rPr>
          <w:rFonts w:hint="eastAsia" w:ascii="宋体" w:hAnsi="宋体" w:eastAsia="宋体" w:cs="宋体"/>
          <w:sz w:val="24"/>
          <w:szCs w:val="24"/>
        </w:rPr>
        <w:t xml:space="preserve"> </w:t>
      </w:r>
      <w:r>
        <w:rPr>
          <w:rFonts w:ascii="宋体" w:hAnsi="宋体" w:eastAsia="宋体" w:cs="宋体"/>
          <w:sz w:val="24"/>
          <w:szCs w:val="24"/>
        </w:rPr>
        <w:t>在终验收前，提供提供确定的设备的外购件、外协件、电气元件及主要原材料的供货厂家明细表</w:t>
      </w:r>
      <w:r>
        <w:rPr>
          <w:rFonts w:hint="eastAsia" w:ascii="宋体" w:hAnsi="宋体" w:eastAsia="宋体" w:cs="宋体"/>
          <w:sz w:val="24"/>
          <w:szCs w:val="24"/>
        </w:rPr>
        <w:t>、</w:t>
      </w:r>
      <w:r>
        <w:rPr>
          <w:rFonts w:ascii="宋体" w:hAnsi="宋体" w:eastAsia="宋体" w:cs="宋体"/>
          <w:sz w:val="24"/>
          <w:szCs w:val="24"/>
        </w:rPr>
        <w:t>使用指导说明书</w:t>
      </w:r>
      <w:r>
        <w:rPr>
          <w:rFonts w:hint="eastAsia" w:ascii="宋体" w:hAnsi="宋体" w:eastAsia="宋体" w:cs="宋体"/>
          <w:sz w:val="24"/>
          <w:szCs w:val="24"/>
        </w:rPr>
        <w:t>等资料</w:t>
      </w:r>
      <w:r>
        <w:rPr>
          <w:rFonts w:ascii="宋体" w:hAnsi="宋体" w:eastAsia="宋体" w:cs="宋体"/>
          <w:sz w:val="24"/>
          <w:szCs w:val="24"/>
        </w:rPr>
        <w:t>。</w:t>
      </w:r>
    </w:p>
    <w:p w14:paraId="3E21C5AD">
      <w:pPr>
        <w:pStyle w:val="133"/>
        <w:numPr>
          <w:ilvl w:val="1"/>
          <w:numId w:val="39"/>
        </w:numPr>
        <w:spacing w:line="440" w:lineRule="exact"/>
        <w:ind w:firstLineChars="0"/>
        <w:rPr>
          <w:rFonts w:ascii="宋体" w:hAnsi="宋体" w:eastAsia="宋体" w:cs="宋体"/>
          <w:sz w:val="24"/>
          <w:szCs w:val="24"/>
        </w:rPr>
      </w:pPr>
      <w:r>
        <w:rPr>
          <w:rFonts w:hint="eastAsia" w:ascii="宋体" w:hAnsi="宋体" w:eastAsia="宋体" w:cs="宋体"/>
          <w:sz w:val="24"/>
          <w:szCs w:val="24"/>
        </w:rPr>
        <w:t xml:space="preserve"> </w:t>
      </w:r>
      <w:r>
        <w:rPr>
          <w:rFonts w:ascii="宋体" w:hAnsi="宋体" w:eastAsia="宋体" w:cs="宋体"/>
          <w:sz w:val="24"/>
          <w:szCs w:val="24"/>
        </w:rPr>
        <w:t>在终验收前，提供关键件，易损件明细。提供所有电气元件明细表（包括型号、规格、部位、数量、制造厂家）。</w:t>
      </w:r>
    </w:p>
    <w:p w14:paraId="30A95BF5">
      <w:pPr>
        <w:pStyle w:val="133"/>
        <w:numPr>
          <w:ilvl w:val="1"/>
          <w:numId w:val="39"/>
        </w:numPr>
        <w:spacing w:line="440" w:lineRule="exact"/>
        <w:ind w:firstLineChars="0"/>
        <w:rPr>
          <w:rFonts w:ascii="宋体" w:hAnsi="宋体" w:eastAsia="宋体" w:cs="宋体"/>
          <w:sz w:val="24"/>
          <w:szCs w:val="24"/>
        </w:rPr>
      </w:pPr>
      <w:r>
        <w:rPr>
          <w:rFonts w:hint="eastAsia" w:ascii="宋体" w:hAnsi="宋体" w:eastAsia="宋体" w:cs="宋体"/>
          <w:sz w:val="24"/>
          <w:szCs w:val="24"/>
        </w:rPr>
        <w:t xml:space="preserve"> </w:t>
      </w:r>
      <w:r>
        <w:rPr>
          <w:rFonts w:ascii="宋体" w:hAnsi="宋体" w:eastAsia="宋体" w:cs="宋体"/>
          <w:sz w:val="24"/>
          <w:szCs w:val="24"/>
        </w:rPr>
        <w:t>在终验收前，提供备品备件、易损件和专用耗材规定的图纸及技术参数、技术要求等资料；</w:t>
      </w:r>
    </w:p>
    <w:p w14:paraId="6C39A53C">
      <w:pPr>
        <w:pStyle w:val="133"/>
        <w:numPr>
          <w:ilvl w:val="1"/>
          <w:numId w:val="39"/>
        </w:numPr>
        <w:spacing w:line="440" w:lineRule="exact"/>
        <w:ind w:firstLineChars="0"/>
        <w:rPr>
          <w:rFonts w:ascii="宋体" w:hAnsi="宋体" w:eastAsia="宋体" w:cs="宋体"/>
          <w:sz w:val="24"/>
          <w:szCs w:val="24"/>
        </w:rPr>
      </w:pPr>
      <w:r>
        <w:rPr>
          <w:rFonts w:ascii="宋体" w:hAnsi="宋体" w:eastAsia="宋体" w:cs="宋体"/>
          <w:sz w:val="24"/>
          <w:szCs w:val="24"/>
        </w:rPr>
        <w:t xml:space="preserve"> 在终验收前，提供</w:t>
      </w:r>
      <w:r>
        <w:rPr>
          <w:rFonts w:hint="eastAsia" w:ascii="宋体" w:hAnsi="宋体" w:eastAsia="宋体" w:cs="宋体"/>
          <w:sz w:val="24"/>
          <w:szCs w:val="24"/>
        </w:rPr>
        <w:t>计量仪器仪表相对应的</w:t>
      </w:r>
      <w:r>
        <w:rPr>
          <w:rFonts w:ascii="宋体" w:hAnsi="宋体" w:eastAsia="宋体" w:cs="宋体"/>
          <w:sz w:val="24"/>
          <w:szCs w:val="24"/>
        </w:rPr>
        <w:t>具备计量检定资质单位</w:t>
      </w:r>
      <w:r>
        <w:rPr>
          <w:rFonts w:hint="eastAsia" w:ascii="宋体" w:hAnsi="宋体" w:eastAsia="宋体" w:cs="宋体"/>
          <w:sz w:val="24"/>
          <w:szCs w:val="24"/>
        </w:rPr>
        <w:t>出具的</w:t>
      </w:r>
      <w:r>
        <w:rPr>
          <w:rFonts w:ascii="宋体" w:hAnsi="宋体" w:eastAsia="宋体" w:cs="宋体"/>
          <w:sz w:val="24"/>
          <w:szCs w:val="24"/>
        </w:rPr>
        <w:t>精度检验证书、性能测试记录和报告。</w:t>
      </w:r>
    </w:p>
    <w:p w14:paraId="7A84E9D3">
      <w:pPr>
        <w:pStyle w:val="133"/>
        <w:numPr>
          <w:ilvl w:val="1"/>
          <w:numId w:val="39"/>
        </w:numPr>
        <w:spacing w:line="440" w:lineRule="exact"/>
        <w:ind w:firstLineChars="0"/>
        <w:rPr>
          <w:rFonts w:ascii="宋体" w:hAnsi="宋体" w:eastAsia="宋体" w:cs="宋体"/>
          <w:sz w:val="24"/>
          <w:szCs w:val="24"/>
        </w:rPr>
      </w:pPr>
      <w:r>
        <w:rPr>
          <w:rFonts w:hint="eastAsia" w:ascii="宋体" w:hAnsi="宋体" w:eastAsia="宋体" w:cs="宋体"/>
          <w:sz w:val="24"/>
          <w:szCs w:val="24"/>
        </w:rPr>
        <w:t xml:space="preserve"> </w:t>
      </w:r>
      <w:r>
        <w:rPr>
          <w:rFonts w:ascii="宋体" w:hAnsi="宋体" w:eastAsia="宋体" w:cs="宋体"/>
          <w:sz w:val="24"/>
          <w:szCs w:val="24"/>
        </w:rPr>
        <w:t>本“技术资料范围”所列的技术资料、图片、影像等，投标方应各提供4套，其中2套为电子版光（软）盘；每份技术文件应装有目录清单；</w:t>
      </w:r>
    </w:p>
    <w:p w14:paraId="580B4DBE">
      <w:pPr>
        <w:pStyle w:val="133"/>
        <w:numPr>
          <w:ilvl w:val="1"/>
          <w:numId w:val="39"/>
        </w:numPr>
        <w:spacing w:line="440" w:lineRule="exact"/>
        <w:ind w:firstLineChars="0"/>
        <w:rPr>
          <w:rFonts w:ascii="宋体" w:hAnsi="宋体" w:eastAsia="宋体" w:cs="宋体"/>
          <w:sz w:val="24"/>
          <w:szCs w:val="24"/>
        </w:rPr>
      </w:pPr>
      <w:r>
        <w:rPr>
          <w:rFonts w:ascii="宋体" w:hAnsi="宋体" w:eastAsia="宋体" w:cs="宋体"/>
          <w:sz w:val="24"/>
          <w:szCs w:val="24"/>
        </w:rPr>
        <w:t>本“技术资料范围”所列要求，如招标方认为投标方提供的资料不能满足要求时，有权要求投标方补充或增加。</w:t>
      </w:r>
      <w:r>
        <w:rPr>
          <w:rFonts w:hint="eastAsia" w:ascii="宋体" w:hAnsi="宋体" w:eastAsia="宋体" w:cs="宋体"/>
          <w:sz w:val="24"/>
          <w:szCs w:val="24"/>
        </w:rPr>
        <w:t>。</w:t>
      </w:r>
    </w:p>
    <w:p w14:paraId="44B2693C">
      <w:pPr>
        <w:spacing w:line="440" w:lineRule="exact"/>
        <w:ind w:firstLine="482" w:firstLineChars="200"/>
        <w:outlineLvl w:val="0"/>
        <w:rPr>
          <w:rFonts w:ascii="宋体" w:hAnsi="宋体" w:eastAsia="宋体" w:cs="宋体"/>
          <w:b/>
          <w:sz w:val="24"/>
          <w:szCs w:val="24"/>
        </w:rPr>
      </w:pPr>
      <w:bookmarkStart w:id="45" w:name="_Toc240120826"/>
      <w:bookmarkStart w:id="46" w:name="_Toc240120878"/>
      <w:bookmarkStart w:id="47" w:name="_Toc240095869"/>
      <w:r>
        <w:rPr>
          <w:rFonts w:hint="eastAsia" w:ascii="宋体" w:hAnsi="宋体" w:eastAsia="宋体" w:cs="宋体"/>
          <w:b/>
          <w:sz w:val="24"/>
          <w:szCs w:val="24"/>
        </w:rPr>
        <w:t>五、供货范围特别提示</w:t>
      </w:r>
      <w:bookmarkEnd w:id="45"/>
      <w:bookmarkEnd w:id="46"/>
      <w:bookmarkEnd w:id="47"/>
    </w:p>
    <w:p w14:paraId="0B7BFC44">
      <w:pPr>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如果投标方认为本节所列的供货范围难以满足，则仍需要按照本要求提供，但该部分货物应当在投标报价中单独列明货物名称及品质、货值。</w:t>
      </w:r>
    </w:p>
    <w:p w14:paraId="2E896B89">
      <w:pPr>
        <w:keepNext/>
        <w:keepLines/>
        <w:snapToGrid w:val="0"/>
        <w:spacing w:line="440" w:lineRule="exact"/>
        <w:ind w:left="6" w:firstLine="474"/>
        <w:jc w:val="center"/>
        <w:outlineLvl w:val="1"/>
        <w:rPr>
          <w:rFonts w:ascii="宋体" w:hAnsi="宋体" w:eastAsia="宋体" w:cs="宋体"/>
          <w:b/>
          <w:bCs/>
          <w:sz w:val="24"/>
          <w:szCs w:val="24"/>
        </w:rPr>
      </w:pPr>
      <w:bookmarkStart w:id="48" w:name="_Toc240095870"/>
      <w:r>
        <w:rPr>
          <w:rFonts w:hint="eastAsia" w:ascii="宋体" w:hAnsi="宋体" w:eastAsia="宋体" w:cs="宋体"/>
          <w:b/>
          <w:bCs/>
          <w:sz w:val="24"/>
          <w:szCs w:val="24"/>
        </w:rPr>
        <w:t>第二节供货方式</w:t>
      </w:r>
      <w:bookmarkEnd w:id="48"/>
    </w:p>
    <w:p w14:paraId="68EF2E66">
      <w:pPr>
        <w:spacing w:line="440" w:lineRule="exact"/>
        <w:ind w:firstLine="482" w:firstLineChars="200"/>
        <w:rPr>
          <w:rFonts w:ascii="宋体" w:hAnsi="宋体" w:eastAsia="宋体" w:cs="宋体"/>
          <w:b/>
          <w:sz w:val="24"/>
          <w:szCs w:val="24"/>
        </w:rPr>
      </w:pPr>
      <w:r>
        <w:rPr>
          <w:rFonts w:hint="eastAsia" w:ascii="宋体" w:hAnsi="宋体" w:eastAsia="宋体" w:cs="宋体"/>
          <w:b/>
          <w:sz w:val="24"/>
          <w:szCs w:val="24"/>
        </w:rPr>
        <w:t>一、供货方式：</w:t>
      </w:r>
      <w:r>
        <w:rPr>
          <w:rFonts w:hint="eastAsia" w:ascii="宋体" w:hAnsi="宋体" w:eastAsia="宋体" w:cs="宋体"/>
          <w:sz w:val="24"/>
          <w:szCs w:val="24"/>
        </w:rPr>
        <w:t>完全交钥匙方式，即本次招标货物至少包括以下货物及服务：非标或特需设计、制造、至交货地点的运输（含定点装卸）、安装、调试、买方安装地竣工验收服务、货物移交、约定培训等全流程范围。</w:t>
      </w:r>
    </w:p>
    <w:p w14:paraId="3AD3F1C5">
      <w:pPr>
        <w:spacing w:line="440" w:lineRule="exact"/>
        <w:ind w:firstLine="482" w:firstLineChars="200"/>
        <w:rPr>
          <w:rFonts w:ascii="宋体" w:hAnsi="宋体" w:eastAsia="宋体" w:cs="宋体"/>
          <w:sz w:val="24"/>
          <w:szCs w:val="24"/>
          <w:highlight w:val="none"/>
        </w:rPr>
      </w:pPr>
      <w:r>
        <w:rPr>
          <w:rFonts w:hint="eastAsia" w:ascii="宋体" w:hAnsi="宋体" w:eastAsia="宋体" w:cs="宋体"/>
          <w:b/>
          <w:sz w:val="24"/>
          <w:szCs w:val="24"/>
        </w:rPr>
        <w:t>二、供货地点：</w:t>
      </w:r>
      <w:r>
        <w:rPr>
          <w:rFonts w:hint="eastAsia" w:ascii="宋体" w:hAnsi="宋体" w:eastAsia="宋体" w:cs="宋体"/>
          <w:sz w:val="24"/>
          <w:szCs w:val="24"/>
          <w:highlight w:val="none"/>
        </w:rPr>
        <w:t>中国重汽集团</w:t>
      </w:r>
      <w:r>
        <w:rPr>
          <w:rFonts w:hint="eastAsia" w:ascii="宋体" w:hAnsi="宋体" w:eastAsia="宋体" w:cs="宋体"/>
          <w:sz w:val="24"/>
          <w:szCs w:val="24"/>
          <w:highlight w:val="none"/>
          <w:lang w:val="en-US" w:eastAsia="zh-CN"/>
        </w:rPr>
        <w:t>泰安五岳</w:t>
      </w:r>
      <w:r>
        <w:rPr>
          <w:rFonts w:hint="eastAsia" w:ascii="宋体" w:hAnsi="宋体" w:eastAsia="宋体" w:cs="宋体"/>
          <w:sz w:val="24"/>
          <w:szCs w:val="24"/>
          <w:highlight w:val="none"/>
        </w:rPr>
        <w:t>有限公司厂区内</w:t>
      </w:r>
    </w:p>
    <w:p w14:paraId="6FEEEFED">
      <w:pPr>
        <w:spacing w:line="440" w:lineRule="exact"/>
        <w:ind w:firstLine="482" w:firstLineChars="200"/>
        <w:rPr>
          <w:rFonts w:ascii="宋体" w:hAnsi="宋体" w:eastAsia="宋体" w:cs="宋体"/>
          <w:b/>
          <w:sz w:val="24"/>
          <w:szCs w:val="24"/>
          <w:highlight w:val="none"/>
        </w:rPr>
      </w:pPr>
      <w:r>
        <w:rPr>
          <w:rFonts w:hint="eastAsia" w:ascii="宋体" w:hAnsi="宋体" w:eastAsia="宋体" w:cs="宋体"/>
          <w:b/>
          <w:sz w:val="24"/>
          <w:szCs w:val="24"/>
          <w:highlight w:val="none"/>
        </w:rPr>
        <w:t>三、供货时间</w:t>
      </w:r>
    </w:p>
    <w:p w14:paraId="3C773D60">
      <w:pPr>
        <w:spacing w:line="360" w:lineRule="auto"/>
        <w:ind w:left="852" w:leftChars="229" w:hanging="371" w:hangingChars="154"/>
        <w:rPr>
          <w:rFonts w:ascii="宋体" w:hAnsi="宋体" w:eastAsia="宋体" w:cs="宋体"/>
          <w:sz w:val="24"/>
          <w:szCs w:val="24"/>
        </w:rPr>
      </w:pPr>
      <w:r>
        <w:rPr>
          <w:rFonts w:ascii="宋体" w:hAnsi="宋体" w:eastAsia="宋体" w:cs="宋体"/>
          <w:b/>
          <w:sz w:val="24"/>
          <w:szCs w:val="24"/>
          <w:highlight w:val="none"/>
        </w:rPr>
        <w:t>3.1</w:t>
      </w:r>
      <w:r>
        <w:rPr>
          <w:rFonts w:ascii="宋体" w:hAnsi="宋体" w:eastAsia="宋体" w:cs="宋体"/>
          <w:sz w:val="24"/>
          <w:szCs w:val="24"/>
          <w:highlight w:val="none"/>
        </w:rPr>
        <w:t>自合同生效后，于 130个日历日内，投</w:t>
      </w:r>
      <w:r>
        <w:rPr>
          <w:rFonts w:ascii="宋体" w:hAnsi="宋体" w:eastAsia="宋体" w:cs="宋体"/>
          <w:sz w:val="24"/>
          <w:szCs w:val="24"/>
        </w:rPr>
        <w:t>标人须完成设备到厂、安装、调试，并保证整套测试系统正常进入试运行状态。投标方需根据招标方实际生产需要及要求，分段进行工程施工。</w:t>
      </w:r>
    </w:p>
    <w:p w14:paraId="457A6377">
      <w:pPr>
        <w:spacing w:line="360" w:lineRule="auto"/>
        <w:ind w:firstLine="482" w:firstLineChars="200"/>
        <w:rPr>
          <w:rFonts w:ascii="宋体" w:hAnsi="宋体" w:eastAsia="宋体" w:cs="宋体"/>
          <w:sz w:val="24"/>
          <w:szCs w:val="24"/>
        </w:rPr>
      </w:pPr>
      <w:r>
        <w:rPr>
          <w:rFonts w:ascii="宋体" w:hAnsi="宋体" w:eastAsia="宋体" w:cs="宋体"/>
          <w:b/>
          <w:sz w:val="24"/>
          <w:szCs w:val="24"/>
        </w:rPr>
        <w:t>3.2</w:t>
      </w:r>
      <w:r>
        <w:rPr>
          <w:rFonts w:ascii="宋体" w:hAnsi="宋体" w:eastAsia="宋体" w:cs="宋体"/>
          <w:sz w:val="24"/>
          <w:szCs w:val="24"/>
        </w:rPr>
        <w:t>自接到中标通知书后，10个日历日内提供地基图。</w:t>
      </w:r>
    </w:p>
    <w:p w14:paraId="0346B309">
      <w:pPr>
        <w:spacing w:line="360" w:lineRule="auto"/>
        <w:ind w:firstLine="482" w:firstLineChars="200"/>
        <w:rPr>
          <w:rFonts w:ascii="宋体" w:hAnsi="宋体" w:eastAsia="宋体" w:cs="宋体"/>
          <w:sz w:val="24"/>
          <w:szCs w:val="24"/>
        </w:rPr>
      </w:pPr>
      <w:r>
        <w:rPr>
          <w:rFonts w:ascii="宋体" w:hAnsi="宋体" w:eastAsia="宋体" w:cs="宋体"/>
          <w:b/>
          <w:sz w:val="24"/>
          <w:szCs w:val="24"/>
        </w:rPr>
        <w:t>3.</w:t>
      </w:r>
      <w:r>
        <w:rPr>
          <w:rFonts w:ascii="宋体" w:hAnsi="宋体" w:eastAsia="宋体" w:cs="宋体"/>
          <w:b/>
          <w:sz w:val="24"/>
          <w:szCs w:val="24"/>
          <w:highlight w:val="none"/>
        </w:rPr>
        <w:t>3</w:t>
      </w:r>
      <w:r>
        <w:rPr>
          <w:rFonts w:ascii="宋体" w:hAnsi="宋体" w:eastAsia="宋体" w:cs="宋体"/>
          <w:sz w:val="24"/>
          <w:szCs w:val="24"/>
          <w:highlight w:val="none"/>
        </w:rPr>
        <w:t>接续60个日历日之内完成终验收。</w:t>
      </w:r>
    </w:p>
    <w:p w14:paraId="4A4F1BD6">
      <w:pPr>
        <w:spacing w:line="360" w:lineRule="auto"/>
        <w:ind w:firstLine="482" w:firstLineChars="200"/>
        <w:rPr>
          <w:rFonts w:ascii="宋体" w:hAnsi="宋体" w:eastAsia="宋体" w:cs="宋体"/>
          <w:b/>
          <w:sz w:val="24"/>
          <w:szCs w:val="24"/>
        </w:rPr>
      </w:pPr>
      <w:r>
        <w:rPr>
          <w:rFonts w:hint="eastAsia" w:ascii="宋体" w:hAnsi="宋体" w:eastAsia="宋体" w:cs="宋体"/>
          <w:b/>
          <w:sz w:val="24"/>
          <w:szCs w:val="24"/>
        </w:rPr>
        <w:t>四、包装</w:t>
      </w:r>
    </w:p>
    <w:p w14:paraId="57EBCA18">
      <w:pPr>
        <w:pStyle w:val="133"/>
        <w:numPr>
          <w:ilvl w:val="1"/>
          <w:numId w:val="41"/>
        </w:numPr>
        <w:adjustRightInd w:val="0"/>
        <w:snapToGrid w:val="0"/>
        <w:spacing w:line="360" w:lineRule="auto"/>
        <w:ind w:left="851" w:hanging="426" w:firstLineChars="0"/>
        <w:rPr>
          <w:rFonts w:ascii="宋体" w:hAnsi="宋体" w:eastAsia="宋体" w:cs="宋体"/>
          <w:sz w:val="24"/>
          <w:szCs w:val="24"/>
        </w:rPr>
      </w:pPr>
      <w:r>
        <w:rPr>
          <w:rFonts w:hint="eastAsia" w:ascii="宋体" w:hAnsi="宋体" w:eastAsia="宋体" w:cs="宋体"/>
          <w:sz w:val="24"/>
          <w:szCs w:val="24"/>
        </w:rPr>
        <w:t>设备的包装由投标方负责，需采用国家出口标准，没有国家标准的采用行业标准，没有行业标准的应当按照通用的方式包装，没有通用方式的，应当采取足以保护标的物的包装方式。采用的包装应适于长途运输，并有良好的防潮、防锈和防野蛮装卸等保护措施，以确保设备在运输过程中不受损伤安全抵运现场。投标方应承担由于其包装、防护不妥而引起的设备锈蚀、损坏、丢失等任何损失的责任和费用。</w:t>
      </w:r>
    </w:p>
    <w:p w14:paraId="0BB4D409">
      <w:pPr>
        <w:pStyle w:val="133"/>
        <w:numPr>
          <w:ilvl w:val="1"/>
          <w:numId w:val="41"/>
        </w:numPr>
        <w:adjustRightInd w:val="0"/>
        <w:snapToGrid w:val="0"/>
        <w:spacing w:line="360" w:lineRule="auto"/>
        <w:ind w:left="851" w:hanging="426" w:firstLineChars="0"/>
        <w:rPr>
          <w:rFonts w:ascii="宋体" w:hAnsi="宋体" w:eastAsia="宋体" w:cs="宋体"/>
          <w:sz w:val="24"/>
          <w:szCs w:val="24"/>
        </w:rPr>
      </w:pPr>
      <w:r>
        <w:rPr>
          <w:rFonts w:hint="eastAsia" w:ascii="宋体" w:hAnsi="宋体" w:eastAsia="宋体" w:cs="宋体"/>
          <w:sz w:val="24"/>
          <w:szCs w:val="24"/>
        </w:rPr>
        <w:t>包装应能满足所需要采取的运输方式（船运、汽运或铁路运输）、多次吊装卸装、卸货以及长期露天堆放要求，应能防止雨淋、受潮、生锈、腐蚀、受振、受磁以及机械和化学因素等引起的损坏。</w:t>
      </w:r>
    </w:p>
    <w:p w14:paraId="33372487">
      <w:pPr>
        <w:pStyle w:val="133"/>
        <w:numPr>
          <w:ilvl w:val="1"/>
          <w:numId w:val="41"/>
        </w:numPr>
        <w:adjustRightInd w:val="0"/>
        <w:snapToGrid w:val="0"/>
        <w:spacing w:line="360" w:lineRule="auto"/>
        <w:ind w:left="851" w:hanging="426" w:firstLineChars="0"/>
        <w:rPr>
          <w:rFonts w:ascii="宋体" w:hAnsi="宋体" w:eastAsia="宋体" w:cs="宋体"/>
          <w:sz w:val="24"/>
          <w:szCs w:val="24"/>
        </w:rPr>
      </w:pPr>
      <w:r>
        <w:rPr>
          <w:rFonts w:hint="eastAsia" w:ascii="宋体" w:hAnsi="宋体" w:eastAsia="宋体" w:cs="宋体"/>
          <w:sz w:val="24"/>
          <w:szCs w:val="24"/>
        </w:rPr>
        <w:t>所提供货物（或设备）的包装，应能防止其一般性被窃或受外力破坏；一般不得采用有大缝隙的板条包装。</w:t>
      </w:r>
    </w:p>
    <w:p w14:paraId="65811EEA">
      <w:pPr>
        <w:pStyle w:val="133"/>
        <w:numPr>
          <w:ilvl w:val="1"/>
          <w:numId w:val="41"/>
        </w:numPr>
        <w:adjustRightInd w:val="0"/>
        <w:snapToGrid w:val="0"/>
        <w:spacing w:line="360" w:lineRule="auto"/>
        <w:ind w:left="851" w:hanging="426" w:firstLineChars="0"/>
        <w:rPr>
          <w:rFonts w:ascii="宋体" w:hAnsi="宋体" w:eastAsia="宋体" w:cs="宋体"/>
          <w:sz w:val="24"/>
          <w:szCs w:val="24"/>
        </w:rPr>
      </w:pPr>
      <w:r>
        <w:rPr>
          <w:rFonts w:hint="eastAsia" w:ascii="宋体" w:hAnsi="宋体" w:eastAsia="宋体" w:cs="宋体"/>
          <w:sz w:val="24"/>
          <w:szCs w:val="24"/>
        </w:rPr>
        <w:t>应对包装件做必要的加固和固定，以防止运输可能造成的损坏。</w:t>
      </w:r>
    </w:p>
    <w:p w14:paraId="258BE8FA">
      <w:pPr>
        <w:pStyle w:val="133"/>
        <w:numPr>
          <w:ilvl w:val="1"/>
          <w:numId w:val="41"/>
        </w:numPr>
        <w:adjustRightInd w:val="0"/>
        <w:snapToGrid w:val="0"/>
        <w:spacing w:line="360" w:lineRule="auto"/>
        <w:ind w:left="851" w:hanging="426" w:firstLineChars="0"/>
        <w:rPr>
          <w:rFonts w:ascii="宋体" w:hAnsi="宋体" w:eastAsia="宋体" w:cs="宋体"/>
          <w:sz w:val="24"/>
          <w:szCs w:val="24"/>
        </w:rPr>
      </w:pPr>
      <w:r>
        <w:rPr>
          <w:rFonts w:hint="eastAsia" w:ascii="宋体" w:hAnsi="宋体" w:eastAsia="宋体" w:cs="宋体"/>
          <w:sz w:val="24"/>
          <w:szCs w:val="24"/>
        </w:rPr>
        <w:t>每个包装件应有装箱单，并至少标明名称、型号规格、数量、净重和毛重、投标方（或供货商）名称和制造日期等相关内容。</w:t>
      </w:r>
    </w:p>
    <w:p w14:paraId="03757CDD">
      <w:pPr>
        <w:pStyle w:val="133"/>
        <w:numPr>
          <w:ilvl w:val="1"/>
          <w:numId w:val="41"/>
        </w:numPr>
        <w:adjustRightInd w:val="0"/>
        <w:snapToGrid w:val="0"/>
        <w:spacing w:line="360" w:lineRule="auto"/>
        <w:ind w:left="851" w:hanging="426" w:firstLineChars="0"/>
        <w:rPr>
          <w:rFonts w:ascii="宋体" w:hAnsi="宋体" w:eastAsia="宋体" w:cs="宋体"/>
          <w:sz w:val="24"/>
          <w:szCs w:val="24"/>
        </w:rPr>
      </w:pPr>
      <w:r>
        <w:rPr>
          <w:rFonts w:hint="eastAsia" w:ascii="宋体" w:hAnsi="宋体" w:eastAsia="宋体" w:cs="宋体"/>
          <w:sz w:val="24"/>
          <w:szCs w:val="24"/>
        </w:rPr>
        <w:t>每个包装箱应有明显标志，并具有中文书写的合同号、装运标志、发货和到货地点名称、发货人和收货人名称、货物（或生产线）名称和项目号、箱号和外型尺寸等内容。</w:t>
      </w:r>
    </w:p>
    <w:p w14:paraId="4D43ED0C">
      <w:pPr>
        <w:pStyle w:val="133"/>
        <w:numPr>
          <w:ilvl w:val="1"/>
          <w:numId w:val="41"/>
        </w:numPr>
        <w:adjustRightInd w:val="0"/>
        <w:snapToGrid w:val="0"/>
        <w:spacing w:line="360" w:lineRule="auto"/>
        <w:ind w:left="851" w:hanging="426" w:firstLineChars="0"/>
        <w:rPr>
          <w:rFonts w:ascii="宋体" w:hAnsi="宋体" w:eastAsia="宋体" w:cs="宋体"/>
          <w:sz w:val="24"/>
          <w:szCs w:val="24"/>
        </w:rPr>
      </w:pPr>
      <w:r>
        <w:rPr>
          <w:rFonts w:hint="eastAsia" w:ascii="宋体" w:hAnsi="宋体" w:eastAsia="宋体" w:cs="宋体"/>
          <w:sz w:val="24"/>
          <w:szCs w:val="24"/>
        </w:rPr>
        <w:t>应按照不同的装运要求在包装箱上用标明“小心轻放”、“箭头向上”、“防潮”、“防磁”、“不准平放”等标志，以及其它适用的国标通用标志。</w:t>
      </w:r>
    </w:p>
    <w:p w14:paraId="41E9B921">
      <w:pPr>
        <w:pStyle w:val="133"/>
        <w:numPr>
          <w:ilvl w:val="1"/>
          <w:numId w:val="41"/>
        </w:numPr>
        <w:adjustRightInd w:val="0"/>
        <w:snapToGrid w:val="0"/>
        <w:spacing w:line="360" w:lineRule="auto"/>
        <w:ind w:left="851" w:hanging="426" w:firstLineChars="0"/>
        <w:rPr>
          <w:rFonts w:ascii="宋体" w:hAnsi="宋体" w:eastAsia="宋体" w:cs="宋体"/>
          <w:sz w:val="24"/>
          <w:szCs w:val="24"/>
        </w:rPr>
      </w:pPr>
      <w:r>
        <w:rPr>
          <w:rFonts w:hint="eastAsia" w:ascii="宋体" w:hAnsi="宋体" w:eastAsia="宋体" w:cs="宋体"/>
          <w:sz w:val="24"/>
          <w:szCs w:val="24"/>
        </w:rPr>
        <w:t>包装箱应连续编号，不应出现重复编号。</w:t>
      </w:r>
    </w:p>
    <w:p w14:paraId="3E7003AD">
      <w:pPr>
        <w:pStyle w:val="133"/>
        <w:numPr>
          <w:ilvl w:val="1"/>
          <w:numId w:val="41"/>
        </w:numPr>
        <w:adjustRightInd w:val="0"/>
        <w:snapToGrid w:val="0"/>
        <w:spacing w:line="360" w:lineRule="auto"/>
        <w:ind w:left="851" w:hanging="426" w:firstLineChars="0"/>
        <w:rPr>
          <w:rFonts w:ascii="宋体" w:hAnsi="宋体" w:eastAsia="宋体" w:cs="宋体"/>
          <w:sz w:val="24"/>
          <w:szCs w:val="24"/>
        </w:rPr>
      </w:pPr>
      <w:r>
        <w:rPr>
          <w:rFonts w:hint="eastAsia" w:ascii="宋体" w:hAnsi="宋体" w:eastAsia="宋体" w:cs="宋体"/>
          <w:sz w:val="24"/>
          <w:szCs w:val="24"/>
        </w:rPr>
        <w:t>在不受到外界破坏情况下，包装应保证自交货日起一年内货物（或设备）完好无损。</w:t>
      </w:r>
    </w:p>
    <w:p w14:paraId="6A49D1C5">
      <w:pPr>
        <w:spacing w:line="360" w:lineRule="auto"/>
        <w:ind w:firstLine="482" w:firstLineChars="200"/>
        <w:rPr>
          <w:rFonts w:ascii="宋体" w:hAnsi="宋体" w:eastAsia="宋体" w:cs="宋体"/>
          <w:b/>
          <w:sz w:val="24"/>
          <w:szCs w:val="24"/>
        </w:rPr>
      </w:pPr>
      <w:r>
        <w:rPr>
          <w:rFonts w:hint="eastAsia" w:ascii="宋体" w:hAnsi="宋体" w:eastAsia="宋体" w:cs="宋体"/>
          <w:b/>
          <w:sz w:val="24"/>
          <w:szCs w:val="24"/>
        </w:rPr>
        <w:t>五、运输</w:t>
      </w:r>
    </w:p>
    <w:p w14:paraId="2D016F2C">
      <w:pPr>
        <w:pStyle w:val="133"/>
        <w:numPr>
          <w:ilvl w:val="1"/>
          <w:numId w:val="42"/>
        </w:numPr>
        <w:adjustRightInd w:val="0"/>
        <w:snapToGrid w:val="0"/>
        <w:spacing w:line="360" w:lineRule="auto"/>
        <w:ind w:leftChars="270" w:hanging="424" w:hangingChars="177"/>
        <w:rPr>
          <w:rFonts w:ascii="宋体" w:hAnsi="宋体" w:eastAsia="宋体" w:cs="宋体"/>
          <w:sz w:val="24"/>
          <w:szCs w:val="24"/>
        </w:rPr>
      </w:pPr>
      <w:r>
        <w:rPr>
          <w:rFonts w:hint="eastAsia" w:ascii="宋体" w:hAnsi="宋体" w:eastAsia="宋体" w:cs="宋体"/>
          <w:sz w:val="24"/>
          <w:szCs w:val="24"/>
        </w:rPr>
        <w:t>应负责将货物（或设备）运到目的地，并必须做到货物（或设备）在任何运输过程中不受损坏和遗失。</w:t>
      </w:r>
    </w:p>
    <w:p w14:paraId="2B12C773">
      <w:pPr>
        <w:pStyle w:val="133"/>
        <w:numPr>
          <w:ilvl w:val="1"/>
          <w:numId w:val="42"/>
        </w:numPr>
        <w:adjustRightInd w:val="0"/>
        <w:snapToGrid w:val="0"/>
        <w:spacing w:line="360" w:lineRule="auto"/>
        <w:ind w:leftChars="270" w:hanging="424" w:hangingChars="177"/>
        <w:rPr>
          <w:rFonts w:ascii="宋体" w:hAnsi="宋体" w:eastAsia="宋体" w:cs="宋体"/>
          <w:sz w:val="24"/>
          <w:szCs w:val="24"/>
        </w:rPr>
      </w:pPr>
      <w:r>
        <w:rPr>
          <w:rFonts w:hint="eastAsia" w:ascii="宋体" w:hAnsi="宋体" w:eastAsia="宋体" w:cs="宋体"/>
          <w:sz w:val="24"/>
          <w:szCs w:val="24"/>
        </w:rPr>
        <w:t>同批货物（或设备）应统一包装、编号运输。</w:t>
      </w:r>
    </w:p>
    <w:p w14:paraId="0A7A3FCD">
      <w:pPr>
        <w:pStyle w:val="133"/>
        <w:numPr>
          <w:ilvl w:val="1"/>
          <w:numId w:val="42"/>
        </w:numPr>
        <w:adjustRightInd w:val="0"/>
        <w:snapToGrid w:val="0"/>
        <w:spacing w:line="360" w:lineRule="auto"/>
        <w:ind w:leftChars="270" w:hanging="424" w:hangingChars="177"/>
        <w:rPr>
          <w:rFonts w:ascii="宋体" w:hAnsi="宋体" w:eastAsia="宋体" w:cs="宋体"/>
          <w:sz w:val="24"/>
          <w:szCs w:val="24"/>
        </w:rPr>
      </w:pPr>
      <w:r>
        <w:rPr>
          <w:rFonts w:hint="eastAsia" w:ascii="宋体" w:hAnsi="宋体" w:eastAsia="宋体" w:cs="宋体"/>
          <w:sz w:val="24"/>
          <w:szCs w:val="24"/>
        </w:rPr>
        <w:t>一般情况下，经由铁路、公路运输的包装件尺寸和重量不应超过国家所规定的尺寸限制，特殊情况应予以说明。</w:t>
      </w:r>
    </w:p>
    <w:p w14:paraId="0EEE57B8">
      <w:pPr>
        <w:pStyle w:val="133"/>
        <w:numPr>
          <w:ilvl w:val="1"/>
          <w:numId w:val="42"/>
        </w:numPr>
        <w:adjustRightInd w:val="0"/>
        <w:snapToGrid w:val="0"/>
        <w:spacing w:line="360" w:lineRule="auto"/>
        <w:ind w:leftChars="270" w:hanging="424" w:hangingChars="177"/>
        <w:rPr>
          <w:rFonts w:hint="eastAsia" w:ascii="宋体" w:hAnsi="宋体" w:eastAsia="宋体" w:cs="宋体"/>
          <w:sz w:val="24"/>
          <w:szCs w:val="24"/>
        </w:rPr>
      </w:pPr>
      <w:r>
        <w:rPr>
          <w:rFonts w:hint="eastAsia" w:ascii="宋体" w:hAnsi="宋体" w:eastAsia="宋体" w:cs="宋体"/>
          <w:sz w:val="24"/>
          <w:szCs w:val="24"/>
        </w:rPr>
        <w:t>在每批货物（或设备）发出后，应立即通知买方；通知中应指明：合同号、货运单号、件数、重量和货物（或设备）发出日期等相关内容。</w:t>
      </w:r>
    </w:p>
    <w:p w14:paraId="662FBEB1">
      <w:pPr>
        <w:pStyle w:val="133"/>
        <w:numPr>
          <w:ilvl w:val="1"/>
          <w:numId w:val="42"/>
        </w:numPr>
        <w:adjustRightInd w:val="0"/>
        <w:snapToGrid w:val="0"/>
        <w:spacing w:line="360" w:lineRule="auto"/>
        <w:ind w:leftChars="270" w:hanging="424" w:hangingChars="177"/>
        <w:rPr>
          <w:rFonts w:hint="eastAsia" w:ascii="宋体" w:hAnsi="宋体" w:eastAsia="宋体" w:cs="宋体"/>
          <w:sz w:val="24"/>
          <w:szCs w:val="24"/>
        </w:rPr>
      </w:pPr>
      <w:r>
        <w:rPr>
          <w:rFonts w:hint="eastAsia" w:ascii="宋体" w:hAnsi="宋体" w:eastAsia="宋体" w:cs="宋体"/>
          <w:sz w:val="24"/>
          <w:szCs w:val="24"/>
        </w:rPr>
        <w:t>货物（或设备）运抵交货地点后，应负责货物（或设备）的卸货、搬运、保管等事宜，或按照合同约定。</w:t>
      </w:r>
    </w:p>
    <w:p w14:paraId="494C1F8E">
      <w:pPr>
        <w:keepNext/>
        <w:keepLines/>
        <w:spacing w:line="440" w:lineRule="exact"/>
        <w:ind w:firstLine="723" w:firstLineChars="200"/>
        <w:jc w:val="center"/>
        <w:outlineLvl w:val="0"/>
        <w:rPr>
          <w:rFonts w:hint="eastAsia" w:ascii="Times New Roman" w:hAnsi="Times New Roman" w:eastAsia="宋体"/>
          <w:b/>
          <w:bCs/>
          <w:kern w:val="44"/>
          <w:sz w:val="36"/>
          <w:szCs w:val="44"/>
          <w:lang w:val="en-US" w:eastAsia="zh-CN"/>
        </w:rPr>
      </w:pPr>
    </w:p>
    <w:p w14:paraId="1D550531">
      <w:pPr>
        <w:keepNext/>
        <w:keepLines/>
        <w:spacing w:line="440" w:lineRule="exact"/>
        <w:jc w:val="center"/>
        <w:outlineLvl w:val="0"/>
        <w:rPr>
          <w:rFonts w:hint="eastAsia" w:ascii="Times New Roman" w:hAnsi="Times New Roman" w:eastAsia="宋体"/>
          <w:b/>
          <w:bCs/>
          <w:kern w:val="44"/>
          <w:sz w:val="36"/>
          <w:szCs w:val="44"/>
          <w:lang w:val="en-US" w:eastAsia="zh-CN"/>
        </w:rPr>
      </w:pPr>
      <w:r>
        <w:rPr>
          <w:rFonts w:hint="eastAsia" w:ascii="Times New Roman" w:hAnsi="Times New Roman" w:eastAsia="宋体"/>
          <w:b/>
          <w:bCs/>
          <w:kern w:val="44"/>
          <w:sz w:val="36"/>
          <w:szCs w:val="44"/>
          <w:lang w:val="en-US" w:eastAsia="zh-CN"/>
        </w:rPr>
        <w:t>第五章  质保期及售后服务</w:t>
      </w:r>
      <w:bookmarkEnd w:id="36"/>
      <w:bookmarkEnd w:id="37"/>
    </w:p>
    <w:p w14:paraId="754874DE">
      <w:pPr>
        <w:keepNext/>
        <w:keepLines/>
        <w:spacing w:line="360" w:lineRule="auto"/>
        <w:ind w:firstLine="482" w:firstLineChars="200"/>
        <w:outlineLvl w:val="1"/>
        <w:rPr>
          <w:rFonts w:hint="eastAsia" w:ascii="宋体" w:hAnsi="宋体" w:eastAsia="宋体" w:cs="宋体"/>
          <w:b/>
          <w:bCs/>
          <w:sz w:val="24"/>
          <w:szCs w:val="32"/>
        </w:rPr>
      </w:pPr>
      <w:bookmarkStart w:id="49" w:name="_Toc238287415"/>
      <w:r>
        <w:rPr>
          <w:rFonts w:hint="eastAsia" w:ascii="宋体" w:hAnsi="宋体" w:eastAsia="宋体" w:cs="宋体"/>
          <w:b/>
          <w:bCs/>
          <w:sz w:val="24"/>
          <w:szCs w:val="32"/>
          <w:lang w:val="en-US" w:eastAsia="zh-CN"/>
        </w:rPr>
        <w:t>一、</w:t>
      </w:r>
      <w:r>
        <w:rPr>
          <w:rFonts w:hint="eastAsia" w:ascii="宋体" w:hAnsi="宋体" w:eastAsia="宋体" w:cs="宋体"/>
          <w:b/>
          <w:bCs/>
          <w:sz w:val="24"/>
          <w:szCs w:val="32"/>
        </w:rPr>
        <w:t>质保期及质保要求</w:t>
      </w:r>
      <w:bookmarkEnd w:id="49"/>
    </w:p>
    <w:p w14:paraId="2CB0CCDA">
      <w:pPr>
        <w:pStyle w:val="133"/>
        <w:numPr>
          <w:ilvl w:val="1"/>
          <w:numId w:val="43"/>
        </w:numPr>
        <w:adjustRightInd w:val="0"/>
        <w:snapToGrid w:val="0"/>
        <w:spacing w:after="0" w:line="360" w:lineRule="auto"/>
        <w:ind w:left="408" w:leftChars="59" w:hanging="284" w:firstLineChars="0"/>
        <w:jc w:val="both"/>
        <w:rPr>
          <w:rFonts w:ascii="宋体" w:hAnsi="宋体" w:cs="宋体"/>
          <w14:ligatures w14:val="none"/>
        </w:rPr>
      </w:pPr>
      <w:r>
        <w:rPr>
          <w:rFonts w:hint="eastAsia" w:ascii="宋体" w:hAnsi="宋体" w:cs="宋体"/>
          <w14:ligatures w14:val="none"/>
        </w:rPr>
        <w:t>投标方所提供货物（或生产线）涉及的全部供货范围内的设备、材料、零配件和工装器具等，质保期自终验收签字生效之日起</w:t>
      </w:r>
      <w:r>
        <w:rPr>
          <w:rFonts w:ascii="宋体" w:hAnsi="宋体" w:cs="宋体"/>
          <w:color w:val="FF0000"/>
          <w:u w:val="single"/>
          <w14:ligatures w14:val="none"/>
        </w:rPr>
        <w:t>24</w:t>
      </w:r>
      <w:r>
        <w:rPr>
          <w:rFonts w:hint="eastAsia" w:ascii="宋体" w:hAnsi="宋体" w:cs="宋体"/>
          <w:color w:val="FF0000"/>
          <w14:ligatures w14:val="none"/>
        </w:rPr>
        <w:t>个</w:t>
      </w:r>
      <w:r>
        <w:rPr>
          <w:rFonts w:hint="eastAsia" w:ascii="宋体" w:hAnsi="宋体" w:cs="宋体"/>
          <w14:ligatures w14:val="none"/>
        </w:rPr>
        <w:t>月，合同特别约定除外。</w:t>
      </w:r>
    </w:p>
    <w:p w14:paraId="2F8C8FB7">
      <w:pPr>
        <w:pStyle w:val="133"/>
        <w:numPr>
          <w:ilvl w:val="1"/>
          <w:numId w:val="43"/>
        </w:numPr>
        <w:adjustRightInd w:val="0"/>
        <w:snapToGrid w:val="0"/>
        <w:spacing w:after="0" w:line="360" w:lineRule="auto"/>
        <w:ind w:left="408" w:leftChars="59" w:hanging="284" w:firstLineChars="0"/>
        <w:jc w:val="both"/>
        <w:rPr>
          <w:rFonts w:ascii="宋体" w:hAnsi="宋体" w:cs="宋体"/>
          <w14:ligatures w14:val="none"/>
        </w:rPr>
      </w:pPr>
      <w:r>
        <w:rPr>
          <w:rFonts w:hint="eastAsia" w:ascii="宋体" w:hAnsi="宋体" w:cs="宋体"/>
          <w14:ligatures w14:val="none"/>
        </w:rPr>
        <w:t>质保期之内，如果货物（或生产线）出现关键设备、总成、零部件或者多处一般设备、总成、零部件的更换或维修行为，则质保期自更换或维修行为结束、货物（或生产线）能够正常运行使用之日起重新计算。</w:t>
      </w:r>
    </w:p>
    <w:p w14:paraId="58A7020F">
      <w:pPr>
        <w:pStyle w:val="133"/>
        <w:numPr>
          <w:ilvl w:val="1"/>
          <w:numId w:val="43"/>
        </w:numPr>
        <w:adjustRightInd w:val="0"/>
        <w:snapToGrid w:val="0"/>
        <w:spacing w:after="0" w:line="360" w:lineRule="auto"/>
        <w:ind w:left="408" w:leftChars="59" w:hanging="284" w:firstLineChars="0"/>
        <w:jc w:val="both"/>
        <w:rPr>
          <w:rFonts w:ascii="宋体" w:hAnsi="宋体" w:cs="宋体"/>
          <w14:ligatures w14:val="none"/>
        </w:rPr>
      </w:pPr>
      <w:r>
        <w:rPr>
          <w:rFonts w:hint="eastAsia" w:ascii="宋体" w:hAnsi="宋体" w:cs="宋体"/>
          <w14:ligatures w14:val="none"/>
        </w:rPr>
        <w:t>投标方承诺质保期内每年</w:t>
      </w:r>
      <w:r>
        <w:rPr>
          <w:rFonts w:ascii="宋体" w:hAnsi="宋体" w:cs="宋体"/>
          <w14:ligatures w14:val="none"/>
        </w:rPr>
        <w:t>免费</w:t>
      </w:r>
      <w:r>
        <w:rPr>
          <w:rFonts w:hint="eastAsia" w:ascii="宋体" w:hAnsi="宋体" w:cs="宋体"/>
          <w14:ligatures w14:val="none"/>
        </w:rPr>
        <w:t>提供</w:t>
      </w:r>
      <w:r>
        <w:rPr>
          <w:rFonts w:ascii="宋体" w:hAnsi="宋体" w:cs="宋体"/>
          <w14:ligatures w14:val="none"/>
        </w:rPr>
        <w:t>2次</w:t>
      </w:r>
      <w:r>
        <w:rPr>
          <w:rFonts w:hint="eastAsia" w:ascii="宋体" w:hAnsi="宋体" w:cs="宋体"/>
          <w14:ligatures w14:val="none"/>
        </w:rPr>
        <w:t>设备检查、</w:t>
      </w:r>
      <w:r>
        <w:rPr>
          <w:rFonts w:ascii="宋体" w:hAnsi="宋体" w:cs="宋体"/>
          <w14:ligatures w14:val="none"/>
        </w:rPr>
        <w:t>维护保养</w:t>
      </w:r>
      <w:r>
        <w:rPr>
          <w:rFonts w:hint="eastAsia" w:ascii="宋体" w:hAnsi="宋体" w:cs="宋体"/>
          <w14:ligatures w14:val="none"/>
        </w:rPr>
        <w:t>作业指导</w:t>
      </w:r>
      <w:r>
        <w:rPr>
          <w:rFonts w:ascii="宋体" w:hAnsi="宋体" w:cs="宋体"/>
          <w14:ligatures w14:val="none"/>
        </w:rPr>
        <w:t>。</w:t>
      </w:r>
    </w:p>
    <w:p w14:paraId="1750FC05">
      <w:pPr>
        <w:pStyle w:val="2"/>
        <w:numPr>
          <w:ilvl w:val="0"/>
          <w:numId w:val="0"/>
        </w:numPr>
        <w:tabs>
          <w:tab w:val="left" w:pos="567"/>
        </w:tabs>
        <w:ind w:leftChars="0" w:firstLine="482" w:firstLineChars="200"/>
        <w:jc w:val="left"/>
        <w:rPr>
          <w:rFonts w:hint="eastAsia" w:ascii="宋体" w:hAnsi="宋体" w:eastAsia="宋体" w:cs="宋体"/>
          <w:b/>
          <w:bCs/>
          <w:kern w:val="2"/>
          <w:sz w:val="24"/>
          <w:szCs w:val="32"/>
          <w:lang w:val="en-US" w:eastAsia="zh-CN" w:bidi="ar-SA"/>
        </w:rPr>
      </w:pPr>
      <w:bookmarkStart w:id="50" w:name="_Toc238287416"/>
      <w:r>
        <w:rPr>
          <w:rFonts w:hint="eastAsia" w:ascii="宋体" w:hAnsi="宋体" w:eastAsia="宋体" w:cs="宋体"/>
          <w:b/>
          <w:bCs/>
          <w:kern w:val="2"/>
          <w:sz w:val="24"/>
          <w:szCs w:val="32"/>
          <w:lang w:val="en-US" w:eastAsia="zh-CN" w:bidi="ar-SA"/>
        </w:rPr>
        <w:t>二、技术及培训服务</w:t>
      </w:r>
      <w:bookmarkEnd w:id="50"/>
    </w:p>
    <w:p w14:paraId="18771219">
      <w:pPr>
        <w:pStyle w:val="133"/>
        <w:numPr>
          <w:ilvl w:val="1"/>
          <w:numId w:val="44"/>
        </w:numPr>
        <w:adjustRightInd w:val="0"/>
        <w:snapToGrid w:val="0"/>
        <w:spacing w:after="0" w:line="360" w:lineRule="auto"/>
        <w:ind w:left="426" w:hanging="284" w:firstLineChars="0"/>
        <w:jc w:val="both"/>
        <w:rPr>
          <w:rFonts w:ascii="宋体" w:hAnsi="宋体" w:cs="宋体"/>
          <w14:ligatures w14:val="none"/>
        </w:rPr>
      </w:pPr>
      <w:r>
        <w:rPr>
          <w:rFonts w:hint="eastAsia" w:ascii="宋体" w:hAnsi="宋体" w:cs="宋体"/>
          <w14:ligatures w14:val="none"/>
        </w:rPr>
        <w:t>投标方应负责在招标方货物（或生产线）使用现场，</w:t>
      </w:r>
      <w:r>
        <w:rPr>
          <w:rFonts w:ascii="宋体" w:hAnsi="宋体" w:cs="宋体"/>
          <w14:ligatures w14:val="none"/>
        </w:rPr>
        <w:t>对技术、维修和操作人员提供免费的理论、技术和操作、维修等方面</w:t>
      </w:r>
      <w:r>
        <w:rPr>
          <w:rFonts w:hint="eastAsia" w:ascii="宋体" w:hAnsi="宋体" w:cs="宋体"/>
          <w14:ligatures w14:val="none"/>
        </w:rPr>
        <w:t>，进行2～3次免费的技术指导和培训，</w:t>
      </w:r>
      <w:r>
        <w:rPr>
          <w:rFonts w:ascii="宋体" w:hAnsi="宋体" w:cs="宋体"/>
          <w14:ligatures w14:val="none"/>
        </w:rPr>
        <w:t>培训</w:t>
      </w:r>
      <w:r>
        <w:rPr>
          <w:rFonts w:hint="eastAsia" w:ascii="宋体" w:hAnsi="宋体" w:cs="宋体"/>
          <w14:ligatures w14:val="none"/>
        </w:rPr>
        <w:t>时</w:t>
      </w:r>
      <w:r>
        <w:rPr>
          <w:rFonts w:hint="eastAsia" w:ascii="宋体" w:hAnsi="宋体" w:cs="宋体"/>
          <w:color w:val="FF0000"/>
          <w14:ligatures w14:val="none"/>
        </w:rPr>
        <w:t>间</w:t>
      </w:r>
      <w:r>
        <w:rPr>
          <w:rFonts w:ascii="宋体" w:hAnsi="宋体" w:cs="宋体"/>
          <w:color w:val="FF0000"/>
          <w14:ligatures w14:val="none"/>
        </w:rPr>
        <w:t>不少于</w:t>
      </w:r>
      <w:r>
        <w:rPr>
          <w:rFonts w:ascii="宋体" w:hAnsi="宋体" w:cs="宋体"/>
          <w:color w:val="FF0000"/>
          <w:u w:val="single"/>
          <w14:ligatures w14:val="none"/>
        </w:rPr>
        <w:t>10</w:t>
      </w:r>
      <w:r>
        <w:rPr>
          <w:rFonts w:ascii="宋体" w:hAnsi="宋体" w:cs="宋体"/>
          <w:color w:val="FF0000"/>
          <w14:ligatures w14:val="none"/>
        </w:rPr>
        <w:t>个工作日</w:t>
      </w:r>
      <w:r>
        <w:rPr>
          <w:rFonts w:hint="eastAsia" w:ascii="宋体" w:hAnsi="宋体" w:cs="宋体"/>
          <w:color w:val="FF0000"/>
          <w14:ligatures w14:val="none"/>
        </w:rPr>
        <w:t>，并</w:t>
      </w:r>
      <w:r>
        <w:rPr>
          <w:rFonts w:hint="eastAsia" w:ascii="宋体" w:hAnsi="宋体" w:cs="宋体"/>
          <w14:ligatures w14:val="none"/>
        </w:rPr>
        <w:t>接受招标方有关人员的技术咨询。</w:t>
      </w:r>
    </w:p>
    <w:p w14:paraId="49F98959">
      <w:pPr>
        <w:pStyle w:val="133"/>
        <w:numPr>
          <w:ilvl w:val="1"/>
          <w:numId w:val="44"/>
        </w:numPr>
        <w:adjustRightInd w:val="0"/>
        <w:snapToGrid w:val="0"/>
        <w:spacing w:after="0" w:line="360" w:lineRule="auto"/>
        <w:ind w:left="426" w:hanging="284" w:firstLineChars="0"/>
        <w:jc w:val="both"/>
        <w:rPr>
          <w:rFonts w:ascii="宋体" w:hAnsi="宋体" w:cs="宋体"/>
          <w14:ligatures w14:val="none"/>
        </w:rPr>
      </w:pPr>
      <w:r>
        <w:rPr>
          <w:rFonts w:hint="eastAsia" w:ascii="宋体" w:hAnsi="宋体" w:cs="宋体"/>
          <w14:ligatures w14:val="none"/>
        </w:rPr>
        <w:t>投标方应免费提供全套培训资料。所有设备均需要配备产品说明书，包括设备的内部结构、组成及保养、维护、调试等相关内容，便于生产人员及维修人员查阅。</w:t>
      </w:r>
    </w:p>
    <w:p w14:paraId="0E583607">
      <w:pPr>
        <w:pStyle w:val="133"/>
        <w:numPr>
          <w:ilvl w:val="1"/>
          <w:numId w:val="44"/>
        </w:numPr>
        <w:adjustRightInd w:val="0"/>
        <w:snapToGrid w:val="0"/>
        <w:spacing w:after="0" w:line="360" w:lineRule="auto"/>
        <w:ind w:left="426" w:hanging="284" w:firstLineChars="0"/>
        <w:jc w:val="both"/>
        <w:rPr>
          <w:rFonts w:ascii="宋体" w:hAnsi="宋体" w:cs="宋体"/>
          <w14:ligatures w14:val="none"/>
        </w:rPr>
      </w:pPr>
      <w:r>
        <w:rPr>
          <w:rFonts w:hint="eastAsia" w:ascii="宋体" w:hAnsi="宋体" w:cs="宋体"/>
          <w14:ligatures w14:val="none"/>
        </w:rPr>
        <w:t>投标方应按要求，免费积极协助和提供招标方以及招标方所委托的工程设计单位有关人员所需要的、与货物（或生产线）有关的工程设计资料、技术咨询等。</w:t>
      </w:r>
    </w:p>
    <w:p w14:paraId="50088D79">
      <w:pPr>
        <w:pStyle w:val="133"/>
        <w:numPr>
          <w:ilvl w:val="1"/>
          <w:numId w:val="44"/>
        </w:numPr>
        <w:adjustRightInd w:val="0"/>
        <w:snapToGrid w:val="0"/>
        <w:spacing w:after="0" w:line="360" w:lineRule="auto"/>
        <w:ind w:left="426" w:hanging="284" w:firstLineChars="0"/>
        <w:jc w:val="both"/>
        <w:rPr>
          <w:rFonts w:ascii="宋体" w:hAnsi="宋体" w:cs="宋体"/>
          <w14:ligatures w14:val="none"/>
        </w:rPr>
      </w:pPr>
      <w:r>
        <w:rPr>
          <w:rFonts w:hint="eastAsia" w:ascii="宋体" w:hAnsi="宋体" w:cs="宋体"/>
          <w14:ligatures w14:val="none"/>
        </w:rPr>
        <w:t>若投标方提供的货物（或生产线）涉及到外购外协货物、而且该货物的技术质量等较为关键、功能实现或操作较为困难，凡招标方提出需求的，投标方应能得到配套厂家的技术支持，并免费为招标方提供技术服务及培训。</w:t>
      </w:r>
    </w:p>
    <w:p w14:paraId="20DC6D57">
      <w:pPr>
        <w:pStyle w:val="133"/>
        <w:numPr>
          <w:ilvl w:val="1"/>
          <w:numId w:val="44"/>
        </w:numPr>
        <w:adjustRightInd w:val="0"/>
        <w:snapToGrid w:val="0"/>
        <w:spacing w:after="0" w:line="360" w:lineRule="auto"/>
        <w:ind w:left="426" w:hanging="284" w:firstLineChars="0"/>
        <w:jc w:val="both"/>
        <w:rPr>
          <w:rFonts w:ascii="宋体" w:hAnsi="宋体" w:cs="宋体"/>
          <w14:ligatures w14:val="none"/>
        </w:rPr>
      </w:pPr>
      <w:r>
        <w:rPr>
          <w:rFonts w:hint="eastAsia" w:ascii="宋体" w:hAnsi="宋体" w:cs="宋体"/>
          <w14:ligatures w14:val="none"/>
        </w:rPr>
        <w:t>投标方负责制定对招标方人员在设备安全、操作运行、职业防护、诊断维修、使用保养和试验等方面的培训计划，并有专人负责实施培训计划，负责指导招标方受培训人员正确理解设计和制造意图，认识设备的特点和特性，掌握在运行、维修和使用管理中应遵守的规则等方面的综合知识。</w:t>
      </w:r>
    </w:p>
    <w:p w14:paraId="26A200DB">
      <w:pPr>
        <w:pStyle w:val="2"/>
        <w:numPr>
          <w:ilvl w:val="0"/>
          <w:numId w:val="0"/>
        </w:numPr>
        <w:tabs>
          <w:tab w:val="left" w:pos="567"/>
        </w:tabs>
        <w:ind w:leftChars="0" w:firstLine="482" w:firstLineChars="200"/>
        <w:jc w:val="left"/>
        <w:rPr>
          <w:rFonts w:hint="eastAsia" w:ascii="宋体" w:hAnsi="宋体" w:eastAsia="宋体" w:cs="宋体"/>
          <w:b/>
          <w:bCs/>
          <w:kern w:val="2"/>
          <w:sz w:val="24"/>
          <w:szCs w:val="32"/>
          <w:lang w:val="en-US" w:eastAsia="zh-CN" w:bidi="ar-SA"/>
        </w:rPr>
      </w:pPr>
      <w:bookmarkStart w:id="51" w:name="_Toc238287417"/>
      <w:r>
        <w:rPr>
          <w:rFonts w:hint="eastAsia" w:ascii="宋体" w:hAnsi="宋体" w:eastAsia="宋体" w:cs="宋体"/>
          <w:b/>
          <w:bCs/>
          <w:kern w:val="2"/>
          <w:sz w:val="24"/>
          <w:szCs w:val="32"/>
          <w:lang w:val="en-US" w:eastAsia="zh-CN" w:bidi="ar-SA"/>
        </w:rPr>
        <w:t>三、安装调试及验收服务</w:t>
      </w:r>
      <w:bookmarkEnd w:id="51"/>
    </w:p>
    <w:p w14:paraId="7FB8F9AF">
      <w:pPr>
        <w:pStyle w:val="133"/>
        <w:numPr>
          <w:ilvl w:val="0"/>
          <w:numId w:val="45"/>
        </w:numPr>
        <w:adjustRightInd w:val="0"/>
        <w:snapToGrid w:val="0"/>
        <w:spacing w:after="0" w:line="360" w:lineRule="auto"/>
        <w:ind w:left="426" w:hanging="284" w:firstLineChars="0"/>
        <w:jc w:val="both"/>
        <w:rPr>
          <w:rFonts w:ascii="宋体" w:hAnsi="宋体" w:cs="宋体"/>
          <w14:ligatures w14:val="none"/>
        </w:rPr>
      </w:pPr>
      <w:r>
        <w:rPr>
          <w:rFonts w:hint="eastAsia" w:ascii="宋体" w:hAnsi="宋体" w:cs="宋体"/>
          <w14:ligatures w14:val="none"/>
        </w:rPr>
        <w:t>根据货物（或生产线）的要求，调试可分空载和负载两个阶段进行；招标方将予以积极配合，协助投标方达到货物（或生产线）的各项技术指标和性能要求。</w:t>
      </w:r>
    </w:p>
    <w:p w14:paraId="138EEEF1">
      <w:pPr>
        <w:pStyle w:val="133"/>
        <w:numPr>
          <w:ilvl w:val="0"/>
          <w:numId w:val="45"/>
        </w:numPr>
        <w:adjustRightInd w:val="0"/>
        <w:snapToGrid w:val="0"/>
        <w:spacing w:after="0" w:line="360" w:lineRule="auto"/>
        <w:ind w:left="426" w:hanging="284" w:firstLineChars="0"/>
        <w:jc w:val="both"/>
        <w:rPr>
          <w:rFonts w:ascii="宋体" w:hAnsi="宋体" w:cs="宋体"/>
          <w14:ligatures w14:val="none"/>
        </w:rPr>
      </w:pPr>
      <w:r>
        <w:rPr>
          <w:rFonts w:hint="eastAsia" w:ascii="宋体" w:hAnsi="宋体" w:cs="宋体"/>
          <w14:ligatures w14:val="none"/>
        </w:rPr>
        <w:t>安装调试与验收期间，若投标方提供的货物（或生产线）涉及到外购外协货物、而且该货物的技术质量等较为关键、功能实现或操作较为困难时，凡招标方提出需求的，投标方应能得到配套厂家的技术支持，并免费为招标方提供安装使用现场的指导与协调。</w:t>
      </w:r>
    </w:p>
    <w:p w14:paraId="76F35E69">
      <w:pPr>
        <w:pStyle w:val="133"/>
        <w:numPr>
          <w:ilvl w:val="0"/>
          <w:numId w:val="45"/>
        </w:numPr>
        <w:adjustRightInd w:val="0"/>
        <w:snapToGrid w:val="0"/>
        <w:spacing w:after="0" w:line="360" w:lineRule="auto"/>
        <w:ind w:left="426" w:hanging="284" w:firstLineChars="0"/>
        <w:jc w:val="both"/>
        <w:rPr>
          <w:rFonts w:ascii="宋体" w:hAnsi="宋体" w:cs="宋体"/>
          <w14:ligatures w14:val="none"/>
        </w:rPr>
      </w:pPr>
      <w:r>
        <w:rPr>
          <w:rFonts w:hint="eastAsia" w:ascii="宋体" w:hAnsi="宋体" w:cs="宋体"/>
          <w14:ligatures w14:val="none"/>
        </w:rPr>
        <w:t>投标方提供收费的或免费的、指导安装调试或负责安装调试，至少应在投标文件的报价章节中，予以明确说明。</w:t>
      </w:r>
    </w:p>
    <w:p w14:paraId="44F4C9BE">
      <w:pPr>
        <w:pStyle w:val="2"/>
        <w:numPr>
          <w:ilvl w:val="0"/>
          <w:numId w:val="0"/>
        </w:numPr>
        <w:tabs>
          <w:tab w:val="left" w:pos="567"/>
        </w:tabs>
        <w:ind w:leftChars="0" w:firstLine="482" w:firstLineChars="200"/>
        <w:jc w:val="left"/>
        <w:rPr>
          <w:rFonts w:hint="eastAsia" w:ascii="宋体" w:hAnsi="宋体" w:eastAsia="宋体" w:cs="宋体"/>
          <w:b/>
          <w:bCs/>
          <w:kern w:val="2"/>
          <w:sz w:val="24"/>
          <w:szCs w:val="32"/>
          <w:lang w:val="en-US" w:eastAsia="zh-CN" w:bidi="ar-SA"/>
        </w:rPr>
      </w:pPr>
      <w:bookmarkStart w:id="52" w:name="_Toc238287418"/>
      <w:r>
        <w:rPr>
          <w:rFonts w:hint="eastAsia" w:ascii="宋体" w:hAnsi="宋体" w:eastAsia="宋体" w:cs="宋体"/>
          <w:b/>
          <w:bCs/>
          <w:kern w:val="2"/>
          <w:sz w:val="24"/>
          <w:szCs w:val="32"/>
          <w:lang w:val="en-US" w:eastAsia="zh-CN" w:bidi="ar-SA"/>
        </w:rPr>
        <w:t>四、售后服务</w:t>
      </w:r>
      <w:bookmarkEnd w:id="52"/>
    </w:p>
    <w:p w14:paraId="3786E3CE">
      <w:pPr>
        <w:pStyle w:val="133"/>
        <w:numPr>
          <w:ilvl w:val="1"/>
          <w:numId w:val="46"/>
        </w:numPr>
        <w:adjustRightInd w:val="0"/>
        <w:snapToGrid w:val="0"/>
        <w:spacing w:after="0" w:line="360" w:lineRule="auto"/>
        <w:ind w:left="426" w:hanging="284" w:firstLineChars="0"/>
        <w:jc w:val="both"/>
        <w:rPr>
          <w:rFonts w:ascii="宋体" w:hAnsi="宋体" w:cs="宋体"/>
          <w14:ligatures w14:val="none"/>
        </w:rPr>
      </w:pPr>
      <w:r>
        <w:rPr>
          <w:rFonts w:hint="eastAsia" w:ascii="宋体" w:hAnsi="宋体" w:cs="宋体"/>
          <w14:ligatures w14:val="none"/>
        </w:rPr>
        <w:t>所有的售后服务均由投标方受理。如果发生问题并且收到报告，投标方应当</w:t>
      </w:r>
      <w:r>
        <w:rPr>
          <w:rFonts w:hint="eastAsia" w:ascii="宋体" w:hAnsi="宋体" w:cs="宋体"/>
          <w:color w:val="FF0000"/>
          <w14:ligatures w14:val="none"/>
        </w:rPr>
        <w:t>在2小</w:t>
      </w:r>
      <w:r>
        <w:rPr>
          <w:rFonts w:hint="eastAsia" w:ascii="宋体" w:hAnsi="宋体" w:cs="宋体"/>
          <w14:ligatures w14:val="none"/>
        </w:rPr>
        <w:t>时内予以答复。</w:t>
      </w:r>
    </w:p>
    <w:p w14:paraId="7CB87BCB">
      <w:pPr>
        <w:pStyle w:val="133"/>
        <w:numPr>
          <w:ilvl w:val="1"/>
          <w:numId w:val="46"/>
        </w:numPr>
        <w:adjustRightInd w:val="0"/>
        <w:snapToGrid w:val="0"/>
        <w:spacing w:after="0" w:line="360" w:lineRule="auto"/>
        <w:ind w:left="426" w:hanging="284" w:firstLineChars="0"/>
        <w:jc w:val="both"/>
        <w:rPr>
          <w:rFonts w:ascii="宋体" w:hAnsi="宋体" w:cs="宋体"/>
          <w14:ligatures w14:val="none"/>
        </w:rPr>
      </w:pPr>
      <w:r>
        <w:rPr>
          <w:rFonts w:hint="eastAsia" w:ascii="宋体" w:hAnsi="宋体" w:cs="宋体"/>
          <w14:ligatures w14:val="none"/>
        </w:rPr>
        <w:t>如发现所提供的货物（或生产线）存在问题，需要投标方解决或配合解决时：在质保期之内，应在接到通知后</w:t>
      </w:r>
      <w:r>
        <w:rPr>
          <w:rFonts w:hint="eastAsia" w:ascii="宋体" w:hAnsi="宋体" w:cs="宋体"/>
          <w:color w:val="FF0000"/>
          <w14:ligatures w14:val="none"/>
        </w:rPr>
        <w:t>24 小时内派</w:t>
      </w:r>
      <w:r>
        <w:rPr>
          <w:rFonts w:hint="eastAsia" w:ascii="宋体" w:hAnsi="宋体" w:cs="宋体"/>
          <w14:ligatures w14:val="none"/>
        </w:rPr>
        <w:t>有关人员到达现场；在质保期之外，应在接到通知</w:t>
      </w:r>
      <w:r>
        <w:rPr>
          <w:rFonts w:hint="eastAsia" w:ascii="宋体" w:hAnsi="宋体" w:cs="宋体"/>
          <w:color w:val="FF0000"/>
          <w14:ligatures w14:val="none"/>
        </w:rPr>
        <w:t>后48 小时内</w:t>
      </w:r>
      <w:r>
        <w:rPr>
          <w:rFonts w:hint="eastAsia" w:ascii="宋体" w:hAnsi="宋体" w:cs="宋体"/>
          <w14:ligatures w14:val="none"/>
        </w:rPr>
        <w:t>派有关人员到达现场。</w:t>
      </w:r>
    </w:p>
    <w:p w14:paraId="4D00A7EB">
      <w:pPr>
        <w:pStyle w:val="133"/>
        <w:numPr>
          <w:ilvl w:val="1"/>
          <w:numId w:val="46"/>
        </w:numPr>
        <w:adjustRightInd w:val="0"/>
        <w:snapToGrid w:val="0"/>
        <w:spacing w:after="0" w:line="360" w:lineRule="auto"/>
        <w:ind w:left="426" w:hanging="284" w:firstLineChars="0"/>
        <w:jc w:val="both"/>
        <w:rPr>
          <w:rFonts w:ascii="宋体" w:hAnsi="宋体" w:cs="宋体"/>
          <w14:ligatures w14:val="none"/>
        </w:rPr>
      </w:pPr>
      <w:r>
        <w:rPr>
          <w:rFonts w:hint="eastAsia" w:ascii="宋体" w:hAnsi="宋体" w:cs="宋体"/>
          <w14:ligatures w14:val="none"/>
        </w:rPr>
        <w:t>投标方派往招标方使用现场的人员，应具有较高的业务素质；现场解决问题时，不得无故拖延或推迟，应为招标方提供最佳的服务。</w:t>
      </w:r>
    </w:p>
    <w:p w14:paraId="0B16BA0D">
      <w:pPr>
        <w:pStyle w:val="133"/>
        <w:numPr>
          <w:ilvl w:val="1"/>
          <w:numId w:val="46"/>
        </w:numPr>
        <w:adjustRightInd w:val="0"/>
        <w:snapToGrid w:val="0"/>
        <w:spacing w:after="0" w:line="360" w:lineRule="auto"/>
        <w:ind w:left="426" w:hanging="284" w:firstLineChars="0"/>
        <w:jc w:val="both"/>
        <w:rPr>
          <w:rFonts w:ascii="宋体" w:hAnsi="宋体" w:cs="宋体"/>
          <w14:ligatures w14:val="none"/>
        </w:rPr>
      </w:pPr>
      <w:r>
        <w:rPr>
          <w:rFonts w:hint="eastAsia" w:ascii="宋体" w:hAnsi="宋体" w:cs="宋体"/>
          <w14:ligatures w14:val="none"/>
        </w:rPr>
        <w:t>设备（或生产线）在使用周期内，投标方免费派遣技术人员与招标方调试团队共同进行设备通讯接口的调试工作。</w:t>
      </w:r>
    </w:p>
    <w:p w14:paraId="04BD4F66">
      <w:pPr>
        <w:pStyle w:val="2"/>
        <w:numPr>
          <w:ilvl w:val="0"/>
          <w:numId w:val="0"/>
        </w:numPr>
        <w:tabs>
          <w:tab w:val="left" w:pos="567"/>
        </w:tabs>
        <w:ind w:leftChars="0" w:firstLine="482" w:firstLineChars="200"/>
        <w:jc w:val="left"/>
        <w:rPr>
          <w:rFonts w:hint="eastAsia" w:ascii="宋体" w:hAnsi="宋体" w:eastAsia="宋体" w:cs="宋体"/>
          <w:b/>
          <w:bCs/>
          <w:kern w:val="2"/>
          <w:sz w:val="24"/>
          <w:szCs w:val="32"/>
          <w:lang w:val="en-US" w:eastAsia="zh-CN" w:bidi="ar-SA"/>
        </w:rPr>
      </w:pPr>
      <w:bookmarkStart w:id="53" w:name="_Toc238287419"/>
      <w:r>
        <w:rPr>
          <w:rFonts w:hint="eastAsia" w:ascii="宋体" w:hAnsi="宋体" w:eastAsia="宋体" w:cs="宋体"/>
          <w:b/>
          <w:bCs/>
          <w:kern w:val="2"/>
          <w:sz w:val="24"/>
          <w:szCs w:val="32"/>
          <w:lang w:val="en-US" w:eastAsia="zh-CN" w:bidi="ar-SA"/>
        </w:rPr>
        <w:t>五、其它服务</w:t>
      </w:r>
      <w:bookmarkEnd w:id="53"/>
    </w:p>
    <w:p w14:paraId="1A373277">
      <w:pPr>
        <w:pStyle w:val="133"/>
        <w:numPr>
          <w:ilvl w:val="0"/>
          <w:numId w:val="47"/>
        </w:numPr>
        <w:adjustRightInd w:val="0"/>
        <w:snapToGrid w:val="0"/>
        <w:spacing w:after="0" w:line="360" w:lineRule="auto"/>
        <w:ind w:left="426" w:hanging="284" w:firstLineChars="0"/>
        <w:jc w:val="both"/>
        <w:rPr>
          <w:rFonts w:ascii="宋体" w:hAnsi="宋体" w:cs="宋体"/>
          <w14:ligatures w14:val="none"/>
        </w:rPr>
      </w:pPr>
      <w:r>
        <w:rPr>
          <w:rFonts w:hint="eastAsia" w:ascii="宋体" w:hAnsi="宋体" w:cs="宋体"/>
          <w14:ligatures w14:val="none"/>
        </w:rPr>
        <w:t>若卖方所提供货物有需要进口的，卖方一般应自行、自费办理。</w:t>
      </w:r>
    </w:p>
    <w:p w14:paraId="760AC10C">
      <w:pPr>
        <w:pStyle w:val="133"/>
        <w:numPr>
          <w:ilvl w:val="0"/>
          <w:numId w:val="47"/>
        </w:numPr>
        <w:adjustRightInd w:val="0"/>
        <w:snapToGrid w:val="0"/>
        <w:spacing w:after="0" w:line="360" w:lineRule="auto"/>
        <w:ind w:left="426" w:hanging="284" w:firstLineChars="0"/>
        <w:jc w:val="both"/>
        <w:rPr>
          <w:rFonts w:ascii="宋体" w:hAnsi="宋体" w:cs="宋体"/>
          <w14:ligatures w14:val="none"/>
        </w:rPr>
      </w:pPr>
      <w:r>
        <w:rPr>
          <w:rFonts w:hint="eastAsia" w:ascii="宋体" w:hAnsi="宋体" w:cs="宋体"/>
          <w14:ligatures w14:val="none"/>
        </w:rPr>
        <w:t>除招标文件、投标文件、答疑文件、技术标书、合同等约定之外，卖方应免费负责必要的或强制性的货物的检验、试验、化验等直接费用。</w:t>
      </w:r>
    </w:p>
    <w:p w14:paraId="46765D28">
      <w:pPr>
        <w:pStyle w:val="133"/>
        <w:numPr>
          <w:ilvl w:val="0"/>
          <w:numId w:val="47"/>
        </w:numPr>
        <w:adjustRightInd w:val="0"/>
        <w:snapToGrid w:val="0"/>
        <w:spacing w:after="0" w:line="360" w:lineRule="auto"/>
        <w:ind w:left="426" w:hanging="284" w:firstLineChars="0"/>
        <w:jc w:val="both"/>
        <w:rPr>
          <w:rFonts w:ascii="宋体" w:hAnsi="宋体" w:cs="宋体"/>
          <w14:ligatures w14:val="none"/>
        </w:rPr>
      </w:pPr>
      <w:r>
        <w:rPr>
          <w:rFonts w:hint="eastAsia" w:ascii="宋体" w:hAnsi="宋体" w:cs="宋体"/>
          <w14:ligatures w14:val="none"/>
        </w:rPr>
        <w:t>本章节条款所列“免费”，并非指定不可收费，而是指招标文件、投标文件、答疑文件、技术交流文件、技术标书和合同等范围之外，投标人不可另行收取的费用。</w:t>
      </w:r>
    </w:p>
    <w:p w14:paraId="5D73F434">
      <w:pPr>
        <w:spacing w:after="0" w:line="360" w:lineRule="auto"/>
        <w:jc w:val="both"/>
        <w:rPr>
          <w:rFonts w:ascii="宋体" w:hAnsi="宋体" w:cs="宋体"/>
          <w:kern w:val="0"/>
          <w14:ligatures w14:val="none"/>
        </w:rPr>
      </w:pPr>
    </w:p>
    <w:p w14:paraId="3FDB82B0">
      <w:pPr>
        <w:keepNext/>
        <w:keepLines/>
        <w:numPr>
          <w:ilvl w:val="0"/>
          <w:numId w:val="48"/>
        </w:numPr>
        <w:spacing w:line="440" w:lineRule="exact"/>
        <w:ind w:firstLine="723" w:firstLineChars="200"/>
        <w:jc w:val="center"/>
        <w:outlineLvl w:val="0"/>
        <w:rPr>
          <w:rFonts w:hint="eastAsia" w:ascii="Times New Roman" w:hAnsi="Times New Roman" w:eastAsia="宋体"/>
          <w:b/>
          <w:bCs/>
          <w:kern w:val="44"/>
          <w:sz w:val="36"/>
          <w:szCs w:val="44"/>
          <w:lang w:val="en-US" w:eastAsia="zh-CN"/>
        </w:rPr>
      </w:pPr>
      <w:bookmarkStart w:id="54" w:name="_Toc465187646"/>
      <w:bookmarkStart w:id="55" w:name="_Toc238287420"/>
      <w:r>
        <w:rPr>
          <w:rFonts w:hint="eastAsia" w:ascii="Times New Roman" w:hAnsi="Times New Roman" w:eastAsia="宋体"/>
          <w:b/>
          <w:bCs/>
          <w:kern w:val="44"/>
          <w:sz w:val="36"/>
          <w:szCs w:val="44"/>
          <w:lang w:val="en-US" w:eastAsia="zh-CN"/>
        </w:rPr>
        <w:t xml:space="preserve"> 设备验收</w:t>
      </w:r>
      <w:bookmarkEnd w:id="54"/>
      <w:bookmarkEnd w:id="55"/>
    </w:p>
    <w:p w14:paraId="7076876C">
      <w:pPr>
        <w:spacing w:line="440" w:lineRule="exact"/>
        <w:ind w:firstLine="482" w:firstLineChars="200"/>
        <w:outlineLvl w:val="0"/>
        <w:rPr>
          <w:rFonts w:ascii="宋体" w:hAnsi="宋体" w:eastAsia="宋体" w:cs="宋体"/>
          <w:b/>
          <w:sz w:val="24"/>
          <w:szCs w:val="24"/>
        </w:rPr>
      </w:pPr>
      <w:bookmarkStart w:id="56" w:name="_Toc240120881"/>
      <w:bookmarkStart w:id="57" w:name="_Toc240095878"/>
      <w:r>
        <w:rPr>
          <w:rFonts w:hint="eastAsia" w:ascii="宋体" w:hAnsi="宋体" w:eastAsia="宋体" w:cs="宋体"/>
          <w:b/>
          <w:sz w:val="24"/>
          <w:szCs w:val="24"/>
        </w:rPr>
        <w:t>一、验收依据和验收标准</w:t>
      </w:r>
      <w:bookmarkEnd w:id="56"/>
      <w:bookmarkEnd w:id="57"/>
    </w:p>
    <w:p w14:paraId="0E363C03">
      <w:pPr>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1.1、验收标准一般以技术协议书和合同规定验收。无论技术协议书和合同，是否全部并准确列明验收所涉及的相关标准，均作为验收标准之一。</w:t>
      </w:r>
    </w:p>
    <w:p w14:paraId="51A909A5">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1.2、如果验收过程中，发现招标文件、投标文件、答疑文件、技术交流文件等与技术协议书、合同存在差异，原则上以涉及条款中对招标方最有利条款为验收依据。</w:t>
      </w:r>
    </w:p>
    <w:p w14:paraId="5CE3CE84">
      <w:pPr>
        <w:spacing w:line="440" w:lineRule="exact"/>
        <w:ind w:firstLine="482" w:firstLineChars="200"/>
        <w:outlineLvl w:val="0"/>
        <w:rPr>
          <w:rFonts w:ascii="宋体" w:hAnsi="宋体" w:eastAsia="宋体" w:cs="宋体"/>
          <w:b/>
          <w:sz w:val="24"/>
          <w:szCs w:val="24"/>
        </w:rPr>
      </w:pPr>
      <w:bookmarkStart w:id="58" w:name="_Toc240120882"/>
      <w:bookmarkStart w:id="59" w:name="_Toc240095879"/>
      <w:r>
        <w:rPr>
          <w:rFonts w:hint="eastAsia" w:ascii="宋体" w:hAnsi="宋体" w:eastAsia="宋体" w:cs="宋体"/>
          <w:b/>
          <w:sz w:val="24"/>
          <w:szCs w:val="24"/>
        </w:rPr>
        <w:t>二、检验</w:t>
      </w:r>
      <w:bookmarkEnd w:id="58"/>
      <w:bookmarkEnd w:id="59"/>
    </w:p>
    <w:p w14:paraId="2A76740C">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如果采购货物涉及必要的或必需的检验，投标方应当在投标文件中明确可能涉及的检验费用，并将该费用包含在投标总报价之内；不作针对性澄清或说明的，视同包含在投标总价之内。基本约定如下：</w:t>
      </w:r>
    </w:p>
    <w:p w14:paraId="1D4EBEE3">
      <w:pPr>
        <w:pStyle w:val="133"/>
        <w:numPr>
          <w:ilvl w:val="1"/>
          <w:numId w:val="49"/>
        </w:numPr>
        <w:adjustRightInd w:val="0"/>
        <w:snapToGrid w:val="0"/>
        <w:spacing w:line="440" w:lineRule="exact"/>
        <w:ind w:firstLineChars="0"/>
        <w:rPr>
          <w:rFonts w:ascii="宋体" w:hAnsi="宋体" w:eastAsia="宋体" w:cs="宋体"/>
          <w:sz w:val="24"/>
          <w:szCs w:val="24"/>
        </w:rPr>
      </w:pPr>
      <w:r>
        <w:rPr>
          <w:rFonts w:hint="eastAsia" w:ascii="宋体" w:hAnsi="宋体" w:eastAsia="宋体" w:cs="宋体"/>
          <w:sz w:val="24"/>
          <w:szCs w:val="24"/>
        </w:rPr>
        <w:t>国产货物（或生产线）的检验一般由买卖双方共同进行或按照合同要求进行。</w:t>
      </w:r>
    </w:p>
    <w:p w14:paraId="70FDCBBA">
      <w:pPr>
        <w:pStyle w:val="133"/>
        <w:numPr>
          <w:ilvl w:val="1"/>
          <w:numId w:val="49"/>
        </w:numPr>
        <w:adjustRightInd w:val="0"/>
        <w:snapToGrid w:val="0"/>
        <w:spacing w:line="440" w:lineRule="exact"/>
        <w:ind w:firstLineChars="0"/>
        <w:rPr>
          <w:rFonts w:ascii="宋体" w:hAnsi="宋体" w:eastAsia="宋体" w:cs="宋体"/>
          <w:sz w:val="24"/>
          <w:szCs w:val="24"/>
        </w:rPr>
      </w:pPr>
      <w:r>
        <w:rPr>
          <w:rFonts w:hint="eastAsia" w:ascii="宋体" w:hAnsi="宋体" w:eastAsia="宋体" w:cs="宋体"/>
          <w:sz w:val="24"/>
          <w:szCs w:val="24"/>
        </w:rPr>
        <w:t>进口货物（或生产线）的检验，投标方需要按照下述要求进行：</w:t>
      </w:r>
    </w:p>
    <w:p w14:paraId="537D806D">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2.2.1进口货物（或生产线）发货前，应对货物（或生产线）的质量、型号、规格、性能和数量/重量作精密、全面的检验，并出具证明书，证明所供货物（或生产线）符合合同规定。</w:t>
      </w:r>
    </w:p>
    <w:p w14:paraId="10B4B822">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2.2.2应依据合同规定的要求，提供买卖双方达成一致的货物（或生产线）的验收标准和装箱单，作为招标方检验的依据。</w:t>
      </w:r>
    </w:p>
    <w:p w14:paraId="00089E5D">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2.2.3进口货物（或生产线）到达目的地后，招标方有权申请中国商品检验检疫局进行检验，如发现货物（或生产线）的品质及规格与合同或发票不符，除招标方的责任外，招标方有权在货物（或生产线）到达卸货目的地后180个日历日内，根据中国商品检验检疫局出具的证明书向投标方提出索赔，因索赔所发生的一切费用(包括检验检疫费等)均由投标方承担。</w:t>
      </w:r>
    </w:p>
    <w:p w14:paraId="65AFF720">
      <w:pPr>
        <w:spacing w:line="440" w:lineRule="exact"/>
        <w:ind w:firstLine="482" w:firstLineChars="200"/>
        <w:outlineLvl w:val="0"/>
        <w:rPr>
          <w:rFonts w:ascii="宋体" w:hAnsi="宋体" w:eastAsia="宋体" w:cs="宋体"/>
          <w:b/>
          <w:sz w:val="24"/>
          <w:szCs w:val="24"/>
        </w:rPr>
      </w:pPr>
      <w:bookmarkStart w:id="60" w:name="_Toc240095880"/>
      <w:bookmarkStart w:id="61" w:name="_Toc240120883"/>
      <w:r>
        <w:rPr>
          <w:rFonts w:hint="eastAsia" w:ascii="宋体" w:hAnsi="宋体" w:eastAsia="宋体" w:cs="宋体"/>
          <w:b/>
          <w:sz w:val="24"/>
          <w:szCs w:val="24"/>
        </w:rPr>
        <w:t>三、验收基本条件</w:t>
      </w:r>
      <w:bookmarkEnd w:id="60"/>
      <w:bookmarkEnd w:id="61"/>
    </w:p>
    <w:p w14:paraId="2AA88050">
      <w:pPr>
        <w:adjustRightInd w:val="0"/>
        <w:snapToGrid w:val="0"/>
        <w:spacing w:line="440" w:lineRule="exact"/>
        <w:ind w:firstLine="480" w:firstLineChars="200"/>
        <w:rPr>
          <w:rFonts w:ascii="宋体" w:hAnsi="宋体" w:eastAsia="宋体" w:cs="宋体"/>
          <w:sz w:val="24"/>
          <w:szCs w:val="32"/>
        </w:rPr>
      </w:pPr>
      <w:r>
        <w:rPr>
          <w:rFonts w:hint="eastAsia" w:ascii="宋体" w:hAnsi="宋体" w:eastAsia="宋体" w:cs="宋体"/>
          <w:sz w:val="24"/>
          <w:szCs w:val="32"/>
        </w:rPr>
        <w:t>验收一般分预验收和终验收两部分。预验收一般在投标方现场进行，终验收在安装调试完成及试运行后的招标方现场进行。但是所有的项目，包括不能预验收的项目和预验收通过的项目都在终验收时重新检验，最终只以终验收为准。</w:t>
      </w:r>
    </w:p>
    <w:p w14:paraId="1D4F3D94">
      <w:pPr>
        <w:adjustRightInd w:val="0"/>
        <w:snapToGrid w:val="0"/>
        <w:spacing w:line="440" w:lineRule="exact"/>
        <w:ind w:firstLine="480" w:firstLineChars="200"/>
        <w:rPr>
          <w:rFonts w:ascii="宋体" w:hAnsi="宋体" w:eastAsia="宋体" w:cs="宋体"/>
          <w:sz w:val="24"/>
          <w:szCs w:val="32"/>
        </w:rPr>
      </w:pPr>
      <w:r>
        <w:rPr>
          <w:rFonts w:hint="eastAsia" w:ascii="宋体" w:hAnsi="宋体" w:eastAsia="宋体" w:cs="宋体"/>
          <w:sz w:val="24"/>
          <w:szCs w:val="32"/>
        </w:rPr>
        <w:t>买卖双方按照合同约定执行了合同，同时货物（或生产线）完成了试运行并经检验合格，则具备验收条件。</w:t>
      </w:r>
    </w:p>
    <w:p w14:paraId="03FA194E">
      <w:pPr>
        <w:adjustRightInd w:val="0"/>
        <w:snapToGrid w:val="0"/>
        <w:spacing w:line="440" w:lineRule="exact"/>
        <w:ind w:firstLine="482" w:firstLineChars="200"/>
        <w:rPr>
          <w:rFonts w:ascii="宋体" w:hAnsi="宋体" w:eastAsia="宋体" w:cs="宋体"/>
          <w:b/>
          <w:bCs/>
          <w:color w:val="FF0000"/>
          <w:sz w:val="24"/>
          <w:szCs w:val="32"/>
        </w:rPr>
      </w:pPr>
      <w:r>
        <w:rPr>
          <w:rFonts w:hint="eastAsia" w:ascii="宋体" w:hAnsi="宋体" w:eastAsia="宋体" w:cs="宋体"/>
          <w:b/>
          <w:bCs/>
          <w:color w:val="FF0000"/>
          <w:sz w:val="24"/>
          <w:szCs w:val="32"/>
        </w:rPr>
        <w:t>本项目仅执行终验收。</w:t>
      </w:r>
    </w:p>
    <w:p w14:paraId="2CA98434">
      <w:pPr>
        <w:adjustRightInd w:val="0"/>
        <w:snapToGrid w:val="0"/>
        <w:spacing w:line="440" w:lineRule="exact"/>
        <w:ind w:firstLine="482" w:firstLineChars="200"/>
        <w:outlineLvl w:val="1"/>
        <w:rPr>
          <w:rFonts w:ascii="宋体" w:hAnsi="宋体" w:eastAsia="宋体" w:cs="宋体"/>
          <w:b/>
          <w:bCs/>
          <w:sz w:val="24"/>
          <w:szCs w:val="32"/>
        </w:rPr>
      </w:pPr>
      <w:bookmarkStart w:id="62" w:name="_Toc240095881"/>
      <w:r>
        <w:rPr>
          <w:rFonts w:hint="eastAsia" w:ascii="宋体" w:hAnsi="宋体" w:eastAsia="宋体" w:cs="宋体"/>
          <w:b/>
          <w:bCs/>
          <w:sz w:val="24"/>
          <w:szCs w:val="32"/>
        </w:rPr>
        <w:t>3.1、预验收一般条件</w:t>
      </w:r>
      <w:bookmarkEnd w:id="62"/>
    </w:p>
    <w:p w14:paraId="7E418193">
      <w:pPr>
        <w:adjustRightInd w:val="0"/>
        <w:snapToGrid w:val="0"/>
        <w:spacing w:line="440" w:lineRule="exact"/>
        <w:ind w:firstLine="480" w:firstLineChars="200"/>
        <w:rPr>
          <w:rFonts w:ascii="宋体" w:hAnsi="宋体" w:eastAsia="宋体" w:cs="宋体"/>
          <w:sz w:val="24"/>
          <w:szCs w:val="32"/>
        </w:rPr>
      </w:pPr>
      <w:r>
        <w:rPr>
          <w:rFonts w:hint="eastAsia" w:ascii="宋体" w:hAnsi="宋体" w:eastAsia="宋体" w:cs="宋体"/>
          <w:sz w:val="24"/>
          <w:szCs w:val="32"/>
        </w:rPr>
        <w:t>3.1.1投标方已经按照“供货范围”要求提供了预验收资料，并且资料齐全、完整和有效。</w:t>
      </w:r>
    </w:p>
    <w:p w14:paraId="3214D791">
      <w:pPr>
        <w:adjustRightInd w:val="0"/>
        <w:snapToGrid w:val="0"/>
        <w:spacing w:line="440" w:lineRule="exact"/>
        <w:ind w:firstLine="480" w:firstLineChars="200"/>
        <w:rPr>
          <w:rFonts w:ascii="宋体" w:hAnsi="宋体" w:eastAsia="宋体" w:cs="宋体"/>
          <w:sz w:val="24"/>
          <w:szCs w:val="32"/>
        </w:rPr>
      </w:pPr>
      <w:r>
        <w:rPr>
          <w:rFonts w:hint="eastAsia" w:ascii="宋体" w:hAnsi="宋体" w:eastAsia="宋体" w:cs="宋体"/>
          <w:sz w:val="24"/>
          <w:szCs w:val="32"/>
        </w:rPr>
        <w:t>3.1.2货物（或生产线）应运行稳定、可靠、安全，无非正常变形，非正常振动，无异常声音；无漏水、漏液、漏气（汽）、漏电等现象。运动的零部件（如链条、联轴器、离合器、主轴、工作台等）动作平稳、灵活运动准确。</w:t>
      </w:r>
    </w:p>
    <w:p w14:paraId="649EB68E">
      <w:pPr>
        <w:adjustRightInd w:val="0"/>
        <w:snapToGrid w:val="0"/>
        <w:spacing w:line="440" w:lineRule="exact"/>
        <w:ind w:firstLine="480" w:firstLineChars="200"/>
        <w:rPr>
          <w:rFonts w:ascii="宋体" w:hAnsi="宋体" w:eastAsia="宋体" w:cs="宋体"/>
          <w:sz w:val="24"/>
          <w:szCs w:val="32"/>
        </w:rPr>
      </w:pPr>
      <w:r>
        <w:rPr>
          <w:rFonts w:hint="eastAsia" w:ascii="宋体" w:hAnsi="宋体" w:eastAsia="宋体" w:cs="宋体"/>
          <w:sz w:val="24"/>
          <w:szCs w:val="32"/>
        </w:rPr>
        <w:t>3.1.3货物（或生产线）应完整且所有的零部件应该安装牢固，外观无损伤，所有的焊缝饱满、无残渣等缺陷。</w:t>
      </w:r>
    </w:p>
    <w:p w14:paraId="37CE6078">
      <w:pPr>
        <w:adjustRightInd w:val="0"/>
        <w:snapToGrid w:val="0"/>
        <w:spacing w:line="440" w:lineRule="exact"/>
        <w:ind w:firstLine="480" w:firstLineChars="200"/>
        <w:rPr>
          <w:rFonts w:ascii="宋体" w:hAnsi="宋体" w:eastAsia="宋体" w:cs="宋体"/>
          <w:sz w:val="24"/>
          <w:szCs w:val="32"/>
        </w:rPr>
      </w:pPr>
      <w:r>
        <w:rPr>
          <w:rFonts w:hint="eastAsia" w:ascii="宋体" w:hAnsi="宋体" w:eastAsia="宋体" w:cs="宋体"/>
          <w:sz w:val="24"/>
          <w:szCs w:val="32"/>
        </w:rPr>
        <w:t>3.1.4一般情况下，所有的管路和线缆等，接头应完全正确、可靠地联接；应排列有序（正确、牢固、整齐），有必要的防护，无皱褶、收缩和裂缝等不良现象。</w:t>
      </w:r>
    </w:p>
    <w:p w14:paraId="0357B13E">
      <w:pPr>
        <w:adjustRightInd w:val="0"/>
        <w:snapToGrid w:val="0"/>
        <w:spacing w:line="440" w:lineRule="exact"/>
        <w:ind w:firstLine="480" w:firstLineChars="200"/>
        <w:rPr>
          <w:rFonts w:ascii="宋体" w:hAnsi="宋体" w:eastAsia="宋体" w:cs="宋体"/>
          <w:sz w:val="24"/>
          <w:szCs w:val="32"/>
        </w:rPr>
      </w:pPr>
      <w:r>
        <w:rPr>
          <w:rFonts w:hint="eastAsia" w:ascii="宋体" w:hAnsi="宋体" w:eastAsia="宋体" w:cs="宋体"/>
          <w:sz w:val="24"/>
          <w:szCs w:val="32"/>
        </w:rPr>
        <w:t>3.1.5货物（或生产线）的润滑系统工作正常、可靠，润滑点易于到达。</w:t>
      </w:r>
    </w:p>
    <w:p w14:paraId="56373C3D">
      <w:pPr>
        <w:adjustRightInd w:val="0"/>
        <w:snapToGrid w:val="0"/>
        <w:spacing w:line="440" w:lineRule="exact"/>
        <w:ind w:firstLine="480" w:firstLineChars="200"/>
        <w:rPr>
          <w:rFonts w:ascii="宋体" w:hAnsi="宋体" w:eastAsia="宋体" w:cs="宋体"/>
          <w:sz w:val="24"/>
          <w:szCs w:val="32"/>
        </w:rPr>
      </w:pPr>
      <w:r>
        <w:rPr>
          <w:rFonts w:hint="eastAsia" w:ascii="宋体" w:hAnsi="宋体" w:eastAsia="宋体" w:cs="宋体"/>
          <w:sz w:val="24"/>
          <w:szCs w:val="32"/>
        </w:rPr>
        <w:t>3.1.6使用的压力容器、电气等应具备合格证（如果有压力容器）。</w:t>
      </w:r>
    </w:p>
    <w:p w14:paraId="200ECA27">
      <w:pPr>
        <w:adjustRightInd w:val="0"/>
        <w:snapToGrid w:val="0"/>
        <w:spacing w:line="440" w:lineRule="exact"/>
        <w:ind w:firstLine="480" w:firstLineChars="200"/>
        <w:rPr>
          <w:rFonts w:ascii="宋体" w:hAnsi="宋体" w:eastAsia="宋体" w:cs="宋体"/>
          <w:sz w:val="24"/>
          <w:szCs w:val="32"/>
        </w:rPr>
      </w:pPr>
      <w:r>
        <w:rPr>
          <w:rFonts w:hint="eastAsia" w:ascii="宋体" w:hAnsi="宋体" w:eastAsia="宋体" w:cs="宋体"/>
          <w:sz w:val="24"/>
          <w:szCs w:val="32"/>
        </w:rPr>
        <w:t>3.1.7货物（或生产线）的油漆质量应饱满、有光泽，无掉漆、无色差、无“桔皮”等不良现象（特殊标志除外）。</w:t>
      </w:r>
    </w:p>
    <w:p w14:paraId="726DF369">
      <w:pPr>
        <w:adjustRightInd w:val="0"/>
        <w:snapToGrid w:val="0"/>
        <w:spacing w:line="440" w:lineRule="exact"/>
        <w:ind w:firstLine="480" w:firstLineChars="200"/>
        <w:rPr>
          <w:rFonts w:ascii="宋体" w:hAnsi="宋体" w:eastAsia="宋体" w:cs="宋体"/>
          <w:sz w:val="24"/>
          <w:szCs w:val="32"/>
        </w:rPr>
      </w:pPr>
      <w:r>
        <w:rPr>
          <w:rFonts w:hint="eastAsia" w:ascii="宋体" w:hAnsi="宋体" w:eastAsia="宋体" w:cs="宋体"/>
          <w:sz w:val="24"/>
          <w:szCs w:val="32"/>
        </w:rPr>
        <w:t>3.1.8货物（或生产线）标牌完整、清晰、明确。</w:t>
      </w:r>
    </w:p>
    <w:p w14:paraId="7F1FFAA7">
      <w:pPr>
        <w:adjustRightInd w:val="0"/>
        <w:snapToGrid w:val="0"/>
        <w:spacing w:line="440" w:lineRule="exact"/>
        <w:ind w:firstLine="480" w:firstLineChars="200"/>
        <w:rPr>
          <w:rFonts w:ascii="宋体" w:hAnsi="宋体" w:eastAsia="宋体" w:cs="宋体"/>
          <w:sz w:val="24"/>
          <w:szCs w:val="32"/>
        </w:rPr>
      </w:pPr>
      <w:r>
        <w:rPr>
          <w:rFonts w:hint="eastAsia" w:ascii="宋体" w:hAnsi="宋体" w:eastAsia="宋体" w:cs="宋体"/>
          <w:sz w:val="24"/>
          <w:szCs w:val="32"/>
        </w:rPr>
        <w:t>3.1.9地线联接和地极符合国际（ISO/IEC）标准规范。</w:t>
      </w:r>
    </w:p>
    <w:p w14:paraId="08DFCE16">
      <w:pPr>
        <w:adjustRightInd w:val="0"/>
        <w:snapToGrid w:val="0"/>
        <w:spacing w:line="440" w:lineRule="exact"/>
        <w:ind w:firstLine="480" w:firstLineChars="200"/>
        <w:rPr>
          <w:rFonts w:ascii="宋体" w:hAnsi="宋体" w:eastAsia="宋体" w:cs="宋体"/>
          <w:sz w:val="24"/>
          <w:szCs w:val="32"/>
        </w:rPr>
      </w:pPr>
      <w:r>
        <w:rPr>
          <w:rFonts w:hint="eastAsia" w:ascii="宋体" w:hAnsi="宋体" w:eastAsia="宋体" w:cs="宋体"/>
          <w:sz w:val="24"/>
          <w:szCs w:val="32"/>
        </w:rPr>
        <w:t>3.1.10货物（或生产线）的安全要求符合中国最新的相关法律、法规、标准和规范以及合同要求。</w:t>
      </w:r>
    </w:p>
    <w:p w14:paraId="0CF1C763">
      <w:pPr>
        <w:adjustRightInd w:val="0"/>
        <w:snapToGrid w:val="0"/>
        <w:spacing w:line="440" w:lineRule="exact"/>
        <w:ind w:firstLine="482" w:firstLineChars="200"/>
        <w:outlineLvl w:val="1"/>
        <w:rPr>
          <w:rFonts w:ascii="宋体" w:hAnsi="宋体" w:eastAsia="宋体" w:cs="宋体"/>
          <w:b/>
          <w:bCs/>
          <w:sz w:val="24"/>
          <w:szCs w:val="32"/>
        </w:rPr>
      </w:pPr>
      <w:bookmarkStart w:id="63" w:name="_Toc240095882"/>
      <w:r>
        <w:rPr>
          <w:rFonts w:hint="eastAsia" w:ascii="宋体" w:hAnsi="宋体" w:eastAsia="宋体" w:cs="宋体"/>
          <w:b/>
          <w:bCs/>
          <w:sz w:val="24"/>
          <w:szCs w:val="32"/>
        </w:rPr>
        <w:t>3.2、终验收一般条件</w:t>
      </w:r>
      <w:bookmarkEnd w:id="63"/>
    </w:p>
    <w:p w14:paraId="327AC694">
      <w:pPr>
        <w:adjustRightInd w:val="0"/>
        <w:snapToGrid w:val="0"/>
        <w:spacing w:line="440" w:lineRule="exact"/>
        <w:ind w:firstLine="480" w:firstLineChars="200"/>
        <w:rPr>
          <w:rFonts w:ascii="宋体" w:hAnsi="宋体" w:eastAsia="宋体" w:cs="宋体"/>
          <w:sz w:val="24"/>
          <w:szCs w:val="32"/>
        </w:rPr>
      </w:pPr>
      <w:r>
        <w:rPr>
          <w:rFonts w:hint="eastAsia" w:ascii="宋体" w:hAnsi="宋体" w:eastAsia="宋体" w:cs="宋体"/>
          <w:sz w:val="24"/>
          <w:szCs w:val="32"/>
        </w:rPr>
        <w:t>3.2.1经过预验收而且没有出现新的质量问题，或者满足预验收条款。</w:t>
      </w:r>
    </w:p>
    <w:p w14:paraId="2B20FCA6">
      <w:pPr>
        <w:adjustRightInd w:val="0"/>
        <w:snapToGrid w:val="0"/>
        <w:spacing w:line="440" w:lineRule="exact"/>
        <w:ind w:firstLine="480" w:firstLineChars="200"/>
        <w:rPr>
          <w:rFonts w:ascii="宋体" w:hAnsi="宋体" w:eastAsia="宋体" w:cs="宋体"/>
          <w:sz w:val="24"/>
          <w:szCs w:val="32"/>
        </w:rPr>
      </w:pPr>
      <w:r>
        <w:rPr>
          <w:rFonts w:hint="eastAsia" w:ascii="宋体" w:hAnsi="宋体" w:eastAsia="宋体" w:cs="宋体"/>
          <w:sz w:val="24"/>
          <w:szCs w:val="32"/>
        </w:rPr>
        <w:t>3.2.2货物（或生产线）安装调试完毕，并至少经过了验收要求的负荷试运行。</w:t>
      </w:r>
    </w:p>
    <w:p w14:paraId="2B8940D3">
      <w:pPr>
        <w:adjustRightInd w:val="0"/>
        <w:snapToGrid w:val="0"/>
        <w:spacing w:line="440" w:lineRule="exact"/>
        <w:ind w:firstLine="480" w:firstLineChars="200"/>
        <w:rPr>
          <w:rFonts w:ascii="宋体" w:hAnsi="宋体" w:eastAsia="宋体" w:cs="宋体"/>
          <w:sz w:val="24"/>
          <w:szCs w:val="32"/>
        </w:rPr>
      </w:pPr>
      <w:r>
        <w:rPr>
          <w:rFonts w:hint="eastAsia" w:ascii="宋体" w:hAnsi="宋体" w:eastAsia="宋体" w:cs="宋体"/>
          <w:sz w:val="24"/>
          <w:szCs w:val="32"/>
        </w:rPr>
        <w:t>3.2.3货物（或生产线）正常运行时，噪声等环境影响因素满足国家和当地环保主管部门规定，安全措施落实、有效。</w:t>
      </w:r>
    </w:p>
    <w:p w14:paraId="4B88B44C">
      <w:pPr>
        <w:adjustRightInd w:val="0"/>
        <w:snapToGrid w:val="0"/>
        <w:spacing w:line="440" w:lineRule="exact"/>
        <w:ind w:firstLine="480" w:firstLineChars="200"/>
        <w:rPr>
          <w:rFonts w:ascii="宋体" w:hAnsi="宋体" w:eastAsia="宋体" w:cs="宋体"/>
          <w:color w:val="FF0000"/>
          <w:sz w:val="24"/>
          <w:szCs w:val="32"/>
        </w:rPr>
      </w:pPr>
      <w:r>
        <w:rPr>
          <w:rFonts w:hint="eastAsia" w:ascii="宋体" w:hAnsi="宋体" w:eastAsia="宋体" w:cs="宋体"/>
          <w:color w:val="FF0000"/>
          <w:sz w:val="24"/>
          <w:szCs w:val="32"/>
        </w:rPr>
        <w:t>投标方需提供由第三方检测机构出具的检测报告</w:t>
      </w:r>
      <w:r>
        <w:rPr>
          <w:rFonts w:ascii="宋体" w:hAnsi="宋体" w:eastAsia="宋体" w:cs="宋体"/>
          <w:color w:val="FF0000"/>
          <w:sz w:val="24"/>
          <w:szCs w:val="32"/>
        </w:rPr>
        <w:t xml:space="preserve"> ，检测事宜及费用由投标方负责，招标方负责相关配合协调工作。</w:t>
      </w:r>
    </w:p>
    <w:p w14:paraId="567992B0">
      <w:pPr>
        <w:adjustRightInd w:val="0"/>
        <w:snapToGrid w:val="0"/>
        <w:spacing w:line="440" w:lineRule="exact"/>
        <w:ind w:firstLine="480" w:firstLineChars="200"/>
        <w:rPr>
          <w:rFonts w:ascii="宋体" w:hAnsi="宋体" w:eastAsia="宋体" w:cs="宋体"/>
          <w:sz w:val="24"/>
          <w:szCs w:val="32"/>
        </w:rPr>
      </w:pPr>
      <w:r>
        <w:rPr>
          <w:rFonts w:hint="eastAsia" w:ascii="宋体" w:hAnsi="宋体" w:eastAsia="宋体" w:cs="宋体"/>
          <w:sz w:val="24"/>
          <w:szCs w:val="32"/>
        </w:rPr>
        <w:t>3.2.4计量仪器、仪表配套合理，采用中国的法定计量单位，计量准确、灵敏可靠。保证设计指标和仪器说明书的参数的实现。</w:t>
      </w:r>
    </w:p>
    <w:p w14:paraId="10FD43EE">
      <w:pPr>
        <w:adjustRightInd w:val="0"/>
        <w:snapToGrid w:val="0"/>
        <w:spacing w:line="440" w:lineRule="exact"/>
        <w:ind w:firstLine="480" w:firstLineChars="200"/>
        <w:rPr>
          <w:rFonts w:ascii="宋体" w:hAnsi="宋体" w:eastAsia="宋体" w:cs="宋体"/>
          <w:color w:val="FF0000"/>
          <w:sz w:val="24"/>
          <w:szCs w:val="32"/>
        </w:rPr>
      </w:pPr>
      <w:r>
        <w:rPr>
          <w:rFonts w:hint="eastAsia" w:ascii="宋体" w:hAnsi="宋体" w:eastAsia="宋体" w:cs="宋体"/>
          <w:color w:val="FF0000"/>
          <w:sz w:val="24"/>
          <w:szCs w:val="32"/>
        </w:rPr>
        <w:t>投标方需提供由第三方检测机构出具的检测、鉴定报告。</w:t>
      </w:r>
    </w:p>
    <w:p w14:paraId="5F23BAB4">
      <w:pPr>
        <w:adjustRightInd w:val="0"/>
        <w:snapToGrid w:val="0"/>
        <w:spacing w:line="440" w:lineRule="exact"/>
        <w:ind w:firstLine="480" w:firstLineChars="200"/>
        <w:rPr>
          <w:rFonts w:ascii="宋体" w:hAnsi="宋体" w:eastAsia="宋体" w:cs="宋体"/>
          <w:sz w:val="24"/>
          <w:szCs w:val="32"/>
        </w:rPr>
      </w:pPr>
      <w:r>
        <w:rPr>
          <w:rFonts w:hint="eastAsia" w:ascii="宋体" w:hAnsi="宋体" w:eastAsia="宋体" w:cs="宋体"/>
          <w:sz w:val="24"/>
          <w:szCs w:val="32"/>
        </w:rPr>
        <w:t>3.2.5试运行期间或之后无维修、调整等行为（特殊情况除外）。</w:t>
      </w:r>
    </w:p>
    <w:p w14:paraId="78BE82E6">
      <w:pPr>
        <w:adjustRightInd w:val="0"/>
        <w:snapToGrid w:val="0"/>
        <w:spacing w:line="440" w:lineRule="exact"/>
        <w:ind w:firstLine="480" w:firstLineChars="200"/>
        <w:rPr>
          <w:rFonts w:ascii="宋体" w:hAnsi="宋体" w:eastAsia="宋体" w:cs="宋体"/>
          <w:sz w:val="24"/>
          <w:szCs w:val="32"/>
        </w:rPr>
      </w:pPr>
      <w:r>
        <w:rPr>
          <w:rFonts w:hint="eastAsia" w:ascii="宋体" w:hAnsi="宋体" w:eastAsia="宋体" w:cs="宋体"/>
          <w:sz w:val="24"/>
          <w:szCs w:val="32"/>
        </w:rPr>
        <w:t>3.2.6货物（或生产线）质量、技术性能等，达到签定的技术协议书和合同规定的终验收标准。</w:t>
      </w:r>
    </w:p>
    <w:p w14:paraId="3FB0A6E5">
      <w:pPr>
        <w:adjustRightInd w:val="0"/>
        <w:snapToGrid w:val="0"/>
        <w:spacing w:line="440" w:lineRule="exact"/>
        <w:ind w:firstLine="480" w:firstLineChars="200"/>
        <w:rPr>
          <w:rFonts w:ascii="宋体" w:hAnsi="宋体" w:eastAsia="宋体" w:cs="宋体"/>
          <w:sz w:val="24"/>
          <w:szCs w:val="32"/>
        </w:rPr>
      </w:pPr>
      <w:r>
        <w:rPr>
          <w:rFonts w:hint="eastAsia" w:ascii="宋体" w:hAnsi="宋体" w:eastAsia="宋体" w:cs="宋体"/>
          <w:sz w:val="24"/>
          <w:szCs w:val="32"/>
        </w:rPr>
        <w:t>3.2.7资料齐全性、完整性和有效性。按照“配套供货范围及要求”中“技术资料范围”的规定验收；</w:t>
      </w:r>
    </w:p>
    <w:p w14:paraId="76FF640C">
      <w:pPr>
        <w:adjustRightInd w:val="0"/>
        <w:snapToGrid w:val="0"/>
        <w:spacing w:line="440" w:lineRule="exact"/>
        <w:ind w:firstLine="480" w:firstLineChars="200"/>
        <w:rPr>
          <w:rFonts w:ascii="宋体" w:hAnsi="宋体" w:eastAsia="宋体" w:cs="宋体"/>
          <w:sz w:val="24"/>
          <w:szCs w:val="32"/>
        </w:rPr>
      </w:pPr>
      <w:r>
        <w:rPr>
          <w:rFonts w:hint="eastAsia" w:ascii="宋体" w:hAnsi="宋体" w:eastAsia="宋体" w:cs="宋体"/>
          <w:sz w:val="24"/>
          <w:szCs w:val="32"/>
        </w:rPr>
        <w:t>3.2.8 设备应运行灵活、稳定、可靠、安全，无异常声音和非正常振动。设备不允许出现漏水、漏液、漏气（汽）。运动的零部件（如链条、联轴器、离合器等）应动作平稳、没有异常声音，不松动或易于调整； 设备的润滑系统工作可靠，润滑点易于到达：</w:t>
      </w:r>
    </w:p>
    <w:p w14:paraId="3EAE1DCA">
      <w:pPr>
        <w:adjustRightInd w:val="0"/>
        <w:snapToGrid w:val="0"/>
        <w:spacing w:line="440" w:lineRule="exact"/>
        <w:ind w:firstLine="480" w:firstLineChars="200"/>
        <w:rPr>
          <w:rFonts w:ascii="宋体" w:hAnsi="宋体" w:eastAsia="宋体" w:cs="宋体"/>
          <w:sz w:val="24"/>
          <w:szCs w:val="32"/>
        </w:rPr>
      </w:pPr>
      <w:r>
        <w:rPr>
          <w:rFonts w:hint="eastAsia" w:ascii="宋体" w:hAnsi="宋体" w:eastAsia="宋体" w:cs="宋体"/>
          <w:sz w:val="24"/>
          <w:szCs w:val="32"/>
        </w:rPr>
        <w:t>3.2.9  设备外观应无损伤，应该涂满同种明亮清晰的油漆（特殊标志除外）。设备应该完整且所有的零部件应该安装牢固，所有的焊缝饱满、无残渣等缺陷；</w:t>
      </w:r>
    </w:p>
    <w:p w14:paraId="38B9AAEC">
      <w:pPr>
        <w:adjustRightInd w:val="0"/>
        <w:snapToGrid w:val="0"/>
        <w:spacing w:line="440" w:lineRule="exact"/>
        <w:ind w:firstLine="480" w:firstLineChars="200"/>
        <w:rPr>
          <w:rFonts w:ascii="宋体" w:hAnsi="宋体" w:eastAsia="宋体" w:cs="宋体"/>
          <w:sz w:val="24"/>
          <w:szCs w:val="32"/>
        </w:rPr>
      </w:pPr>
      <w:r>
        <w:rPr>
          <w:rFonts w:hint="eastAsia" w:ascii="宋体" w:hAnsi="宋体" w:eastAsia="宋体" w:cs="宋体"/>
          <w:sz w:val="24"/>
          <w:szCs w:val="32"/>
        </w:rPr>
        <w:t>3.2.10  所有的管道和电缆线等，应排列有序（正确、牢固、整齐）无皱褶、收缩和裂缝，电缆线在整个长度范围内，所有的接头应完全正确地连接；</w:t>
      </w:r>
    </w:p>
    <w:p w14:paraId="45DEDFB9">
      <w:pPr>
        <w:adjustRightInd w:val="0"/>
        <w:snapToGrid w:val="0"/>
        <w:spacing w:line="440" w:lineRule="exact"/>
        <w:ind w:firstLine="480" w:firstLineChars="200"/>
        <w:rPr>
          <w:rFonts w:ascii="宋体" w:hAnsi="宋体" w:eastAsia="宋体" w:cs="宋体"/>
          <w:sz w:val="24"/>
          <w:szCs w:val="32"/>
        </w:rPr>
      </w:pPr>
      <w:r>
        <w:rPr>
          <w:rFonts w:hint="eastAsia" w:ascii="宋体" w:hAnsi="宋体" w:eastAsia="宋体" w:cs="宋体"/>
          <w:sz w:val="24"/>
          <w:szCs w:val="32"/>
        </w:rPr>
        <w:t>3.2.11 设备应有完整的标牌，且清晰易见；</w:t>
      </w:r>
    </w:p>
    <w:p w14:paraId="12399AB2">
      <w:pPr>
        <w:adjustRightInd w:val="0"/>
        <w:snapToGrid w:val="0"/>
        <w:spacing w:line="440" w:lineRule="exact"/>
        <w:ind w:firstLine="480" w:firstLineChars="200"/>
        <w:rPr>
          <w:rFonts w:ascii="宋体" w:hAnsi="宋体" w:eastAsia="宋体" w:cs="宋体"/>
          <w:sz w:val="24"/>
          <w:szCs w:val="32"/>
        </w:rPr>
      </w:pPr>
      <w:r>
        <w:rPr>
          <w:rFonts w:hint="eastAsia" w:ascii="宋体" w:hAnsi="宋体" w:eastAsia="宋体" w:cs="宋体"/>
          <w:sz w:val="24"/>
          <w:szCs w:val="32"/>
        </w:rPr>
        <w:t>3.2.12 地线连接和地极符合国际（ISO/IEC）标准规范；</w:t>
      </w:r>
    </w:p>
    <w:p w14:paraId="46F05403">
      <w:pPr>
        <w:adjustRightInd w:val="0"/>
        <w:snapToGrid w:val="0"/>
        <w:spacing w:line="440" w:lineRule="exact"/>
        <w:ind w:firstLine="480" w:firstLineChars="200"/>
        <w:rPr>
          <w:rFonts w:ascii="宋体" w:hAnsi="宋体" w:eastAsia="宋体" w:cs="宋体"/>
          <w:sz w:val="24"/>
          <w:szCs w:val="32"/>
        </w:rPr>
      </w:pPr>
      <w:r>
        <w:rPr>
          <w:rFonts w:hint="eastAsia" w:ascii="宋体" w:hAnsi="宋体" w:eastAsia="宋体" w:cs="宋体"/>
          <w:sz w:val="24"/>
          <w:szCs w:val="32"/>
        </w:rPr>
        <w:t>3.2.13 设备质量、技术性能等，按照签定的技术协议书和合同规定的终验收标准验收；</w:t>
      </w:r>
    </w:p>
    <w:p w14:paraId="0CD3DD85">
      <w:pPr>
        <w:spacing w:line="440" w:lineRule="exact"/>
        <w:ind w:firstLine="482" w:firstLineChars="200"/>
        <w:outlineLvl w:val="1"/>
        <w:rPr>
          <w:rFonts w:ascii="宋体" w:hAnsi="宋体" w:eastAsia="宋体" w:cs="宋体"/>
          <w:b/>
          <w:bCs/>
          <w:sz w:val="24"/>
          <w:szCs w:val="32"/>
        </w:rPr>
      </w:pPr>
      <w:bookmarkStart w:id="64" w:name="_Toc240095883"/>
      <w:r>
        <w:rPr>
          <w:rFonts w:hint="eastAsia" w:ascii="宋体" w:hAnsi="宋体" w:eastAsia="宋体" w:cs="宋体"/>
          <w:b/>
          <w:bCs/>
          <w:sz w:val="24"/>
          <w:szCs w:val="32"/>
        </w:rPr>
        <w:t>3.3、终验收基本要求</w:t>
      </w:r>
      <w:bookmarkEnd w:id="64"/>
    </w:p>
    <w:p w14:paraId="36E5F668">
      <w:pPr>
        <w:adjustRightInd w:val="0"/>
        <w:snapToGrid w:val="0"/>
        <w:spacing w:line="440" w:lineRule="exact"/>
        <w:ind w:firstLine="480" w:firstLineChars="200"/>
        <w:rPr>
          <w:rFonts w:ascii="宋体" w:hAnsi="宋体" w:eastAsia="宋体" w:cs="宋体"/>
          <w:sz w:val="24"/>
          <w:szCs w:val="32"/>
        </w:rPr>
      </w:pPr>
      <w:r>
        <w:rPr>
          <w:rFonts w:hint="eastAsia" w:ascii="宋体" w:hAnsi="宋体" w:eastAsia="宋体" w:cs="宋体"/>
          <w:sz w:val="24"/>
          <w:szCs w:val="32"/>
        </w:rPr>
        <w:t>3.3.1货物（或生产线）允许情况下，一般先连续空运转</w:t>
      </w:r>
      <w:r>
        <w:rPr>
          <w:rFonts w:hint="eastAsia" w:ascii="宋体" w:hAnsi="宋体" w:eastAsia="宋体" w:cs="宋体"/>
          <w:sz w:val="24"/>
          <w:szCs w:val="32"/>
          <w:u w:val="single"/>
        </w:rPr>
        <w:t>8</w:t>
      </w:r>
      <w:r>
        <w:rPr>
          <w:rFonts w:hint="eastAsia" w:ascii="宋体" w:hAnsi="宋体" w:eastAsia="宋体" w:cs="宋体"/>
          <w:sz w:val="24"/>
          <w:szCs w:val="32"/>
        </w:rPr>
        <w:t>小时，然后再进行负荷运行（无需进行空载运行的除外）。</w:t>
      </w:r>
    </w:p>
    <w:p w14:paraId="2F2ACB60">
      <w:pPr>
        <w:adjustRightInd w:val="0"/>
        <w:snapToGrid w:val="0"/>
        <w:spacing w:line="440" w:lineRule="exact"/>
        <w:ind w:firstLine="480" w:firstLineChars="200"/>
        <w:rPr>
          <w:rFonts w:ascii="宋体" w:hAnsi="宋体" w:eastAsia="宋体" w:cs="宋体"/>
          <w:sz w:val="24"/>
          <w:szCs w:val="32"/>
        </w:rPr>
      </w:pPr>
      <w:r>
        <w:rPr>
          <w:rFonts w:hint="eastAsia" w:ascii="宋体" w:hAnsi="宋体" w:eastAsia="宋体" w:cs="宋体"/>
          <w:sz w:val="24"/>
          <w:szCs w:val="32"/>
        </w:rPr>
        <w:t>3.3.2负荷运行时，货物（或生产线）应连续运行</w:t>
      </w:r>
      <w:r>
        <w:rPr>
          <w:rFonts w:ascii="宋体" w:hAnsi="宋体" w:eastAsia="宋体" w:cs="宋体"/>
          <w:sz w:val="24"/>
          <w:szCs w:val="32"/>
          <w:u w:val="single"/>
        </w:rPr>
        <w:t>30</w:t>
      </w:r>
      <w:r>
        <w:rPr>
          <w:rFonts w:hint="eastAsia" w:ascii="宋体" w:hAnsi="宋体" w:eastAsia="宋体" w:cs="宋体"/>
          <w:sz w:val="24"/>
          <w:szCs w:val="32"/>
        </w:rPr>
        <w:t>天，每天连续</w:t>
      </w:r>
      <w:r>
        <w:rPr>
          <w:rFonts w:hint="eastAsia" w:ascii="宋体" w:hAnsi="宋体" w:eastAsia="宋体" w:cs="宋体"/>
          <w:sz w:val="24"/>
          <w:szCs w:val="32"/>
          <w:u w:val="single"/>
        </w:rPr>
        <w:t>8</w:t>
      </w:r>
      <w:r>
        <w:rPr>
          <w:rFonts w:hint="eastAsia" w:ascii="宋体" w:hAnsi="宋体" w:eastAsia="宋体" w:cs="宋体"/>
          <w:sz w:val="24"/>
          <w:szCs w:val="32"/>
        </w:rPr>
        <w:t>小时（长时间连续运行</w:t>
      </w:r>
      <w:r>
        <w:rPr>
          <w:rFonts w:hint="eastAsia" w:ascii="宋体" w:hAnsi="宋体" w:eastAsia="宋体" w:cs="宋体"/>
          <w:sz w:val="24"/>
          <w:szCs w:val="32"/>
          <w:u w:val="single"/>
        </w:rPr>
        <w:t>24</w:t>
      </w:r>
      <w:r>
        <w:rPr>
          <w:rFonts w:hint="eastAsia" w:ascii="宋体" w:hAnsi="宋体" w:eastAsia="宋体" w:cs="宋体"/>
          <w:sz w:val="24"/>
          <w:szCs w:val="32"/>
        </w:rPr>
        <w:t>小时）。</w:t>
      </w:r>
    </w:p>
    <w:p w14:paraId="17C8E251">
      <w:pPr>
        <w:adjustRightInd w:val="0"/>
        <w:snapToGrid w:val="0"/>
        <w:spacing w:line="440" w:lineRule="exact"/>
        <w:ind w:firstLine="480" w:firstLineChars="200"/>
        <w:rPr>
          <w:rFonts w:ascii="宋体" w:hAnsi="宋体" w:eastAsia="宋体" w:cs="宋体"/>
          <w:sz w:val="24"/>
          <w:szCs w:val="32"/>
        </w:rPr>
      </w:pPr>
      <w:r>
        <w:rPr>
          <w:rFonts w:hint="eastAsia" w:ascii="宋体" w:hAnsi="宋体" w:eastAsia="宋体" w:cs="宋体"/>
          <w:sz w:val="24"/>
          <w:szCs w:val="32"/>
        </w:rPr>
        <w:t xml:space="preserve">3.3.3 </w:t>
      </w:r>
      <w:r>
        <w:rPr>
          <w:rFonts w:hint="eastAsia" w:ascii="宋体" w:hAnsi="宋体" w:eastAsia="宋体" w:cs="宋体"/>
          <w:b/>
          <w:bCs/>
          <w:sz w:val="24"/>
          <w:szCs w:val="32"/>
        </w:rPr>
        <w:t>生产</w:t>
      </w:r>
      <w:r>
        <w:rPr>
          <w:rFonts w:ascii="宋体" w:hAnsi="宋体" w:eastAsia="宋体" w:cs="宋体"/>
          <w:b/>
          <w:bCs/>
          <w:color w:val="FF0000"/>
          <w:sz w:val="24"/>
          <w:szCs w:val="32"/>
        </w:rPr>
        <w:t>1000</w:t>
      </w:r>
      <w:r>
        <w:rPr>
          <w:rFonts w:hint="eastAsia" w:ascii="宋体" w:hAnsi="宋体" w:eastAsia="宋体" w:cs="宋体"/>
          <w:b/>
          <w:bCs/>
          <w:color w:val="FF0000"/>
          <w:sz w:val="24"/>
          <w:szCs w:val="32"/>
        </w:rPr>
        <w:t>件</w:t>
      </w:r>
      <w:r>
        <w:rPr>
          <w:rFonts w:hint="eastAsia" w:ascii="宋体" w:hAnsi="宋体" w:eastAsia="宋体" w:cs="宋体"/>
          <w:b/>
          <w:bCs/>
          <w:sz w:val="24"/>
          <w:szCs w:val="32"/>
        </w:rPr>
        <w:t>合格产品或者正常生产</w:t>
      </w:r>
      <w:r>
        <w:rPr>
          <w:rFonts w:ascii="宋体" w:hAnsi="宋体" w:eastAsia="宋体" w:cs="宋体"/>
          <w:b/>
          <w:bCs/>
          <w:color w:val="FF0000"/>
          <w:sz w:val="24"/>
          <w:szCs w:val="32"/>
        </w:rPr>
        <w:t>60</w:t>
      </w:r>
      <w:r>
        <w:rPr>
          <w:rFonts w:hint="eastAsia" w:ascii="宋体" w:hAnsi="宋体" w:eastAsia="宋体" w:cs="宋体"/>
          <w:b/>
          <w:bCs/>
          <w:color w:val="FF0000"/>
          <w:sz w:val="24"/>
          <w:szCs w:val="32"/>
        </w:rPr>
        <w:t>天</w:t>
      </w:r>
      <w:r>
        <w:rPr>
          <w:rFonts w:hint="eastAsia" w:ascii="宋体" w:hAnsi="宋体" w:eastAsia="宋体" w:cs="宋体"/>
          <w:b/>
          <w:bCs/>
          <w:sz w:val="24"/>
          <w:szCs w:val="32"/>
        </w:rPr>
        <w:t>，先到为准</w:t>
      </w:r>
      <w:r>
        <w:rPr>
          <w:rFonts w:hint="eastAsia" w:ascii="宋体" w:hAnsi="宋体" w:eastAsia="宋体" w:cs="宋体"/>
          <w:sz w:val="24"/>
          <w:szCs w:val="32"/>
        </w:rPr>
        <w:t>。除用户方面因素外，必须达到以下要求：</w:t>
      </w:r>
    </w:p>
    <w:p w14:paraId="109EF8FF">
      <w:pPr>
        <w:adjustRightInd w:val="0"/>
        <w:snapToGrid w:val="0"/>
        <w:spacing w:line="440" w:lineRule="exact"/>
        <w:ind w:firstLine="480" w:firstLineChars="200"/>
        <w:rPr>
          <w:rFonts w:ascii="宋体" w:hAnsi="宋体" w:eastAsia="宋体" w:cs="宋体"/>
          <w:sz w:val="24"/>
          <w:szCs w:val="32"/>
        </w:rPr>
      </w:pPr>
      <w:r>
        <w:rPr>
          <w:rFonts w:hint="eastAsia" w:ascii="宋体" w:hAnsi="宋体" w:eastAsia="宋体" w:cs="宋体"/>
          <w:sz w:val="24"/>
          <w:szCs w:val="32"/>
        </w:rPr>
        <w:t>a.  在整个验收过程中没有维修、更换零部件或元件行为；</w:t>
      </w:r>
    </w:p>
    <w:p w14:paraId="3DC311A0">
      <w:pPr>
        <w:adjustRightInd w:val="0"/>
        <w:snapToGrid w:val="0"/>
        <w:spacing w:line="440" w:lineRule="exact"/>
        <w:ind w:firstLine="480" w:firstLineChars="200"/>
        <w:rPr>
          <w:rFonts w:ascii="宋体" w:hAnsi="宋体" w:eastAsia="宋体" w:cs="宋体"/>
          <w:sz w:val="24"/>
          <w:szCs w:val="32"/>
        </w:rPr>
      </w:pPr>
      <w:r>
        <w:rPr>
          <w:rFonts w:hint="eastAsia" w:ascii="宋体" w:hAnsi="宋体" w:eastAsia="宋体" w:cs="宋体"/>
          <w:sz w:val="24"/>
          <w:szCs w:val="32"/>
        </w:rPr>
        <w:t>b.  所有出现的调整，每次调整时间均不超过 30 分钟；</w:t>
      </w:r>
    </w:p>
    <w:p w14:paraId="7F87E96F">
      <w:pPr>
        <w:adjustRightInd w:val="0"/>
        <w:snapToGrid w:val="0"/>
        <w:spacing w:line="440" w:lineRule="exact"/>
        <w:ind w:firstLine="480" w:firstLineChars="200"/>
        <w:rPr>
          <w:rFonts w:ascii="宋体" w:hAnsi="宋体" w:eastAsia="宋体" w:cs="宋体"/>
          <w:sz w:val="24"/>
          <w:szCs w:val="32"/>
        </w:rPr>
      </w:pPr>
      <w:r>
        <w:rPr>
          <w:rFonts w:hint="eastAsia" w:ascii="宋体" w:hAnsi="宋体" w:eastAsia="宋体" w:cs="宋体"/>
          <w:sz w:val="24"/>
          <w:szCs w:val="32"/>
        </w:rPr>
        <w:t xml:space="preserve">c.  所有调整时间的总和不超过总运行时间的 2 %；                         </w:t>
      </w:r>
    </w:p>
    <w:p w14:paraId="1C133E03">
      <w:pPr>
        <w:adjustRightInd w:val="0"/>
        <w:snapToGrid w:val="0"/>
        <w:spacing w:line="440" w:lineRule="exact"/>
        <w:ind w:firstLine="480" w:firstLineChars="200"/>
        <w:rPr>
          <w:rFonts w:ascii="宋体" w:hAnsi="宋体" w:eastAsia="宋体" w:cs="宋体"/>
          <w:sz w:val="24"/>
          <w:szCs w:val="32"/>
        </w:rPr>
      </w:pPr>
      <w:r>
        <w:rPr>
          <w:rFonts w:hint="eastAsia" w:ascii="宋体" w:hAnsi="宋体" w:eastAsia="宋体" w:cs="宋体"/>
          <w:sz w:val="24"/>
          <w:szCs w:val="32"/>
        </w:rPr>
        <w:t>3.3.3出现下列问题之一，视作验收失败：</w:t>
      </w:r>
    </w:p>
    <w:p w14:paraId="293EC824">
      <w:pPr>
        <w:adjustRightInd w:val="0"/>
        <w:snapToGrid w:val="0"/>
        <w:spacing w:line="440" w:lineRule="exact"/>
        <w:ind w:firstLine="480" w:firstLineChars="200"/>
        <w:rPr>
          <w:rFonts w:ascii="宋体" w:hAnsi="宋体" w:eastAsia="宋体" w:cs="宋体"/>
          <w:sz w:val="24"/>
          <w:szCs w:val="32"/>
        </w:rPr>
      </w:pPr>
      <w:r>
        <w:rPr>
          <w:rFonts w:hint="eastAsia" w:ascii="宋体" w:hAnsi="宋体" w:eastAsia="宋体" w:cs="宋体"/>
          <w:sz w:val="24"/>
          <w:szCs w:val="32"/>
        </w:rPr>
        <w:t>(1)在整个验收过程中发生关键零部件损坏或重大故障；</w:t>
      </w:r>
    </w:p>
    <w:p w14:paraId="6890D8C1">
      <w:pPr>
        <w:adjustRightInd w:val="0"/>
        <w:snapToGrid w:val="0"/>
        <w:spacing w:line="440" w:lineRule="exact"/>
        <w:ind w:firstLine="480" w:firstLineChars="200"/>
        <w:rPr>
          <w:rFonts w:ascii="宋体" w:hAnsi="宋体" w:eastAsia="宋体" w:cs="宋体"/>
          <w:sz w:val="24"/>
          <w:szCs w:val="32"/>
        </w:rPr>
      </w:pPr>
      <w:r>
        <w:rPr>
          <w:rFonts w:hint="eastAsia" w:ascii="宋体" w:hAnsi="宋体" w:eastAsia="宋体" w:cs="宋体"/>
          <w:sz w:val="24"/>
          <w:szCs w:val="32"/>
        </w:rPr>
        <w:t>(2)一般性故障超过</w:t>
      </w:r>
      <w:r>
        <w:rPr>
          <w:rFonts w:hint="eastAsia" w:ascii="宋体" w:hAnsi="宋体" w:eastAsia="宋体" w:cs="宋体"/>
          <w:sz w:val="24"/>
          <w:szCs w:val="32"/>
          <w:u w:val="single"/>
        </w:rPr>
        <w:t>5</w:t>
      </w:r>
      <w:r>
        <w:rPr>
          <w:rFonts w:hint="eastAsia" w:ascii="宋体" w:hAnsi="宋体" w:eastAsia="宋体" w:cs="宋体"/>
          <w:sz w:val="24"/>
          <w:szCs w:val="32"/>
        </w:rPr>
        <w:t>次；</w:t>
      </w:r>
    </w:p>
    <w:p w14:paraId="17D84F7D">
      <w:pPr>
        <w:adjustRightInd w:val="0"/>
        <w:snapToGrid w:val="0"/>
        <w:spacing w:line="440" w:lineRule="exact"/>
        <w:ind w:firstLine="480" w:firstLineChars="200"/>
        <w:rPr>
          <w:rFonts w:ascii="宋体" w:hAnsi="宋体" w:eastAsia="宋体" w:cs="宋体"/>
          <w:sz w:val="24"/>
          <w:szCs w:val="32"/>
        </w:rPr>
      </w:pPr>
      <w:r>
        <w:rPr>
          <w:rFonts w:hint="eastAsia" w:ascii="宋体" w:hAnsi="宋体" w:eastAsia="宋体" w:cs="宋体"/>
          <w:sz w:val="24"/>
          <w:szCs w:val="32"/>
        </w:rPr>
        <w:t>(3)所有出现的维修调整，每次时间均不超过</w:t>
      </w:r>
      <w:r>
        <w:rPr>
          <w:rFonts w:hint="eastAsia" w:ascii="宋体" w:hAnsi="宋体" w:eastAsia="宋体" w:cs="宋体"/>
          <w:sz w:val="24"/>
          <w:szCs w:val="32"/>
          <w:u w:val="single"/>
        </w:rPr>
        <w:t>30</w:t>
      </w:r>
      <w:r>
        <w:rPr>
          <w:rFonts w:hint="eastAsia" w:ascii="宋体" w:hAnsi="宋体" w:eastAsia="宋体" w:cs="宋体"/>
          <w:sz w:val="24"/>
          <w:szCs w:val="32"/>
        </w:rPr>
        <w:t>分钟；所有维修调整时间的总和不超过总运行时间的</w:t>
      </w:r>
      <w:r>
        <w:rPr>
          <w:rFonts w:hint="eastAsia" w:ascii="宋体" w:hAnsi="宋体" w:eastAsia="宋体" w:cs="宋体"/>
          <w:sz w:val="24"/>
          <w:szCs w:val="32"/>
          <w:u w:val="single"/>
        </w:rPr>
        <w:t>2</w:t>
      </w:r>
      <w:r>
        <w:rPr>
          <w:rFonts w:hint="eastAsia" w:ascii="宋体" w:hAnsi="宋体" w:eastAsia="宋体" w:cs="宋体"/>
          <w:sz w:val="24"/>
          <w:szCs w:val="32"/>
        </w:rPr>
        <w:t>%；</w:t>
      </w:r>
    </w:p>
    <w:p w14:paraId="606E2D0C">
      <w:pPr>
        <w:adjustRightInd w:val="0"/>
        <w:snapToGrid w:val="0"/>
        <w:spacing w:line="440" w:lineRule="exact"/>
        <w:ind w:firstLine="480" w:firstLineChars="200"/>
        <w:rPr>
          <w:rFonts w:ascii="宋体" w:hAnsi="宋体" w:eastAsia="宋体" w:cs="宋体"/>
          <w:sz w:val="24"/>
          <w:szCs w:val="32"/>
        </w:rPr>
      </w:pPr>
      <w:r>
        <w:rPr>
          <w:rFonts w:hint="eastAsia" w:ascii="宋体" w:hAnsi="宋体" w:eastAsia="宋体" w:cs="宋体"/>
          <w:sz w:val="24"/>
          <w:szCs w:val="32"/>
        </w:rPr>
        <w:t>3.3.4累计负载运行实际性能（或生产率）达到合同规定；</w:t>
      </w:r>
    </w:p>
    <w:p w14:paraId="7DC31FDD">
      <w:pPr>
        <w:adjustRightInd w:val="0"/>
        <w:snapToGrid w:val="0"/>
        <w:spacing w:line="440" w:lineRule="exact"/>
        <w:ind w:firstLine="480" w:firstLineChars="200"/>
        <w:rPr>
          <w:rFonts w:ascii="宋体" w:hAnsi="宋体" w:eastAsia="宋体" w:cs="宋体"/>
          <w:sz w:val="24"/>
          <w:szCs w:val="32"/>
        </w:rPr>
      </w:pPr>
      <w:r>
        <w:rPr>
          <w:rFonts w:hint="eastAsia" w:ascii="宋体" w:hAnsi="宋体" w:eastAsia="宋体" w:cs="宋体"/>
          <w:sz w:val="24"/>
          <w:szCs w:val="32"/>
        </w:rPr>
        <w:t>3.3.5终验收原则上要求一次完成。若一次验收不成功，最多允许两次；如果出现第三次验收失败，重新作价或退货；</w:t>
      </w:r>
    </w:p>
    <w:p w14:paraId="1B6F67AF">
      <w:pPr>
        <w:pStyle w:val="52"/>
        <w:numPr>
          <w:ilvl w:val="0"/>
          <w:numId w:val="0"/>
        </w:numPr>
        <w:ind w:firstLine="480" w:firstLineChars="200"/>
        <w:rPr>
          <w:rFonts w:hint="eastAsia" w:ascii="宋体" w:hAnsi="宋体" w:eastAsia="宋体" w:cs="宋体"/>
          <w:sz w:val="24"/>
          <w:szCs w:val="32"/>
        </w:rPr>
      </w:pPr>
      <w:r>
        <w:rPr>
          <w:rFonts w:hint="eastAsia" w:ascii="宋体" w:hAnsi="宋体" w:eastAsia="宋体" w:cs="宋体"/>
          <w:sz w:val="24"/>
          <w:szCs w:val="32"/>
        </w:rPr>
        <w:t>3.3.6终验收通过后买卖双方共同签署终验收报告，并移交、核对全部供货范围内物品。</w:t>
      </w:r>
    </w:p>
    <w:p w14:paraId="4050EB65">
      <w:pPr>
        <w:adjustRightInd w:val="0"/>
        <w:snapToGrid w:val="0"/>
        <w:spacing w:before="120" w:beforeLines="50" w:after="120" w:afterLines="50" w:line="440" w:lineRule="exact"/>
        <w:ind w:firstLine="723" w:firstLineChars="200"/>
        <w:jc w:val="center"/>
        <w:outlineLvl w:val="0"/>
        <w:rPr>
          <w:rFonts w:ascii="宋体" w:hAnsi="宋体" w:eastAsia="宋体" w:cs="宋体"/>
          <w:b/>
          <w:bCs/>
          <w:sz w:val="24"/>
          <w:szCs w:val="24"/>
        </w:rPr>
      </w:pPr>
      <w:bookmarkStart w:id="65" w:name="_Toc240120884"/>
      <w:bookmarkStart w:id="66" w:name="_Toc240095884"/>
      <w:r>
        <w:rPr>
          <w:rFonts w:hint="eastAsia" w:ascii="宋体" w:hAnsi="宋体" w:eastAsia="宋体" w:cs="宋体"/>
          <w:b/>
          <w:bCs/>
          <w:sz w:val="36"/>
          <w:szCs w:val="36"/>
          <w:lang w:val="en-US" w:eastAsia="zh-CN"/>
        </w:rPr>
        <w:t>第七章</w:t>
      </w:r>
      <w:r>
        <w:rPr>
          <w:rFonts w:hint="eastAsia" w:ascii="宋体" w:hAnsi="宋体" w:eastAsia="宋体" w:cs="宋体"/>
          <w:b/>
          <w:bCs/>
          <w:sz w:val="24"/>
          <w:szCs w:val="24"/>
          <w:lang w:val="en-US" w:eastAsia="zh-CN"/>
        </w:rPr>
        <w:t xml:space="preserve">   </w:t>
      </w:r>
      <w:r>
        <w:rPr>
          <w:rFonts w:hint="eastAsia" w:ascii="Times New Roman" w:hAnsi="Times New Roman" w:eastAsia="宋体"/>
          <w:b/>
          <w:bCs/>
          <w:kern w:val="44"/>
          <w:sz w:val="36"/>
          <w:szCs w:val="44"/>
          <w:lang w:val="en-US" w:eastAsia="zh-CN"/>
        </w:rPr>
        <w:t>投标技术文件一般要求</w:t>
      </w:r>
      <w:bookmarkEnd w:id="65"/>
      <w:bookmarkEnd w:id="66"/>
    </w:p>
    <w:p w14:paraId="7B6367BE">
      <w:pPr>
        <w:spacing w:line="440" w:lineRule="exact"/>
        <w:ind w:firstLine="482" w:firstLineChars="200"/>
        <w:outlineLvl w:val="0"/>
        <w:rPr>
          <w:rFonts w:ascii="宋体" w:hAnsi="宋体" w:eastAsia="宋体" w:cs="宋体"/>
          <w:b/>
          <w:sz w:val="24"/>
          <w:szCs w:val="24"/>
        </w:rPr>
      </w:pPr>
      <w:bookmarkStart w:id="67" w:name="_Toc240120885"/>
      <w:bookmarkStart w:id="68" w:name="_Toc240095885"/>
      <w:r>
        <w:rPr>
          <w:rFonts w:hint="eastAsia" w:ascii="宋体" w:hAnsi="宋体" w:eastAsia="宋体" w:cs="宋体"/>
          <w:b/>
          <w:sz w:val="24"/>
          <w:szCs w:val="24"/>
        </w:rPr>
        <w:t>一、技术文件一般内容要求</w:t>
      </w:r>
      <w:bookmarkEnd w:id="67"/>
      <w:bookmarkEnd w:id="68"/>
    </w:p>
    <w:p w14:paraId="2F8FCD00">
      <w:pPr>
        <w:pStyle w:val="133"/>
        <w:numPr>
          <w:ilvl w:val="1"/>
          <w:numId w:val="50"/>
        </w:numPr>
        <w:adjustRightInd w:val="0"/>
        <w:snapToGrid w:val="0"/>
        <w:spacing w:line="440" w:lineRule="exact"/>
        <w:ind w:left="-142" w:firstLine="567" w:firstLineChars="0"/>
        <w:rPr>
          <w:rFonts w:ascii="宋体" w:hAnsi="宋体" w:eastAsia="宋体" w:cs="宋体"/>
          <w:sz w:val="24"/>
          <w:szCs w:val="24"/>
        </w:rPr>
      </w:pPr>
      <w:r>
        <w:rPr>
          <w:rFonts w:hint="eastAsia" w:ascii="宋体" w:hAnsi="宋体" w:eastAsia="宋体" w:cs="宋体"/>
          <w:sz w:val="24"/>
          <w:szCs w:val="24"/>
        </w:rPr>
        <w:t>投标方应认真阅读招标文件和本技术标书，并按要求编写投标技术文件，技术标书中不得出现任何与价格相关的内容或信息。</w:t>
      </w:r>
    </w:p>
    <w:p w14:paraId="3AB83EE9">
      <w:pPr>
        <w:pStyle w:val="133"/>
        <w:numPr>
          <w:ilvl w:val="1"/>
          <w:numId w:val="50"/>
        </w:numPr>
        <w:adjustRightInd w:val="0"/>
        <w:snapToGrid w:val="0"/>
        <w:spacing w:line="440" w:lineRule="exact"/>
        <w:ind w:left="-142" w:firstLine="567" w:firstLineChars="0"/>
        <w:rPr>
          <w:rFonts w:ascii="宋体" w:hAnsi="宋体" w:eastAsia="宋体" w:cs="宋体"/>
          <w:sz w:val="24"/>
          <w:szCs w:val="24"/>
        </w:rPr>
      </w:pPr>
      <w:r>
        <w:rPr>
          <w:rFonts w:hint="eastAsia" w:ascii="宋体" w:hAnsi="宋体" w:eastAsia="宋体" w:cs="宋体"/>
          <w:sz w:val="24"/>
          <w:szCs w:val="24"/>
        </w:rPr>
        <w:t>投标技术文件至少应对投标货物（或生产线）的功能用途、技术性能、质量标准、技术参数等作出详细说明。</w:t>
      </w:r>
    </w:p>
    <w:p w14:paraId="4952362E">
      <w:pPr>
        <w:pStyle w:val="133"/>
        <w:numPr>
          <w:ilvl w:val="1"/>
          <w:numId w:val="50"/>
        </w:numPr>
        <w:adjustRightInd w:val="0"/>
        <w:snapToGrid w:val="0"/>
        <w:spacing w:line="440" w:lineRule="exact"/>
        <w:ind w:left="-142" w:firstLine="567" w:firstLineChars="0"/>
        <w:rPr>
          <w:rFonts w:ascii="宋体" w:hAnsi="宋体" w:eastAsia="宋体" w:cs="宋体"/>
          <w:sz w:val="24"/>
          <w:szCs w:val="24"/>
        </w:rPr>
      </w:pPr>
      <w:r>
        <w:rPr>
          <w:rFonts w:hint="eastAsia" w:ascii="宋体" w:hAnsi="宋体" w:eastAsia="宋体" w:cs="宋体"/>
          <w:sz w:val="24"/>
          <w:szCs w:val="24"/>
        </w:rPr>
        <w:t>投标技术文件至少应根据投标货物（或生产线）的关键设备、总成、零部件或系统作出满足或优于招标文件要求的详细说明。</w:t>
      </w:r>
    </w:p>
    <w:p w14:paraId="71F54BC3">
      <w:pPr>
        <w:pStyle w:val="133"/>
        <w:numPr>
          <w:ilvl w:val="1"/>
          <w:numId w:val="50"/>
        </w:numPr>
        <w:spacing w:line="440" w:lineRule="exact"/>
        <w:ind w:left="-142" w:firstLine="567" w:firstLineChars="0"/>
        <w:rPr>
          <w:rFonts w:ascii="宋体" w:hAnsi="宋体" w:eastAsia="宋体" w:cs="宋体"/>
          <w:sz w:val="24"/>
          <w:szCs w:val="24"/>
        </w:rPr>
      </w:pPr>
      <w:r>
        <w:rPr>
          <w:rFonts w:hint="eastAsia" w:ascii="宋体" w:hAnsi="宋体" w:eastAsia="宋体" w:cs="宋体"/>
          <w:sz w:val="24"/>
          <w:szCs w:val="24"/>
        </w:rPr>
        <w:t>投标技术文件至少应按照招标文件要求（或投标方建议）列明备品备件、易损件和专用耗材明细。</w:t>
      </w:r>
    </w:p>
    <w:p w14:paraId="6A687BDC">
      <w:pPr>
        <w:pStyle w:val="133"/>
        <w:numPr>
          <w:ilvl w:val="1"/>
          <w:numId w:val="50"/>
        </w:numPr>
        <w:spacing w:line="440" w:lineRule="exact"/>
        <w:ind w:left="-142" w:firstLine="567" w:firstLineChars="0"/>
        <w:rPr>
          <w:rFonts w:ascii="宋体" w:hAnsi="宋体" w:eastAsia="宋体" w:cs="宋体"/>
          <w:sz w:val="24"/>
          <w:szCs w:val="24"/>
        </w:rPr>
      </w:pPr>
      <w:r>
        <w:rPr>
          <w:rFonts w:hint="eastAsia" w:ascii="宋体" w:hAnsi="宋体" w:eastAsia="宋体" w:cs="宋体"/>
          <w:sz w:val="24"/>
          <w:szCs w:val="24"/>
        </w:rPr>
        <w:t>投标方应当而且必须分别说明所列备品备件、易损件和专用耗材的使用寿命（以有效工作小时数说明）。</w:t>
      </w:r>
    </w:p>
    <w:p w14:paraId="4564A939">
      <w:pPr>
        <w:pStyle w:val="133"/>
        <w:numPr>
          <w:ilvl w:val="1"/>
          <w:numId w:val="50"/>
        </w:numPr>
        <w:adjustRightInd w:val="0"/>
        <w:snapToGrid w:val="0"/>
        <w:spacing w:line="440" w:lineRule="exact"/>
        <w:ind w:left="-142" w:firstLine="567" w:firstLineChars="0"/>
        <w:rPr>
          <w:rFonts w:ascii="宋体" w:hAnsi="宋体" w:eastAsia="宋体" w:cs="宋体"/>
          <w:sz w:val="24"/>
          <w:szCs w:val="24"/>
        </w:rPr>
      </w:pPr>
      <w:r>
        <w:rPr>
          <w:rFonts w:hint="eastAsia" w:ascii="宋体" w:hAnsi="宋体" w:eastAsia="宋体" w:cs="宋体"/>
          <w:sz w:val="24"/>
          <w:szCs w:val="24"/>
        </w:rPr>
        <w:t>投标的货物（或生产线），应当根据其配置和备品备件、易损件、专用耗材情况，尽可能详细且分类填入下表：</w:t>
      </w:r>
    </w:p>
    <w:p w14:paraId="41BCC4AD">
      <w:pPr>
        <w:pStyle w:val="133"/>
        <w:numPr>
          <w:ilvl w:val="2"/>
          <w:numId w:val="51"/>
        </w:numPr>
        <w:adjustRightInd w:val="0"/>
        <w:snapToGrid w:val="0"/>
        <w:spacing w:line="440" w:lineRule="exact"/>
        <w:ind w:left="993" w:firstLineChars="0"/>
        <w:rPr>
          <w:rFonts w:ascii="宋体" w:hAnsi="宋体" w:eastAsia="宋体" w:cs="宋体"/>
          <w:sz w:val="24"/>
          <w:szCs w:val="24"/>
        </w:rPr>
      </w:pPr>
      <w:r>
        <w:rPr>
          <w:rFonts w:hint="eastAsia" w:ascii="宋体" w:hAnsi="宋体" w:eastAsia="宋体" w:cs="宋体"/>
          <w:sz w:val="24"/>
          <w:szCs w:val="24"/>
        </w:rPr>
        <w:t>投标货物（或生产线）配置一览表：</w:t>
      </w:r>
    </w:p>
    <w:p w14:paraId="01D1F9F1">
      <w:pPr>
        <w:adjustRightInd w:val="0"/>
        <w:snapToGrid w:val="0"/>
        <w:spacing w:line="440" w:lineRule="exact"/>
        <w:ind w:firstLine="2160" w:firstLineChars="900"/>
        <w:rPr>
          <w:rFonts w:ascii="宋体" w:hAnsi="宋体" w:eastAsia="宋体" w:cs="宋体"/>
          <w:sz w:val="24"/>
          <w:szCs w:val="24"/>
        </w:rPr>
      </w:pPr>
      <w:r>
        <w:rPr>
          <w:rFonts w:hint="eastAsia" w:ascii="宋体" w:hAnsi="宋体" w:eastAsia="宋体" w:cs="宋体"/>
          <w:sz w:val="24"/>
          <w:szCs w:val="24"/>
        </w:rPr>
        <w:t xml:space="preserve">投标货物（或生产线）配置一览表                </w:t>
      </w:r>
    </w:p>
    <w:tbl>
      <w:tblPr>
        <w:tblStyle w:val="4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1924"/>
        <w:gridCol w:w="1479"/>
        <w:gridCol w:w="1276"/>
        <w:gridCol w:w="1361"/>
        <w:gridCol w:w="2235"/>
      </w:tblGrid>
      <w:tr w14:paraId="5C17E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16" w:type="dxa"/>
            <w:tcBorders>
              <w:top w:val="single" w:color="auto" w:sz="4" w:space="0"/>
              <w:left w:val="single" w:color="auto" w:sz="4" w:space="0"/>
              <w:bottom w:val="single" w:color="auto" w:sz="4" w:space="0"/>
              <w:right w:val="single" w:color="auto" w:sz="4" w:space="0"/>
            </w:tcBorders>
            <w:vAlign w:val="center"/>
          </w:tcPr>
          <w:p w14:paraId="6F6E44E6">
            <w:pPr>
              <w:adjustRightInd w:val="0"/>
              <w:snapToGrid w:val="0"/>
              <w:spacing w:line="440" w:lineRule="exact"/>
              <w:jc w:val="center"/>
              <w:rPr>
                <w:rFonts w:ascii="宋体" w:hAnsi="宋体" w:eastAsia="宋体" w:cs="宋体"/>
                <w:sz w:val="24"/>
                <w:szCs w:val="24"/>
              </w:rPr>
            </w:pPr>
            <w:r>
              <w:rPr>
                <w:rFonts w:hint="eastAsia" w:ascii="宋体" w:hAnsi="宋体" w:eastAsia="宋体" w:cs="宋体"/>
                <w:sz w:val="24"/>
                <w:szCs w:val="24"/>
              </w:rPr>
              <w:t>序号</w:t>
            </w:r>
          </w:p>
        </w:tc>
        <w:tc>
          <w:tcPr>
            <w:tcW w:w="1924" w:type="dxa"/>
            <w:tcBorders>
              <w:top w:val="single" w:color="auto" w:sz="4" w:space="0"/>
              <w:left w:val="single" w:color="auto" w:sz="4" w:space="0"/>
              <w:bottom w:val="single" w:color="auto" w:sz="4" w:space="0"/>
              <w:right w:val="single" w:color="auto" w:sz="4" w:space="0"/>
            </w:tcBorders>
            <w:vAlign w:val="center"/>
          </w:tcPr>
          <w:p w14:paraId="74562E27">
            <w:pPr>
              <w:adjustRightInd w:val="0"/>
              <w:snapToGrid w:val="0"/>
              <w:spacing w:line="440" w:lineRule="exact"/>
              <w:ind w:left="0" w:leftChars="-50" w:hanging="105" w:hangingChars="44"/>
              <w:jc w:val="center"/>
              <w:rPr>
                <w:rFonts w:ascii="宋体" w:hAnsi="宋体" w:eastAsia="宋体" w:cs="宋体"/>
                <w:sz w:val="24"/>
                <w:szCs w:val="24"/>
              </w:rPr>
            </w:pPr>
            <w:r>
              <w:rPr>
                <w:rFonts w:hint="eastAsia" w:ascii="宋体" w:hAnsi="宋体" w:eastAsia="宋体" w:cs="宋体"/>
                <w:sz w:val="24"/>
                <w:szCs w:val="24"/>
              </w:rPr>
              <w:t>名称</w:t>
            </w:r>
          </w:p>
        </w:tc>
        <w:tc>
          <w:tcPr>
            <w:tcW w:w="1479" w:type="dxa"/>
            <w:tcBorders>
              <w:top w:val="single" w:color="auto" w:sz="4" w:space="0"/>
              <w:left w:val="single" w:color="auto" w:sz="4" w:space="0"/>
              <w:bottom w:val="single" w:color="auto" w:sz="4" w:space="0"/>
              <w:right w:val="single" w:color="auto" w:sz="4" w:space="0"/>
            </w:tcBorders>
            <w:vAlign w:val="center"/>
          </w:tcPr>
          <w:p w14:paraId="29359604">
            <w:pPr>
              <w:adjustRightInd w:val="0"/>
              <w:snapToGrid w:val="0"/>
              <w:spacing w:line="440" w:lineRule="exact"/>
              <w:ind w:firstLine="88" w:firstLineChars="37"/>
              <w:jc w:val="center"/>
              <w:rPr>
                <w:rFonts w:ascii="宋体" w:hAnsi="宋体" w:eastAsia="宋体" w:cs="宋体"/>
                <w:sz w:val="24"/>
                <w:szCs w:val="24"/>
              </w:rPr>
            </w:pPr>
            <w:r>
              <w:rPr>
                <w:rFonts w:hint="eastAsia" w:ascii="宋体" w:hAnsi="宋体" w:eastAsia="宋体" w:cs="宋体"/>
                <w:sz w:val="24"/>
                <w:szCs w:val="24"/>
              </w:rPr>
              <w:t>型号规格格</w:t>
            </w:r>
          </w:p>
        </w:tc>
        <w:tc>
          <w:tcPr>
            <w:tcW w:w="1276" w:type="dxa"/>
            <w:tcBorders>
              <w:top w:val="single" w:color="auto" w:sz="4" w:space="0"/>
              <w:left w:val="single" w:color="auto" w:sz="4" w:space="0"/>
              <w:bottom w:val="single" w:color="auto" w:sz="4" w:space="0"/>
              <w:right w:val="single" w:color="auto" w:sz="4" w:space="0"/>
            </w:tcBorders>
            <w:vAlign w:val="center"/>
          </w:tcPr>
          <w:p w14:paraId="07C8D712">
            <w:pPr>
              <w:adjustRightInd w:val="0"/>
              <w:snapToGrid w:val="0"/>
              <w:spacing w:line="440" w:lineRule="exact"/>
              <w:ind w:firstLine="480" w:firstLineChars="200"/>
              <w:jc w:val="center"/>
              <w:rPr>
                <w:rFonts w:ascii="宋体" w:hAnsi="宋体" w:eastAsia="宋体" w:cs="宋体"/>
                <w:sz w:val="24"/>
                <w:szCs w:val="24"/>
              </w:rPr>
            </w:pPr>
            <w:r>
              <w:rPr>
                <w:rFonts w:hint="eastAsia" w:ascii="宋体" w:hAnsi="宋体" w:eastAsia="宋体" w:cs="宋体"/>
                <w:sz w:val="24"/>
                <w:szCs w:val="24"/>
              </w:rPr>
              <w:t>单位</w:t>
            </w:r>
          </w:p>
        </w:tc>
        <w:tc>
          <w:tcPr>
            <w:tcW w:w="1361" w:type="dxa"/>
            <w:tcBorders>
              <w:top w:val="single" w:color="auto" w:sz="4" w:space="0"/>
              <w:left w:val="single" w:color="auto" w:sz="4" w:space="0"/>
              <w:bottom w:val="single" w:color="auto" w:sz="4" w:space="0"/>
              <w:right w:val="single" w:color="auto" w:sz="4" w:space="0"/>
            </w:tcBorders>
            <w:vAlign w:val="center"/>
          </w:tcPr>
          <w:p w14:paraId="3EEF892F">
            <w:pPr>
              <w:adjustRightInd w:val="0"/>
              <w:snapToGrid w:val="0"/>
              <w:spacing w:line="440" w:lineRule="exact"/>
              <w:ind w:firstLine="480" w:firstLineChars="200"/>
              <w:jc w:val="center"/>
              <w:rPr>
                <w:rFonts w:ascii="宋体" w:hAnsi="宋体" w:eastAsia="宋体" w:cs="宋体"/>
                <w:sz w:val="24"/>
                <w:szCs w:val="24"/>
              </w:rPr>
            </w:pPr>
            <w:r>
              <w:rPr>
                <w:rFonts w:hint="eastAsia" w:ascii="宋体" w:hAnsi="宋体" w:eastAsia="宋体" w:cs="宋体"/>
                <w:sz w:val="24"/>
                <w:szCs w:val="24"/>
              </w:rPr>
              <w:t>数量</w:t>
            </w:r>
          </w:p>
        </w:tc>
        <w:tc>
          <w:tcPr>
            <w:tcW w:w="2235" w:type="dxa"/>
            <w:tcBorders>
              <w:top w:val="single" w:color="auto" w:sz="4" w:space="0"/>
              <w:left w:val="single" w:color="auto" w:sz="4" w:space="0"/>
              <w:bottom w:val="single" w:color="auto" w:sz="4" w:space="0"/>
              <w:right w:val="single" w:color="auto" w:sz="4" w:space="0"/>
            </w:tcBorders>
            <w:vAlign w:val="center"/>
          </w:tcPr>
          <w:p w14:paraId="066E9A08">
            <w:pPr>
              <w:adjustRightInd w:val="0"/>
              <w:snapToGrid w:val="0"/>
              <w:spacing w:line="440" w:lineRule="exact"/>
              <w:ind w:firstLine="480" w:firstLineChars="200"/>
              <w:jc w:val="center"/>
              <w:rPr>
                <w:rFonts w:ascii="宋体" w:hAnsi="宋体" w:eastAsia="宋体" w:cs="宋体"/>
                <w:sz w:val="24"/>
                <w:szCs w:val="24"/>
              </w:rPr>
            </w:pPr>
            <w:r>
              <w:rPr>
                <w:rFonts w:hint="eastAsia" w:ascii="宋体" w:hAnsi="宋体" w:eastAsia="宋体" w:cs="宋体"/>
                <w:sz w:val="24"/>
                <w:szCs w:val="24"/>
              </w:rPr>
              <w:t>制造商</w:t>
            </w:r>
          </w:p>
        </w:tc>
      </w:tr>
      <w:tr w14:paraId="146CC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16" w:type="dxa"/>
            <w:tcBorders>
              <w:top w:val="single" w:color="auto" w:sz="4" w:space="0"/>
              <w:left w:val="single" w:color="auto" w:sz="4" w:space="0"/>
              <w:bottom w:val="single" w:color="auto" w:sz="4" w:space="0"/>
              <w:right w:val="single" w:color="auto" w:sz="4" w:space="0"/>
            </w:tcBorders>
            <w:vAlign w:val="center"/>
          </w:tcPr>
          <w:p w14:paraId="1B7006C8">
            <w:pPr>
              <w:adjustRightInd w:val="0"/>
              <w:snapToGrid w:val="0"/>
              <w:spacing w:line="440" w:lineRule="exact"/>
              <w:ind w:firstLine="480" w:firstLineChars="200"/>
              <w:jc w:val="center"/>
              <w:rPr>
                <w:rFonts w:ascii="宋体" w:hAnsi="宋体" w:eastAsia="宋体" w:cs="宋体"/>
                <w:sz w:val="24"/>
                <w:szCs w:val="24"/>
              </w:rPr>
            </w:pPr>
          </w:p>
        </w:tc>
        <w:tc>
          <w:tcPr>
            <w:tcW w:w="1924" w:type="dxa"/>
            <w:tcBorders>
              <w:top w:val="single" w:color="auto" w:sz="4" w:space="0"/>
              <w:left w:val="single" w:color="auto" w:sz="4" w:space="0"/>
              <w:bottom w:val="single" w:color="auto" w:sz="4" w:space="0"/>
              <w:right w:val="single" w:color="auto" w:sz="4" w:space="0"/>
            </w:tcBorders>
            <w:vAlign w:val="center"/>
          </w:tcPr>
          <w:p w14:paraId="33C0F22F">
            <w:pPr>
              <w:adjustRightInd w:val="0"/>
              <w:snapToGrid w:val="0"/>
              <w:spacing w:line="440" w:lineRule="exact"/>
              <w:ind w:firstLine="480" w:firstLineChars="200"/>
              <w:jc w:val="center"/>
              <w:rPr>
                <w:rFonts w:ascii="宋体" w:hAnsi="宋体" w:eastAsia="宋体" w:cs="宋体"/>
                <w:sz w:val="24"/>
                <w:szCs w:val="24"/>
              </w:rPr>
            </w:pPr>
          </w:p>
        </w:tc>
        <w:tc>
          <w:tcPr>
            <w:tcW w:w="1479" w:type="dxa"/>
            <w:tcBorders>
              <w:top w:val="single" w:color="auto" w:sz="4" w:space="0"/>
              <w:left w:val="single" w:color="auto" w:sz="4" w:space="0"/>
              <w:bottom w:val="single" w:color="auto" w:sz="4" w:space="0"/>
              <w:right w:val="single" w:color="auto" w:sz="4" w:space="0"/>
            </w:tcBorders>
            <w:vAlign w:val="center"/>
          </w:tcPr>
          <w:p w14:paraId="0C17D283">
            <w:pPr>
              <w:adjustRightInd w:val="0"/>
              <w:snapToGrid w:val="0"/>
              <w:spacing w:line="440" w:lineRule="exact"/>
              <w:ind w:firstLine="480" w:firstLineChars="200"/>
              <w:jc w:val="center"/>
              <w:rPr>
                <w:rFonts w:ascii="宋体" w:hAnsi="宋体" w:eastAsia="宋体" w:cs="宋体"/>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14:paraId="08F3B27A">
            <w:pPr>
              <w:adjustRightInd w:val="0"/>
              <w:snapToGrid w:val="0"/>
              <w:spacing w:line="440" w:lineRule="exact"/>
              <w:ind w:firstLine="480" w:firstLineChars="200"/>
              <w:jc w:val="center"/>
              <w:rPr>
                <w:rFonts w:ascii="宋体" w:hAnsi="宋体" w:eastAsia="宋体" w:cs="宋体"/>
                <w:sz w:val="24"/>
                <w:szCs w:val="24"/>
              </w:rPr>
            </w:pPr>
          </w:p>
        </w:tc>
        <w:tc>
          <w:tcPr>
            <w:tcW w:w="1361" w:type="dxa"/>
            <w:tcBorders>
              <w:top w:val="single" w:color="auto" w:sz="4" w:space="0"/>
              <w:left w:val="single" w:color="auto" w:sz="4" w:space="0"/>
              <w:bottom w:val="single" w:color="auto" w:sz="4" w:space="0"/>
              <w:right w:val="single" w:color="auto" w:sz="4" w:space="0"/>
            </w:tcBorders>
            <w:vAlign w:val="center"/>
          </w:tcPr>
          <w:p w14:paraId="08129F5B">
            <w:pPr>
              <w:adjustRightInd w:val="0"/>
              <w:snapToGrid w:val="0"/>
              <w:spacing w:line="440" w:lineRule="exact"/>
              <w:ind w:firstLine="480" w:firstLineChars="200"/>
              <w:jc w:val="center"/>
              <w:rPr>
                <w:rFonts w:ascii="宋体" w:hAnsi="宋体" w:eastAsia="宋体" w:cs="宋体"/>
                <w:sz w:val="24"/>
                <w:szCs w:val="24"/>
              </w:rPr>
            </w:pPr>
          </w:p>
        </w:tc>
        <w:tc>
          <w:tcPr>
            <w:tcW w:w="2235" w:type="dxa"/>
            <w:tcBorders>
              <w:top w:val="single" w:color="auto" w:sz="4" w:space="0"/>
              <w:left w:val="single" w:color="auto" w:sz="4" w:space="0"/>
              <w:bottom w:val="single" w:color="auto" w:sz="4" w:space="0"/>
              <w:right w:val="single" w:color="auto" w:sz="4" w:space="0"/>
            </w:tcBorders>
            <w:vAlign w:val="center"/>
          </w:tcPr>
          <w:p w14:paraId="4D781FE7">
            <w:pPr>
              <w:adjustRightInd w:val="0"/>
              <w:snapToGrid w:val="0"/>
              <w:spacing w:line="440" w:lineRule="exact"/>
              <w:ind w:firstLine="480" w:firstLineChars="200"/>
              <w:jc w:val="center"/>
              <w:rPr>
                <w:rFonts w:ascii="宋体" w:hAnsi="宋体" w:eastAsia="宋体" w:cs="宋体"/>
                <w:sz w:val="24"/>
                <w:szCs w:val="24"/>
              </w:rPr>
            </w:pPr>
          </w:p>
        </w:tc>
      </w:tr>
      <w:tr w14:paraId="0A9D7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16" w:type="dxa"/>
            <w:tcBorders>
              <w:top w:val="single" w:color="auto" w:sz="4" w:space="0"/>
              <w:left w:val="single" w:color="auto" w:sz="4" w:space="0"/>
              <w:bottom w:val="single" w:color="auto" w:sz="4" w:space="0"/>
              <w:right w:val="single" w:color="auto" w:sz="4" w:space="0"/>
            </w:tcBorders>
            <w:vAlign w:val="center"/>
          </w:tcPr>
          <w:p w14:paraId="2B92E726">
            <w:pPr>
              <w:adjustRightInd w:val="0"/>
              <w:snapToGrid w:val="0"/>
              <w:spacing w:line="440" w:lineRule="exact"/>
              <w:ind w:firstLine="480" w:firstLineChars="200"/>
              <w:jc w:val="center"/>
              <w:rPr>
                <w:rFonts w:ascii="宋体" w:hAnsi="宋体" w:eastAsia="宋体" w:cs="宋体"/>
                <w:sz w:val="24"/>
                <w:szCs w:val="24"/>
              </w:rPr>
            </w:pPr>
          </w:p>
        </w:tc>
        <w:tc>
          <w:tcPr>
            <w:tcW w:w="1924" w:type="dxa"/>
            <w:tcBorders>
              <w:top w:val="single" w:color="auto" w:sz="4" w:space="0"/>
              <w:left w:val="single" w:color="auto" w:sz="4" w:space="0"/>
              <w:bottom w:val="single" w:color="auto" w:sz="4" w:space="0"/>
              <w:right w:val="single" w:color="auto" w:sz="4" w:space="0"/>
            </w:tcBorders>
            <w:vAlign w:val="center"/>
          </w:tcPr>
          <w:p w14:paraId="3DBA6483">
            <w:pPr>
              <w:adjustRightInd w:val="0"/>
              <w:snapToGrid w:val="0"/>
              <w:spacing w:line="440" w:lineRule="exact"/>
              <w:ind w:firstLine="480" w:firstLineChars="200"/>
              <w:jc w:val="center"/>
              <w:rPr>
                <w:rFonts w:ascii="宋体" w:hAnsi="宋体" w:eastAsia="宋体" w:cs="宋体"/>
                <w:sz w:val="24"/>
                <w:szCs w:val="24"/>
              </w:rPr>
            </w:pPr>
          </w:p>
        </w:tc>
        <w:tc>
          <w:tcPr>
            <w:tcW w:w="1479" w:type="dxa"/>
            <w:tcBorders>
              <w:top w:val="single" w:color="auto" w:sz="4" w:space="0"/>
              <w:left w:val="single" w:color="auto" w:sz="4" w:space="0"/>
              <w:bottom w:val="single" w:color="auto" w:sz="4" w:space="0"/>
              <w:right w:val="single" w:color="auto" w:sz="4" w:space="0"/>
            </w:tcBorders>
            <w:vAlign w:val="center"/>
          </w:tcPr>
          <w:p w14:paraId="32AEC8E9">
            <w:pPr>
              <w:adjustRightInd w:val="0"/>
              <w:snapToGrid w:val="0"/>
              <w:spacing w:line="440" w:lineRule="exact"/>
              <w:ind w:firstLine="480" w:firstLineChars="200"/>
              <w:jc w:val="center"/>
              <w:rPr>
                <w:rFonts w:ascii="宋体" w:hAnsi="宋体" w:eastAsia="宋体" w:cs="宋体"/>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14:paraId="765E6BE2">
            <w:pPr>
              <w:adjustRightInd w:val="0"/>
              <w:snapToGrid w:val="0"/>
              <w:spacing w:line="440" w:lineRule="exact"/>
              <w:ind w:firstLine="480" w:firstLineChars="200"/>
              <w:jc w:val="center"/>
              <w:rPr>
                <w:rFonts w:ascii="宋体" w:hAnsi="宋体" w:eastAsia="宋体" w:cs="宋体"/>
                <w:sz w:val="24"/>
                <w:szCs w:val="24"/>
              </w:rPr>
            </w:pPr>
          </w:p>
        </w:tc>
        <w:tc>
          <w:tcPr>
            <w:tcW w:w="1361" w:type="dxa"/>
            <w:tcBorders>
              <w:top w:val="single" w:color="auto" w:sz="4" w:space="0"/>
              <w:left w:val="single" w:color="auto" w:sz="4" w:space="0"/>
              <w:bottom w:val="single" w:color="auto" w:sz="4" w:space="0"/>
              <w:right w:val="single" w:color="auto" w:sz="4" w:space="0"/>
            </w:tcBorders>
            <w:vAlign w:val="center"/>
          </w:tcPr>
          <w:p w14:paraId="1F5DA3C1">
            <w:pPr>
              <w:adjustRightInd w:val="0"/>
              <w:snapToGrid w:val="0"/>
              <w:spacing w:line="440" w:lineRule="exact"/>
              <w:ind w:firstLine="480" w:firstLineChars="200"/>
              <w:jc w:val="center"/>
              <w:rPr>
                <w:rFonts w:ascii="宋体" w:hAnsi="宋体" w:eastAsia="宋体" w:cs="宋体"/>
                <w:sz w:val="24"/>
                <w:szCs w:val="24"/>
              </w:rPr>
            </w:pPr>
          </w:p>
        </w:tc>
        <w:tc>
          <w:tcPr>
            <w:tcW w:w="2235" w:type="dxa"/>
            <w:tcBorders>
              <w:top w:val="single" w:color="auto" w:sz="4" w:space="0"/>
              <w:left w:val="single" w:color="auto" w:sz="4" w:space="0"/>
              <w:bottom w:val="single" w:color="auto" w:sz="4" w:space="0"/>
              <w:right w:val="single" w:color="auto" w:sz="4" w:space="0"/>
            </w:tcBorders>
            <w:vAlign w:val="center"/>
          </w:tcPr>
          <w:p w14:paraId="665FF741">
            <w:pPr>
              <w:adjustRightInd w:val="0"/>
              <w:snapToGrid w:val="0"/>
              <w:spacing w:line="440" w:lineRule="exact"/>
              <w:ind w:firstLine="480" w:firstLineChars="200"/>
              <w:jc w:val="center"/>
              <w:rPr>
                <w:rFonts w:ascii="宋体" w:hAnsi="宋体" w:eastAsia="宋体" w:cs="宋体"/>
                <w:sz w:val="24"/>
                <w:szCs w:val="24"/>
              </w:rPr>
            </w:pPr>
          </w:p>
        </w:tc>
      </w:tr>
      <w:tr w14:paraId="0F168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16" w:type="dxa"/>
            <w:tcBorders>
              <w:top w:val="single" w:color="auto" w:sz="4" w:space="0"/>
              <w:left w:val="single" w:color="auto" w:sz="4" w:space="0"/>
              <w:bottom w:val="single" w:color="auto" w:sz="4" w:space="0"/>
              <w:right w:val="single" w:color="auto" w:sz="4" w:space="0"/>
            </w:tcBorders>
            <w:vAlign w:val="center"/>
          </w:tcPr>
          <w:p w14:paraId="5616DCC3">
            <w:pPr>
              <w:adjustRightInd w:val="0"/>
              <w:snapToGrid w:val="0"/>
              <w:spacing w:line="440" w:lineRule="exact"/>
              <w:ind w:firstLine="480" w:firstLineChars="200"/>
              <w:jc w:val="center"/>
              <w:rPr>
                <w:rFonts w:ascii="宋体" w:hAnsi="宋体" w:eastAsia="宋体" w:cs="宋体"/>
                <w:sz w:val="24"/>
                <w:szCs w:val="24"/>
              </w:rPr>
            </w:pPr>
          </w:p>
        </w:tc>
        <w:tc>
          <w:tcPr>
            <w:tcW w:w="1924" w:type="dxa"/>
            <w:tcBorders>
              <w:top w:val="single" w:color="auto" w:sz="4" w:space="0"/>
              <w:left w:val="single" w:color="auto" w:sz="4" w:space="0"/>
              <w:bottom w:val="single" w:color="auto" w:sz="4" w:space="0"/>
              <w:right w:val="single" w:color="auto" w:sz="4" w:space="0"/>
            </w:tcBorders>
            <w:vAlign w:val="center"/>
          </w:tcPr>
          <w:p w14:paraId="461FFCF5">
            <w:pPr>
              <w:adjustRightInd w:val="0"/>
              <w:snapToGrid w:val="0"/>
              <w:spacing w:line="440" w:lineRule="exact"/>
              <w:ind w:firstLine="480" w:firstLineChars="200"/>
              <w:jc w:val="center"/>
              <w:rPr>
                <w:rFonts w:ascii="宋体" w:hAnsi="宋体" w:eastAsia="宋体" w:cs="宋体"/>
                <w:sz w:val="24"/>
                <w:szCs w:val="24"/>
              </w:rPr>
            </w:pPr>
          </w:p>
        </w:tc>
        <w:tc>
          <w:tcPr>
            <w:tcW w:w="1479" w:type="dxa"/>
            <w:tcBorders>
              <w:top w:val="single" w:color="auto" w:sz="4" w:space="0"/>
              <w:left w:val="single" w:color="auto" w:sz="4" w:space="0"/>
              <w:bottom w:val="single" w:color="auto" w:sz="4" w:space="0"/>
              <w:right w:val="single" w:color="auto" w:sz="4" w:space="0"/>
            </w:tcBorders>
            <w:vAlign w:val="center"/>
          </w:tcPr>
          <w:p w14:paraId="54380DDB">
            <w:pPr>
              <w:adjustRightInd w:val="0"/>
              <w:snapToGrid w:val="0"/>
              <w:spacing w:line="440" w:lineRule="exact"/>
              <w:ind w:firstLine="480" w:firstLineChars="200"/>
              <w:jc w:val="center"/>
              <w:rPr>
                <w:rFonts w:ascii="宋体" w:hAnsi="宋体" w:eastAsia="宋体" w:cs="宋体"/>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14:paraId="05787602">
            <w:pPr>
              <w:adjustRightInd w:val="0"/>
              <w:snapToGrid w:val="0"/>
              <w:spacing w:line="440" w:lineRule="exact"/>
              <w:ind w:firstLine="480" w:firstLineChars="200"/>
              <w:jc w:val="center"/>
              <w:rPr>
                <w:rFonts w:ascii="宋体" w:hAnsi="宋体" w:eastAsia="宋体" w:cs="宋体"/>
                <w:sz w:val="24"/>
                <w:szCs w:val="24"/>
              </w:rPr>
            </w:pPr>
          </w:p>
        </w:tc>
        <w:tc>
          <w:tcPr>
            <w:tcW w:w="1361" w:type="dxa"/>
            <w:tcBorders>
              <w:top w:val="single" w:color="auto" w:sz="4" w:space="0"/>
              <w:left w:val="single" w:color="auto" w:sz="4" w:space="0"/>
              <w:bottom w:val="single" w:color="auto" w:sz="4" w:space="0"/>
              <w:right w:val="single" w:color="auto" w:sz="4" w:space="0"/>
            </w:tcBorders>
            <w:vAlign w:val="center"/>
          </w:tcPr>
          <w:p w14:paraId="7953F055">
            <w:pPr>
              <w:adjustRightInd w:val="0"/>
              <w:snapToGrid w:val="0"/>
              <w:spacing w:line="440" w:lineRule="exact"/>
              <w:ind w:firstLine="480" w:firstLineChars="200"/>
              <w:jc w:val="center"/>
              <w:rPr>
                <w:rFonts w:ascii="宋体" w:hAnsi="宋体" w:eastAsia="宋体" w:cs="宋体"/>
                <w:sz w:val="24"/>
                <w:szCs w:val="24"/>
              </w:rPr>
            </w:pPr>
          </w:p>
        </w:tc>
        <w:tc>
          <w:tcPr>
            <w:tcW w:w="2235" w:type="dxa"/>
            <w:tcBorders>
              <w:top w:val="single" w:color="auto" w:sz="4" w:space="0"/>
              <w:left w:val="single" w:color="auto" w:sz="4" w:space="0"/>
              <w:bottom w:val="single" w:color="auto" w:sz="4" w:space="0"/>
              <w:right w:val="single" w:color="auto" w:sz="4" w:space="0"/>
            </w:tcBorders>
            <w:vAlign w:val="center"/>
          </w:tcPr>
          <w:p w14:paraId="2437E345">
            <w:pPr>
              <w:adjustRightInd w:val="0"/>
              <w:snapToGrid w:val="0"/>
              <w:spacing w:line="440" w:lineRule="exact"/>
              <w:ind w:firstLine="480" w:firstLineChars="200"/>
              <w:jc w:val="center"/>
              <w:rPr>
                <w:rFonts w:ascii="宋体" w:hAnsi="宋体" w:eastAsia="宋体" w:cs="宋体"/>
                <w:sz w:val="24"/>
                <w:szCs w:val="24"/>
              </w:rPr>
            </w:pPr>
          </w:p>
        </w:tc>
      </w:tr>
      <w:tr w14:paraId="5D379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16" w:type="dxa"/>
            <w:tcBorders>
              <w:top w:val="single" w:color="auto" w:sz="4" w:space="0"/>
              <w:left w:val="single" w:color="auto" w:sz="4" w:space="0"/>
              <w:bottom w:val="single" w:color="auto" w:sz="4" w:space="0"/>
              <w:right w:val="single" w:color="auto" w:sz="4" w:space="0"/>
            </w:tcBorders>
            <w:vAlign w:val="center"/>
          </w:tcPr>
          <w:p w14:paraId="6D6903AF">
            <w:pPr>
              <w:adjustRightInd w:val="0"/>
              <w:snapToGrid w:val="0"/>
              <w:spacing w:line="440" w:lineRule="exact"/>
              <w:ind w:firstLine="480" w:firstLineChars="200"/>
              <w:jc w:val="center"/>
              <w:rPr>
                <w:rFonts w:ascii="宋体" w:hAnsi="宋体" w:eastAsia="宋体" w:cs="宋体"/>
                <w:sz w:val="24"/>
                <w:szCs w:val="24"/>
              </w:rPr>
            </w:pPr>
          </w:p>
        </w:tc>
        <w:tc>
          <w:tcPr>
            <w:tcW w:w="1924" w:type="dxa"/>
            <w:tcBorders>
              <w:top w:val="single" w:color="auto" w:sz="4" w:space="0"/>
              <w:left w:val="single" w:color="auto" w:sz="4" w:space="0"/>
              <w:bottom w:val="single" w:color="auto" w:sz="4" w:space="0"/>
              <w:right w:val="single" w:color="auto" w:sz="4" w:space="0"/>
            </w:tcBorders>
            <w:vAlign w:val="center"/>
          </w:tcPr>
          <w:p w14:paraId="70BF3A72">
            <w:pPr>
              <w:adjustRightInd w:val="0"/>
              <w:snapToGrid w:val="0"/>
              <w:spacing w:line="440" w:lineRule="exact"/>
              <w:ind w:firstLine="480" w:firstLineChars="200"/>
              <w:jc w:val="center"/>
              <w:rPr>
                <w:rFonts w:ascii="宋体" w:hAnsi="宋体" w:eastAsia="宋体" w:cs="宋体"/>
                <w:sz w:val="24"/>
                <w:szCs w:val="24"/>
              </w:rPr>
            </w:pPr>
          </w:p>
        </w:tc>
        <w:tc>
          <w:tcPr>
            <w:tcW w:w="1479" w:type="dxa"/>
            <w:tcBorders>
              <w:top w:val="single" w:color="auto" w:sz="4" w:space="0"/>
              <w:left w:val="single" w:color="auto" w:sz="4" w:space="0"/>
              <w:bottom w:val="single" w:color="auto" w:sz="4" w:space="0"/>
              <w:right w:val="single" w:color="auto" w:sz="4" w:space="0"/>
            </w:tcBorders>
            <w:vAlign w:val="center"/>
          </w:tcPr>
          <w:p w14:paraId="73321A93">
            <w:pPr>
              <w:adjustRightInd w:val="0"/>
              <w:snapToGrid w:val="0"/>
              <w:spacing w:line="440" w:lineRule="exact"/>
              <w:ind w:firstLine="480" w:firstLineChars="200"/>
              <w:jc w:val="center"/>
              <w:rPr>
                <w:rFonts w:ascii="宋体" w:hAnsi="宋体" w:eastAsia="宋体" w:cs="宋体"/>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14:paraId="643280A5">
            <w:pPr>
              <w:adjustRightInd w:val="0"/>
              <w:snapToGrid w:val="0"/>
              <w:spacing w:line="440" w:lineRule="exact"/>
              <w:ind w:firstLine="480" w:firstLineChars="200"/>
              <w:jc w:val="center"/>
              <w:rPr>
                <w:rFonts w:ascii="宋体" w:hAnsi="宋体" w:eastAsia="宋体" w:cs="宋体"/>
                <w:sz w:val="24"/>
                <w:szCs w:val="24"/>
              </w:rPr>
            </w:pPr>
          </w:p>
        </w:tc>
        <w:tc>
          <w:tcPr>
            <w:tcW w:w="1361" w:type="dxa"/>
            <w:tcBorders>
              <w:top w:val="single" w:color="auto" w:sz="4" w:space="0"/>
              <w:left w:val="single" w:color="auto" w:sz="4" w:space="0"/>
              <w:bottom w:val="single" w:color="auto" w:sz="4" w:space="0"/>
              <w:right w:val="single" w:color="auto" w:sz="4" w:space="0"/>
            </w:tcBorders>
            <w:vAlign w:val="center"/>
          </w:tcPr>
          <w:p w14:paraId="007E34E7">
            <w:pPr>
              <w:adjustRightInd w:val="0"/>
              <w:snapToGrid w:val="0"/>
              <w:spacing w:line="440" w:lineRule="exact"/>
              <w:ind w:firstLine="480" w:firstLineChars="200"/>
              <w:jc w:val="center"/>
              <w:rPr>
                <w:rFonts w:ascii="宋体" w:hAnsi="宋体" w:eastAsia="宋体" w:cs="宋体"/>
                <w:sz w:val="24"/>
                <w:szCs w:val="24"/>
              </w:rPr>
            </w:pPr>
          </w:p>
        </w:tc>
        <w:tc>
          <w:tcPr>
            <w:tcW w:w="2235" w:type="dxa"/>
            <w:tcBorders>
              <w:top w:val="single" w:color="auto" w:sz="4" w:space="0"/>
              <w:left w:val="single" w:color="auto" w:sz="4" w:space="0"/>
              <w:bottom w:val="single" w:color="auto" w:sz="4" w:space="0"/>
              <w:right w:val="single" w:color="auto" w:sz="4" w:space="0"/>
            </w:tcBorders>
            <w:vAlign w:val="center"/>
          </w:tcPr>
          <w:p w14:paraId="04C0382C">
            <w:pPr>
              <w:adjustRightInd w:val="0"/>
              <w:snapToGrid w:val="0"/>
              <w:spacing w:line="440" w:lineRule="exact"/>
              <w:ind w:firstLine="480" w:firstLineChars="200"/>
              <w:jc w:val="center"/>
              <w:rPr>
                <w:rFonts w:ascii="宋体" w:hAnsi="宋体" w:eastAsia="宋体" w:cs="宋体"/>
                <w:sz w:val="24"/>
                <w:szCs w:val="24"/>
              </w:rPr>
            </w:pPr>
          </w:p>
        </w:tc>
      </w:tr>
      <w:tr w14:paraId="3463A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16" w:type="dxa"/>
            <w:tcBorders>
              <w:top w:val="single" w:color="auto" w:sz="4" w:space="0"/>
              <w:left w:val="single" w:color="auto" w:sz="4" w:space="0"/>
              <w:bottom w:val="single" w:color="auto" w:sz="4" w:space="0"/>
              <w:right w:val="single" w:color="auto" w:sz="4" w:space="0"/>
            </w:tcBorders>
            <w:vAlign w:val="center"/>
          </w:tcPr>
          <w:p w14:paraId="37B263A0">
            <w:pPr>
              <w:adjustRightInd w:val="0"/>
              <w:snapToGrid w:val="0"/>
              <w:spacing w:line="440" w:lineRule="exact"/>
              <w:ind w:firstLine="480" w:firstLineChars="200"/>
              <w:jc w:val="center"/>
              <w:rPr>
                <w:rFonts w:ascii="宋体" w:hAnsi="宋体" w:eastAsia="宋体" w:cs="宋体"/>
                <w:sz w:val="24"/>
                <w:szCs w:val="24"/>
              </w:rPr>
            </w:pPr>
          </w:p>
        </w:tc>
        <w:tc>
          <w:tcPr>
            <w:tcW w:w="1924" w:type="dxa"/>
            <w:tcBorders>
              <w:top w:val="single" w:color="auto" w:sz="4" w:space="0"/>
              <w:left w:val="single" w:color="auto" w:sz="4" w:space="0"/>
              <w:bottom w:val="single" w:color="auto" w:sz="4" w:space="0"/>
              <w:right w:val="single" w:color="auto" w:sz="4" w:space="0"/>
            </w:tcBorders>
            <w:vAlign w:val="center"/>
          </w:tcPr>
          <w:p w14:paraId="51A4D441">
            <w:pPr>
              <w:adjustRightInd w:val="0"/>
              <w:snapToGrid w:val="0"/>
              <w:spacing w:line="440" w:lineRule="exact"/>
              <w:ind w:firstLine="480" w:firstLineChars="200"/>
              <w:jc w:val="center"/>
              <w:rPr>
                <w:rFonts w:ascii="宋体" w:hAnsi="宋体" w:eastAsia="宋体" w:cs="宋体"/>
                <w:sz w:val="24"/>
                <w:szCs w:val="24"/>
              </w:rPr>
            </w:pPr>
          </w:p>
        </w:tc>
        <w:tc>
          <w:tcPr>
            <w:tcW w:w="1479" w:type="dxa"/>
            <w:tcBorders>
              <w:top w:val="single" w:color="auto" w:sz="4" w:space="0"/>
              <w:left w:val="single" w:color="auto" w:sz="4" w:space="0"/>
              <w:bottom w:val="single" w:color="auto" w:sz="4" w:space="0"/>
              <w:right w:val="single" w:color="auto" w:sz="4" w:space="0"/>
            </w:tcBorders>
            <w:vAlign w:val="center"/>
          </w:tcPr>
          <w:p w14:paraId="3B6FA75E">
            <w:pPr>
              <w:adjustRightInd w:val="0"/>
              <w:snapToGrid w:val="0"/>
              <w:spacing w:line="440" w:lineRule="exact"/>
              <w:ind w:firstLine="480" w:firstLineChars="200"/>
              <w:jc w:val="center"/>
              <w:rPr>
                <w:rFonts w:ascii="宋体" w:hAnsi="宋体" w:eastAsia="宋体" w:cs="宋体"/>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14:paraId="45748E40">
            <w:pPr>
              <w:adjustRightInd w:val="0"/>
              <w:snapToGrid w:val="0"/>
              <w:spacing w:line="440" w:lineRule="exact"/>
              <w:ind w:firstLine="480" w:firstLineChars="200"/>
              <w:jc w:val="center"/>
              <w:rPr>
                <w:rFonts w:ascii="宋体" w:hAnsi="宋体" w:eastAsia="宋体" w:cs="宋体"/>
                <w:sz w:val="24"/>
                <w:szCs w:val="24"/>
              </w:rPr>
            </w:pPr>
          </w:p>
        </w:tc>
        <w:tc>
          <w:tcPr>
            <w:tcW w:w="1361" w:type="dxa"/>
            <w:tcBorders>
              <w:top w:val="single" w:color="auto" w:sz="4" w:space="0"/>
              <w:left w:val="single" w:color="auto" w:sz="4" w:space="0"/>
              <w:bottom w:val="single" w:color="auto" w:sz="4" w:space="0"/>
              <w:right w:val="single" w:color="auto" w:sz="4" w:space="0"/>
            </w:tcBorders>
            <w:vAlign w:val="center"/>
          </w:tcPr>
          <w:p w14:paraId="23820392">
            <w:pPr>
              <w:adjustRightInd w:val="0"/>
              <w:snapToGrid w:val="0"/>
              <w:spacing w:line="440" w:lineRule="exact"/>
              <w:ind w:firstLine="480" w:firstLineChars="200"/>
              <w:jc w:val="center"/>
              <w:rPr>
                <w:rFonts w:ascii="宋体" w:hAnsi="宋体" w:eastAsia="宋体" w:cs="宋体"/>
                <w:sz w:val="24"/>
                <w:szCs w:val="24"/>
              </w:rPr>
            </w:pPr>
          </w:p>
        </w:tc>
        <w:tc>
          <w:tcPr>
            <w:tcW w:w="2235" w:type="dxa"/>
            <w:tcBorders>
              <w:top w:val="single" w:color="auto" w:sz="4" w:space="0"/>
              <w:left w:val="single" w:color="auto" w:sz="4" w:space="0"/>
              <w:bottom w:val="single" w:color="auto" w:sz="4" w:space="0"/>
              <w:right w:val="single" w:color="auto" w:sz="4" w:space="0"/>
            </w:tcBorders>
            <w:vAlign w:val="center"/>
          </w:tcPr>
          <w:p w14:paraId="4DCFB51B">
            <w:pPr>
              <w:adjustRightInd w:val="0"/>
              <w:snapToGrid w:val="0"/>
              <w:spacing w:line="440" w:lineRule="exact"/>
              <w:ind w:firstLine="480" w:firstLineChars="200"/>
              <w:jc w:val="center"/>
              <w:rPr>
                <w:rFonts w:ascii="宋体" w:hAnsi="宋体" w:eastAsia="宋体" w:cs="宋体"/>
                <w:sz w:val="24"/>
                <w:szCs w:val="24"/>
              </w:rPr>
            </w:pPr>
          </w:p>
        </w:tc>
      </w:tr>
      <w:tr w14:paraId="61B3E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16" w:type="dxa"/>
            <w:tcBorders>
              <w:top w:val="single" w:color="auto" w:sz="4" w:space="0"/>
              <w:left w:val="single" w:color="auto" w:sz="4" w:space="0"/>
              <w:bottom w:val="single" w:color="auto" w:sz="4" w:space="0"/>
              <w:right w:val="single" w:color="auto" w:sz="4" w:space="0"/>
            </w:tcBorders>
            <w:vAlign w:val="center"/>
          </w:tcPr>
          <w:p w14:paraId="6E339D84">
            <w:pPr>
              <w:adjustRightInd w:val="0"/>
              <w:snapToGrid w:val="0"/>
              <w:spacing w:line="440" w:lineRule="exact"/>
              <w:ind w:firstLine="480" w:firstLineChars="200"/>
              <w:jc w:val="center"/>
              <w:rPr>
                <w:rFonts w:ascii="宋体" w:hAnsi="宋体" w:eastAsia="宋体" w:cs="宋体"/>
                <w:sz w:val="24"/>
                <w:szCs w:val="24"/>
              </w:rPr>
            </w:pPr>
          </w:p>
        </w:tc>
        <w:tc>
          <w:tcPr>
            <w:tcW w:w="1924" w:type="dxa"/>
            <w:tcBorders>
              <w:top w:val="single" w:color="auto" w:sz="4" w:space="0"/>
              <w:left w:val="single" w:color="auto" w:sz="4" w:space="0"/>
              <w:bottom w:val="single" w:color="auto" w:sz="4" w:space="0"/>
              <w:right w:val="single" w:color="auto" w:sz="4" w:space="0"/>
            </w:tcBorders>
            <w:vAlign w:val="center"/>
          </w:tcPr>
          <w:p w14:paraId="4D2ECF22">
            <w:pPr>
              <w:adjustRightInd w:val="0"/>
              <w:snapToGrid w:val="0"/>
              <w:spacing w:line="440" w:lineRule="exact"/>
              <w:ind w:firstLine="480" w:firstLineChars="200"/>
              <w:jc w:val="center"/>
              <w:rPr>
                <w:rFonts w:ascii="宋体" w:hAnsi="宋体" w:eastAsia="宋体" w:cs="宋体"/>
                <w:sz w:val="24"/>
                <w:szCs w:val="24"/>
              </w:rPr>
            </w:pPr>
          </w:p>
        </w:tc>
        <w:tc>
          <w:tcPr>
            <w:tcW w:w="1479" w:type="dxa"/>
            <w:tcBorders>
              <w:top w:val="single" w:color="auto" w:sz="4" w:space="0"/>
              <w:left w:val="single" w:color="auto" w:sz="4" w:space="0"/>
              <w:bottom w:val="single" w:color="auto" w:sz="4" w:space="0"/>
              <w:right w:val="single" w:color="auto" w:sz="4" w:space="0"/>
            </w:tcBorders>
            <w:vAlign w:val="center"/>
          </w:tcPr>
          <w:p w14:paraId="17CD20B3">
            <w:pPr>
              <w:adjustRightInd w:val="0"/>
              <w:snapToGrid w:val="0"/>
              <w:spacing w:line="440" w:lineRule="exact"/>
              <w:ind w:firstLine="480" w:firstLineChars="200"/>
              <w:jc w:val="center"/>
              <w:rPr>
                <w:rFonts w:ascii="宋体" w:hAnsi="宋体" w:eastAsia="宋体" w:cs="宋体"/>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14:paraId="336C223C">
            <w:pPr>
              <w:adjustRightInd w:val="0"/>
              <w:snapToGrid w:val="0"/>
              <w:spacing w:line="440" w:lineRule="exact"/>
              <w:ind w:firstLine="480" w:firstLineChars="200"/>
              <w:jc w:val="center"/>
              <w:rPr>
                <w:rFonts w:ascii="宋体" w:hAnsi="宋体" w:eastAsia="宋体" w:cs="宋体"/>
                <w:sz w:val="24"/>
                <w:szCs w:val="24"/>
              </w:rPr>
            </w:pPr>
          </w:p>
        </w:tc>
        <w:tc>
          <w:tcPr>
            <w:tcW w:w="1361" w:type="dxa"/>
            <w:tcBorders>
              <w:top w:val="single" w:color="auto" w:sz="4" w:space="0"/>
              <w:left w:val="single" w:color="auto" w:sz="4" w:space="0"/>
              <w:bottom w:val="single" w:color="auto" w:sz="4" w:space="0"/>
              <w:right w:val="single" w:color="auto" w:sz="4" w:space="0"/>
            </w:tcBorders>
            <w:vAlign w:val="center"/>
          </w:tcPr>
          <w:p w14:paraId="566A1BE8">
            <w:pPr>
              <w:adjustRightInd w:val="0"/>
              <w:snapToGrid w:val="0"/>
              <w:spacing w:line="440" w:lineRule="exact"/>
              <w:ind w:firstLine="480" w:firstLineChars="200"/>
              <w:jc w:val="center"/>
              <w:rPr>
                <w:rFonts w:ascii="宋体" w:hAnsi="宋体" w:eastAsia="宋体" w:cs="宋体"/>
                <w:sz w:val="24"/>
                <w:szCs w:val="24"/>
              </w:rPr>
            </w:pPr>
          </w:p>
        </w:tc>
        <w:tc>
          <w:tcPr>
            <w:tcW w:w="2235" w:type="dxa"/>
            <w:tcBorders>
              <w:top w:val="single" w:color="auto" w:sz="4" w:space="0"/>
              <w:left w:val="single" w:color="auto" w:sz="4" w:space="0"/>
              <w:bottom w:val="single" w:color="auto" w:sz="4" w:space="0"/>
              <w:right w:val="single" w:color="auto" w:sz="4" w:space="0"/>
            </w:tcBorders>
            <w:vAlign w:val="center"/>
          </w:tcPr>
          <w:p w14:paraId="3FBD7164">
            <w:pPr>
              <w:adjustRightInd w:val="0"/>
              <w:snapToGrid w:val="0"/>
              <w:spacing w:line="440" w:lineRule="exact"/>
              <w:ind w:firstLine="480" w:firstLineChars="200"/>
              <w:jc w:val="center"/>
              <w:rPr>
                <w:rFonts w:ascii="宋体" w:hAnsi="宋体" w:eastAsia="宋体" w:cs="宋体"/>
                <w:sz w:val="24"/>
                <w:szCs w:val="24"/>
              </w:rPr>
            </w:pPr>
          </w:p>
        </w:tc>
      </w:tr>
    </w:tbl>
    <w:p w14:paraId="4DEDB0FB">
      <w:pPr>
        <w:pStyle w:val="133"/>
        <w:numPr>
          <w:ilvl w:val="2"/>
          <w:numId w:val="51"/>
        </w:numPr>
        <w:adjustRightInd w:val="0"/>
        <w:snapToGrid w:val="0"/>
        <w:spacing w:line="440" w:lineRule="exact"/>
        <w:ind w:left="993" w:firstLineChars="0"/>
        <w:rPr>
          <w:rFonts w:ascii="宋体" w:hAnsi="宋体" w:eastAsia="宋体" w:cs="宋体"/>
          <w:sz w:val="24"/>
          <w:szCs w:val="24"/>
        </w:rPr>
      </w:pPr>
      <w:r>
        <w:rPr>
          <w:rFonts w:hint="eastAsia" w:ascii="宋体" w:hAnsi="宋体" w:eastAsia="宋体" w:cs="宋体"/>
          <w:sz w:val="24"/>
          <w:szCs w:val="24"/>
        </w:rPr>
        <w:t>投标货物（或生产线）材料一览表：</w:t>
      </w:r>
    </w:p>
    <w:p w14:paraId="32AB70C4">
      <w:pPr>
        <w:adjustRightInd w:val="0"/>
        <w:snapToGrid w:val="0"/>
        <w:spacing w:line="440" w:lineRule="exact"/>
        <w:ind w:firstLine="2160" w:firstLineChars="900"/>
        <w:rPr>
          <w:rFonts w:ascii="宋体" w:hAnsi="宋体" w:eastAsia="宋体" w:cs="宋体"/>
          <w:sz w:val="24"/>
          <w:szCs w:val="24"/>
        </w:rPr>
      </w:pPr>
      <w:r>
        <w:rPr>
          <w:rFonts w:hint="eastAsia" w:ascii="宋体" w:hAnsi="宋体" w:eastAsia="宋体" w:cs="宋体"/>
          <w:sz w:val="24"/>
          <w:szCs w:val="24"/>
        </w:rPr>
        <w:t xml:space="preserve">投标货物（或生产线）材料一览表                </w:t>
      </w:r>
    </w:p>
    <w:tbl>
      <w:tblPr>
        <w:tblStyle w:val="4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1924"/>
        <w:gridCol w:w="1479"/>
        <w:gridCol w:w="1276"/>
        <w:gridCol w:w="1361"/>
        <w:gridCol w:w="2235"/>
      </w:tblGrid>
      <w:tr w14:paraId="04612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16" w:type="dxa"/>
            <w:tcBorders>
              <w:top w:val="single" w:color="auto" w:sz="4" w:space="0"/>
              <w:left w:val="single" w:color="auto" w:sz="4" w:space="0"/>
              <w:bottom w:val="single" w:color="auto" w:sz="4" w:space="0"/>
              <w:right w:val="single" w:color="auto" w:sz="4" w:space="0"/>
            </w:tcBorders>
            <w:vAlign w:val="center"/>
          </w:tcPr>
          <w:p w14:paraId="7611D209">
            <w:pPr>
              <w:adjustRightInd w:val="0"/>
              <w:snapToGrid w:val="0"/>
              <w:spacing w:line="440" w:lineRule="exact"/>
              <w:jc w:val="center"/>
              <w:rPr>
                <w:rFonts w:ascii="宋体" w:hAnsi="宋体" w:eastAsia="宋体" w:cs="宋体"/>
                <w:sz w:val="24"/>
                <w:szCs w:val="24"/>
              </w:rPr>
            </w:pPr>
            <w:r>
              <w:rPr>
                <w:rFonts w:hint="eastAsia" w:ascii="宋体" w:hAnsi="宋体" w:eastAsia="宋体" w:cs="宋体"/>
                <w:sz w:val="24"/>
                <w:szCs w:val="24"/>
              </w:rPr>
              <w:t>序号</w:t>
            </w:r>
          </w:p>
        </w:tc>
        <w:tc>
          <w:tcPr>
            <w:tcW w:w="1924" w:type="dxa"/>
            <w:tcBorders>
              <w:top w:val="single" w:color="auto" w:sz="4" w:space="0"/>
              <w:left w:val="single" w:color="auto" w:sz="4" w:space="0"/>
              <w:bottom w:val="single" w:color="auto" w:sz="4" w:space="0"/>
              <w:right w:val="single" w:color="auto" w:sz="4" w:space="0"/>
            </w:tcBorders>
            <w:vAlign w:val="center"/>
          </w:tcPr>
          <w:p w14:paraId="24B3A45F">
            <w:pPr>
              <w:adjustRightInd w:val="0"/>
              <w:snapToGrid w:val="0"/>
              <w:spacing w:line="440" w:lineRule="exact"/>
              <w:ind w:firstLine="480" w:firstLineChars="200"/>
              <w:jc w:val="center"/>
              <w:rPr>
                <w:rFonts w:ascii="宋体" w:hAnsi="宋体" w:eastAsia="宋体" w:cs="宋体"/>
                <w:sz w:val="24"/>
                <w:szCs w:val="24"/>
              </w:rPr>
            </w:pPr>
            <w:r>
              <w:rPr>
                <w:rFonts w:hint="eastAsia" w:ascii="宋体" w:hAnsi="宋体" w:eastAsia="宋体" w:cs="宋体"/>
                <w:sz w:val="24"/>
                <w:szCs w:val="24"/>
              </w:rPr>
              <w:t>名称</w:t>
            </w:r>
          </w:p>
        </w:tc>
        <w:tc>
          <w:tcPr>
            <w:tcW w:w="1479" w:type="dxa"/>
            <w:tcBorders>
              <w:top w:val="single" w:color="auto" w:sz="4" w:space="0"/>
              <w:left w:val="single" w:color="auto" w:sz="4" w:space="0"/>
              <w:bottom w:val="single" w:color="auto" w:sz="4" w:space="0"/>
              <w:right w:val="single" w:color="auto" w:sz="4" w:space="0"/>
            </w:tcBorders>
            <w:vAlign w:val="center"/>
          </w:tcPr>
          <w:p w14:paraId="1AB5A928">
            <w:pPr>
              <w:adjustRightInd w:val="0"/>
              <w:snapToGrid w:val="0"/>
              <w:spacing w:line="440" w:lineRule="exact"/>
              <w:ind w:firstLine="88" w:firstLineChars="37"/>
              <w:jc w:val="center"/>
              <w:rPr>
                <w:rFonts w:ascii="宋体" w:hAnsi="宋体" w:eastAsia="宋体" w:cs="宋体"/>
                <w:sz w:val="24"/>
                <w:szCs w:val="24"/>
              </w:rPr>
            </w:pPr>
            <w:r>
              <w:rPr>
                <w:rFonts w:hint="eastAsia" w:ascii="宋体" w:hAnsi="宋体" w:eastAsia="宋体" w:cs="宋体"/>
                <w:sz w:val="24"/>
                <w:szCs w:val="24"/>
              </w:rPr>
              <w:t>型号规格</w:t>
            </w:r>
          </w:p>
        </w:tc>
        <w:tc>
          <w:tcPr>
            <w:tcW w:w="1276" w:type="dxa"/>
            <w:tcBorders>
              <w:top w:val="single" w:color="auto" w:sz="4" w:space="0"/>
              <w:left w:val="single" w:color="auto" w:sz="4" w:space="0"/>
              <w:bottom w:val="single" w:color="auto" w:sz="4" w:space="0"/>
              <w:right w:val="single" w:color="auto" w:sz="4" w:space="0"/>
            </w:tcBorders>
            <w:vAlign w:val="center"/>
          </w:tcPr>
          <w:p w14:paraId="46271270">
            <w:pPr>
              <w:adjustRightInd w:val="0"/>
              <w:snapToGrid w:val="0"/>
              <w:spacing w:line="440" w:lineRule="exact"/>
              <w:ind w:firstLine="480" w:firstLineChars="200"/>
              <w:jc w:val="center"/>
              <w:rPr>
                <w:rFonts w:ascii="宋体" w:hAnsi="宋体" w:eastAsia="宋体" w:cs="宋体"/>
                <w:sz w:val="24"/>
                <w:szCs w:val="24"/>
              </w:rPr>
            </w:pPr>
            <w:r>
              <w:rPr>
                <w:rFonts w:hint="eastAsia" w:ascii="宋体" w:hAnsi="宋体" w:eastAsia="宋体" w:cs="宋体"/>
                <w:sz w:val="24"/>
                <w:szCs w:val="24"/>
              </w:rPr>
              <w:t>单位</w:t>
            </w:r>
          </w:p>
        </w:tc>
        <w:tc>
          <w:tcPr>
            <w:tcW w:w="1361" w:type="dxa"/>
            <w:tcBorders>
              <w:top w:val="single" w:color="auto" w:sz="4" w:space="0"/>
              <w:left w:val="single" w:color="auto" w:sz="4" w:space="0"/>
              <w:bottom w:val="single" w:color="auto" w:sz="4" w:space="0"/>
              <w:right w:val="single" w:color="auto" w:sz="4" w:space="0"/>
            </w:tcBorders>
            <w:vAlign w:val="center"/>
          </w:tcPr>
          <w:p w14:paraId="63FB2149">
            <w:pPr>
              <w:adjustRightInd w:val="0"/>
              <w:snapToGrid w:val="0"/>
              <w:spacing w:line="440" w:lineRule="exact"/>
              <w:ind w:firstLine="480" w:firstLineChars="200"/>
              <w:jc w:val="center"/>
              <w:rPr>
                <w:rFonts w:ascii="宋体" w:hAnsi="宋体" w:eastAsia="宋体" w:cs="宋体"/>
                <w:sz w:val="24"/>
                <w:szCs w:val="24"/>
              </w:rPr>
            </w:pPr>
            <w:r>
              <w:rPr>
                <w:rFonts w:hint="eastAsia" w:ascii="宋体" w:hAnsi="宋体" w:eastAsia="宋体" w:cs="宋体"/>
                <w:sz w:val="24"/>
                <w:szCs w:val="24"/>
              </w:rPr>
              <w:t>数量</w:t>
            </w:r>
          </w:p>
        </w:tc>
        <w:tc>
          <w:tcPr>
            <w:tcW w:w="2235" w:type="dxa"/>
            <w:tcBorders>
              <w:top w:val="single" w:color="auto" w:sz="4" w:space="0"/>
              <w:left w:val="single" w:color="auto" w:sz="4" w:space="0"/>
              <w:bottom w:val="single" w:color="auto" w:sz="4" w:space="0"/>
              <w:right w:val="single" w:color="auto" w:sz="4" w:space="0"/>
            </w:tcBorders>
            <w:vAlign w:val="center"/>
          </w:tcPr>
          <w:p w14:paraId="3438DC1D">
            <w:pPr>
              <w:adjustRightInd w:val="0"/>
              <w:snapToGrid w:val="0"/>
              <w:spacing w:line="440" w:lineRule="exact"/>
              <w:ind w:firstLine="480" w:firstLineChars="200"/>
              <w:jc w:val="center"/>
              <w:rPr>
                <w:rFonts w:ascii="宋体" w:hAnsi="宋体" w:eastAsia="宋体" w:cs="宋体"/>
                <w:sz w:val="24"/>
                <w:szCs w:val="24"/>
              </w:rPr>
            </w:pPr>
            <w:r>
              <w:rPr>
                <w:rFonts w:hint="eastAsia" w:ascii="宋体" w:hAnsi="宋体" w:eastAsia="宋体" w:cs="宋体"/>
                <w:sz w:val="24"/>
                <w:szCs w:val="24"/>
              </w:rPr>
              <w:t>制造商</w:t>
            </w:r>
          </w:p>
        </w:tc>
      </w:tr>
      <w:tr w14:paraId="7F2FA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16" w:type="dxa"/>
            <w:tcBorders>
              <w:top w:val="single" w:color="auto" w:sz="4" w:space="0"/>
              <w:left w:val="single" w:color="auto" w:sz="4" w:space="0"/>
              <w:bottom w:val="single" w:color="auto" w:sz="4" w:space="0"/>
              <w:right w:val="single" w:color="auto" w:sz="4" w:space="0"/>
            </w:tcBorders>
            <w:vAlign w:val="center"/>
          </w:tcPr>
          <w:p w14:paraId="1D6C93D3">
            <w:pPr>
              <w:adjustRightInd w:val="0"/>
              <w:snapToGrid w:val="0"/>
              <w:spacing w:line="440" w:lineRule="exact"/>
              <w:ind w:firstLine="480" w:firstLineChars="200"/>
              <w:jc w:val="center"/>
              <w:rPr>
                <w:rFonts w:ascii="宋体" w:hAnsi="宋体" w:eastAsia="宋体" w:cs="宋体"/>
                <w:sz w:val="24"/>
                <w:szCs w:val="24"/>
              </w:rPr>
            </w:pPr>
          </w:p>
        </w:tc>
        <w:tc>
          <w:tcPr>
            <w:tcW w:w="1924" w:type="dxa"/>
            <w:tcBorders>
              <w:top w:val="single" w:color="auto" w:sz="4" w:space="0"/>
              <w:left w:val="single" w:color="auto" w:sz="4" w:space="0"/>
              <w:bottom w:val="single" w:color="auto" w:sz="4" w:space="0"/>
              <w:right w:val="single" w:color="auto" w:sz="4" w:space="0"/>
            </w:tcBorders>
            <w:vAlign w:val="center"/>
          </w:tcPr>
          <w:p w14:paraId="696FC890">
            <w:pPr>
              <w:adjustRightInd w:val="0"/>
              <w:snapToGrid w:val="0"/>
              <w:spacing w:line="440" w:lineRule="exact"/>
              <w:ind w:firstLine="480" w:firstLineChars="200"/>
              <w:jc w:val="center"/>
              <w:rPr>
                <w:rFonts w:ascii="宋体" w:hAnsi="宋体" w:eastAsia="宋体" w:cs="宋体"/>
                <w:sz w:val="24"/>
                <w:szCs w:val="24"/>
              </w:rPr>
            </w:pPr>
          </w:p>
        </w:tc>
        <w:tc>
          <w:tcPr>
            <w:tcW w:w="1479" w:type="dxa"/>
            <w:tcBorders>
              <w:top w:val="single" w:color="auto" w:sz="4" w:space="0"/>
              <w:left w:val="single" w:color="auto" w:sz="4" w:space="0"/>
              <w:bottom w:val="single" w:color="auto" w:sz="4" w:space="0"/>
              <w:right w:val="single" w:color="auto" w:sz="4" w:space="0"/>
            </w:tcBorders>
            <w:vAlign w:val="center"/>
          </w:tcPr>
          <w:p w14:paraId="006E1E06">
            <w:pPr>
              <w:adjustRightInd w:val="0"/>
              <w:snapToGrid w:val="0"/>
              <w:spacing w:line="440" w:lineRule="exact"/>
              <w:ind w:firstLine="480" w:firstLineChars="200"/>
              <w:jc w:val="center"/>
              <w:rPr>
                <w:rFonts w:ascii="宋体" w:hAnsi="宋体" w:eastAsia="宋体" w:cs="宋体"/>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14:paraId="1B827A43">
            <w:pPr>
              <w:adjustRightInd w:val="0"/>
              <w:snapToGrid w:val="0"/>
              <w:spacing w:line="440" w:lineRule="exact"/>
              <w:ind w:firstLine="480" w:firstLineChars="200"/>
              <w:jc w:val="center"/>
              <w:rPr>
                <w:rFonts w:ascii="宋体" w:hAnsi="宋体" w:eastAsia="宋体" w:cs="宋体"/>
                <w:sz w:val="24"/>
                <w:szCs w:val="24"/>
              </w:rPr>
            </w:pPr>
          </w:p>
        </w:tc>
        <w:tc>
          <w:tcPr>
            <w:tcW w:w="1361" w:type="dxa"/>
            <w:tcBorders>
              <w:top w:val="single" w:color="auto" w:sz="4" w:space="0"/>
              <w:left w:val="single" w:color="auto" w:sz="4" w:space="0"/>
              <w:bottom w:val="single" w:color="auto" w:sz="4" w:space="0"/>
              <w:right w:val="single" w:color="auto" w:sz="4" w:space="0"/>
            </w:tcBorders>
            <w:vAlign w:val="center"/>
          </w:tcPr>
          <w:p w14:paraId="77992B03">
            <w:pPr>
              <w:adjustRightInd w:val="0"/>
              <w:snapToGrid w:val="0"/>
              <w:spacing w:line="440" w:lineRule="exact"/>
              <w:ind w:firstLine="480" w:firstLineChars="200"/>
              <w:jc w:val="center"/>
              <w:rPr>
                <w:rFonts w:ascii="宋体" w:hAnsi="宋体" w:eastAsia="宋体" w:cs="宋体"/>
                <w:sz w:val="24"/>
                <w:szCs w:val="24"/>
              </w:rPr>
            </w:pPr>
          </w:p>
        </w:tc>
        <w:tc>
          <w:tcPr>
            <w:tcW w:w="2235" w:type="dxa"/>
            <w:tcBorders>
              <w:top w:val="single" w:color="auto" w:sz="4" w:space="0"/>
              <w:left w:val="single" w:color="auto" w:sz="4" w:space="0"/>
              <w:bottom w:val="single" w:color="auto" w:sz="4" w:space="0"/>
              <w:right w:val="single" w:color="auto" w:sz="4" w:space="0"/>
            </w:tcBorders>
            <w:vAlign w:val="center"/>
          </w:tcPr>
          <w:p w14:paraId="4A141327">
            <w:pPr>
              <w:adjustRightInd w:val="0"/>
              <w:snapToGrid w:val="0"/>
              <w:spacing w:line="440" w:lineRule="exact"/>
              <w:ind w:firstLine="480" w:firstLineChars="200"/>
              <w:jc w:val="center"/>
              <w:rPr>
                <w:rFonts w:ascii="宋体" w:hAnsi="宋体" w:eastAsia="宋体" w:cs="宋体"/>
                <w:sz w:val="24"/>
                <w:szCs w:val="24"/>
              </w:rPr>
            </w:pPr>
          </w:p>
        </w:tc>
      </w:tr>
      <w:tr w14:paraId="2DF06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16" w:type="dxa"/>
            <w:tcBorders>
              <w:top w:val="single" w:color="auto" w:sz="4" w:space="0"/>
              <w:left w:val="single" w:color="auto" w:sz="4" w:space="0"/>
              <w:bottom w:val="single" w:color="auto" w:sz="4" w:space="0"/>
              <w:right w:val="single" w:color="auto" w:sz="4" w:space="0"/>
            </w:tcBorders>
            <w:vAlign w:val="center"/>
          </w:tcPr>
          <w:p w14:paraId="623B5A4F">
            <w:pPr>
              <w:adjustRightInd w:val="0"/>
              <w:snapToGrid w:val="0"/>
              <w:spacing w:line="440" w:lineRule="exact"/>
              <w:ind w:firstLine="480" w:firstLineChars="200"/>
              <w:jc w:val="center"/>
              <w:rPr>
                <w:rFonts w:ascii="宋体" w:hAnsi="宋体" w:eastAsia="宋体" w:cs="宋体"/>
                <w:sz w:val="24"/>
                <w:szCs w:val="24"/>
              </w:rPr>
            </w:pPr>
          </w:p>
        </w:tc>
        <w:tc>
          <w:tcPr>
            <w:tcW w:w="1924" w:type="dxa"/>
            <w:tcBorders>
              <w:top w:val="single" w:color="auto" w:sz="4" w:space="0"/>
              <w:left w:val="single" w:color="auto" w:sz="4" w:space="0"/>
              <w:bottom w:val="single" w:color="auto" w:sz="4" w:space="0"/>
              <w:right w:val="single" w:color="auto" w:sz="4" w:space="0"/>
            </w:tcBorders>
            <w:vAlign w:val="center"/>
          </w:tcPr>
          <w:p w14:paraId="1A04683C">
            <w:pPr>
              <w:adjustRightInd w:val="0"/>
              <w:snapToGrid w:val="0"/>
              <w:spacing w:line="440" w:lineRule="exact"/>
              <w:ind w:firstLine="480" w:firstLineChars="200"/>
              <w:jc w:val="center"/>
              <w:rPr>
                <w:rFonts w:ascii="宋体" w:hAnsi="宋体" w:eastAsia="宋体" w:cs="宋体"/>
                <w:sz w:val="24"/>
                <w:szCs w:val="24"/>
              </w:rPr>
            </w:pPr>
          </w:p>
        </w:tc>
        <w:tc>
          <w:tcPr>
            <w:tcW w:w="1479" w:type="dxa"/>
            <w:tcBorders>
              <w:top w:val="single" w:color="auto" w:sz="4" w:space="0"/>
              <w:left w:val="single" w:color="auto" w:sz="4" w:space="0"/>
              <w:bottom w:val="single" w:color="auto" w:sz="4" w:space="0"/>
              <w:right w:val="single" w:color="auto" w:sz="4" w:space="0"/>
            </w:tcBorders>
            <w:vAlign w:val="center"/>
          </w:tcPr>
          <w:p w14:paraId="361F8FFA">
            <w:pPr>
              <w:adjustRightInd w:val="0"/>
              <w:snapToGrid w:val="0"/>
              <w:spacing w:line="440" w:lineRule="exact"/>
              <w:ind w:firstLine="480" w:firstLineChars="200"/>
              <w:jc w:val="center"/>
              <w:rPr>
                <w:rFonts w:ascii="宋体" w:hAnsi="宋体" w:eastAsia="宋体" w:cs="宋体"/>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14:paraId="73E33CEA">
            <w:pPr>
              <w:adjustRightInd w:val="0"/>
              <w:snapToGrid w:val="0"/>
              <w:spacing w:line="440" w:lineRule="exact"/>
              <w:ind w:firstLine="480" w:firstLineChars="200"/>
              <w:jc w:val="center"/>
              <w:rPr>
                <w:rFonts w:ascii="宋体" w:hAnsi="宋体" w:eastAsia="宋体" w:cs="宋体"/>
                <w:sz w:val="24"/>
                <w:szCs w:val="24"/>
              </w:rPr>
            </w:pPr>
          </w:p>
        </w:tc>
        <w:tc>
          <w:tcPr>
            <w:tcW w:w="1361" w:type="dxa"/>
            <w:tcBorders>
              <w:top w:val="single" w:color="auto" w:sz="4" w:space="0"/>
              <w:left w:val="single" w:color="auto" w:sz="4" w:space="0"/>
              <w:bottom w:val="single" w:color="auto" w:sz="4" w:space="0"/>
              <w:right w:val="single" w:color="auto" w:sz="4" w:space="0"/>
            </w:tcBorders>
            <w:vAlign w:val="center"/>
          </w:tcPr>
          <w:p w14:paraId="6FA4C7B4">
            <w:pPr>
              <w:adjustRightInd w:val="0"/>
              <w:snapToGrid w:val="0"/>
              <w:spacing w:line="440" w:lineRule="exact"/>
              <w:ind w:firstLine="480" w:firstLineChars="200"/>
              <w:jc w:val="center"/>
              <w:rPr>
                <w:rFonts w:ascii="宋体" w:hAnsi="宋体" w:eastAsia="宋体" w:cs="宋体"/>
                <w:sz w:val="24"/>
                <w:szCs w:val="24"/>
              </w:rPr>
            </w:pPr>
          </w:p>
        </w:tc>
        <w:tc>
          <w:tcPr>
            <w:tcW w:w="2235" w:type="dxa"/>
            <w:tcBorders>
              <w:top w:val="single" w:color="auto" w:sz="4" w:space="0"/>
              <w:left w:val="single" w:color="auto" w:sz="4" w:space="0"/>
              <w:bottom w:val="single" w:color="auto" w:sz="4" w:space="0"/>
              <w:right w:val="single" w:color="auto" w:sz="4" w:space="0"/>
            </w:tcBorders>
            <w:vAlign w:val="center"/>
          </w:tcPr>
          <w:p w14:paraId="1F8E3768">
            <w:pPr>
              <w:adjustRightInd w:val="0"/>
              <w:snapToGrid w:val="0"/>
              <w:spacing w:line="440" w:lineRule="exact"/>
              <w:ind w:firstLine="480" w:firstLineChars="200"/>
              <w:jc w:val="center"/>
              <w:rPr>
                <w:rFonts w:ascii="宋体" w:hAnsi="宋体" w:eastAsia="宋体" w:cs="宋体"/>
                <w:sz w:val="24"/>
                <w:szCs w:val="24"/>
              </w:rPr>
            </w:pPr>
          </w:p>
        </w:tc>
      </w:tr>
      <w:tr w14:paraId="265B0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16" w:type="dxa"/>
            <w:tcBorders>
              <w:top w:val="single" w:color="auto" w:sz="4" w:space="0"/>
              <w:left w:val="single" w:color="auto" w:sz="4" w:space="0"/>
              <w:bottom w:val="single" w:color="auto" w:sz="4" w:space="0"/>
              <w:right w:val="single" w:color="auto" w:sz="4" w:space="0"/>
            </w:tcBorders>
            <w:vAlign w:val="center"/>
          </w:tcPr>
          <w:p w14:paraId="7A2EB354">
            <w:pPr>
              <w:adjustRightInd w:val="0"/>
              <w:snapToGrid w:val="0"/>
              <w:spacing w:line="440" w:lineRule="exact"/>
              <w:ind w:firstLine="480" w:firstLineChars="200"/>
              <w:jc w:val="center"/>
              <w:rPr>
                <w:rFonts w:ascii="宋体" w:hAnsi="宋体" w:eastAsia="宋体" w:cs="宋体"/>
                <w:sz w:val="24"/>
                <w:szCs w:val="24"/>
              </w:rPr>
            </w:pPr>
          </w:p>
        </w:tc>
        <w:tc>
          <w:tcPr>
            <w:tcW w:w="1924" w:type="dxa"/>
            <w:tcBorders>
              <w:top w:val="single" w:color="auto" w:sz="4" w:space="0"/>
              <w:left w:val="single" w:color="auto" w:sz="4" w:space="0"/>
              <w:bottom w:val="single" w:color="auto" w:sz="4" w:space="0"/>
              <w:right w:val="single" w:color="auto" w:sz="4" w:space="0"/>
            </w:tcBorders>
            <w:vAlign w:val="center"/>
          </w:tcPr>
          <w:p w14:paraId="6CA298C5">
            <w:pPr>
              <w:adjustRightInd w:val="0"/>
              <w:snapToGrid w:val="0"/>
              <w:spacing w:line="440" w:lineRule="exact"/>
              <w:ind w:firstLine="480" w:firstLineChars="200"/>
              <w:jc w:val="center"/>
              <w:rPr>
                <w:rFonts w:ascii="宋体" w:hAnsi="宋体" w:eastAsia="宋体" w:cs="宋体"/>
                <w:sz w:val="24"/>
                <w:szCs w:val="24"/>
              </w:rPr>
            </w:pPr>
          </w:p>
        </w:tc>
        <w:tc>
          <w:tcPr>
            <w:tcW w:w="1479" w:type="dxa"/>
            <w:tcBorders>
              <w:top w:val="single" w:color="auto" w:sz="4" w:space="0"/>
              <w:left w:val="single" w:color="auto" w:sz="4" w:space="0"/>
              <w:bottom w:val="single" w:color="auto" w:sz="4" w:space="0"/>
              <w:right w:val="single" w:color="auto" w:sz="4" w:space="0"/>
            </w:tcBorders>
            <w:vAlign w:val="center"/>
          </w:tcPr>
          <w:p w14:paraId="34CBB621">
            <w:pPr>
              <w:adjustRightInd w:val="0"/>
              <w:snapToGrid w:val="0"/>
              <w:spacing w:line="440" w:lineRule="exact"/>
              <w:ind w:firstLine="480" w:firstLineChars="200"/>
              <w:jc w:val="center"/>
              <w:rPr>
                <w:rFonts w:ascii="宋体" w:hAnsi="宋体" w:eastAsia="宋体" w:cs="宋体"/>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14:paraId="0616CD82">
            <w:pPr>
              <w:adjustRightInd w:val="0"/>
              <w:snapToGrid w:val="0"/>
              <w:spacing w:line="440" w:lineRule="exact"/>
              <w:ind w:firstLine="480" w:firstLineChars="200"/>
              <w:jc w:val="center"/>
              <w:rPr>
                <w:rFonts w:ascii="宋体" w:hAnsi="宋体" w:eastAsia="宋体" w:cs="宋体"/>
                <w:sz w:val="24"/>
                <w:szCs w:val="24"/>
              </w:rPr>
            </w:pPr>
          </w:p>
        </w:tc>
        <w:tc>
          <w:tcPr>
            <w:tcW w:w="1361" w:type="dxa"/>
            <w:tcBorders>
              <w:top w:val="single" w:color="auto" w:sz="4" w:space="0"/>
              <w:left w:val="single" w:color="auto" w:sz="4" w:space="0"/>
              <w:bottom w:val="single" w:color="auto" w:sz="4" w:space="0"/>
              <w:right w:val="single" w:color="auto" w:sz="4" w:space="0"/>
            </w:tcBorders>
            <w:vAlign w:val="center"/>
          </w:tcPr>
          <w:p w14:paraId="33D6AC93">
            <w:pPr>
              <w:adjustRightInd w:val="0"/>
              <w:snapToGrid w:val="0"/>
              <w:spacing w:line="440" w:lineRule="exact"/>
              <w:ind w:firstLine="480" w:firstLineChars="200"/>
              <w:jc w:val="center"/>
              <w:rPr>
                <w:rFonts w:ascii="宋体" w:hAnsi="宋体" w:eastAsia="宋体" w:cs="宋体"/>
                <w:sz w:val="24"/>
                <w:szCs w:val="24"/>
              </w:rPr>
            </w:pPr>
          </w:p>
        </w:tc>
        <w:tc>
          <w:tcPr>
            <w:tcW w:w="2235" w:type="dxa"/>
            <w:tcBorders>
              <w:top w:val="single" w:color="auto" w:sz="4" w:space="0"/>
              <w:left w:val="single" w:color="auto" w:sz="4" w:space="0"/>
              <w:bottom w:val="single" w:color="auto" w:sz="4" w:space="0"/>
              <w:right w:val="single" w:color="auto" w:sz="4" w:space="0"/>
            </w:tcBorders>
            <w:vAlign w:val="center"/>
          </w:tcPr>
          <w:p w14:paraId="4DA74DA8">
            <w:pPr>
              <w:adjustRightInd w:val="0"/>
              <w:snapToGrid w:val="0"/>
              <w:spacing w:line="440" w:lineRule="exact"/>
              <w:ind w:firstLine="480" w:firstLineChars="200"/>
              <w:jc w:val="center"/>
              <w:rPr>
                <w:rFonts w:ascii="宋体" w:hAnsi="宋体" w:eastAsia="宋体" w:cs="宋体"/>
                <w:sz w:val="24"/>
                <w:szCs w:val="24"/>
              </w:rPr>
            </w:pPr>
          </w:p>
        </w:tc>
      </w:tr>
      <w:tr w14:paraId="1C0EE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16" w:type="dxa"/>
            <w:tcBorders>
              <w:top w:val="single" w:color="auto" w:sz="4" w:space="0"/>
              <w:left w:val="single" w:color="auto" w:sz="4" w:space="0"/>
              <w:bottom w:val="single" w:color="auto" w:sz="4" w:space="0"/>
              <w:right w:val="single" w:color="auto" w:sz="4" w:space="0"/>
            </w:tcBorders>
            <w:vAlign w:val="center"/>
          </w:tcPr>
          <w:p w14:paraId="0C1F7F4D">
            <w:pPr>
              <w:adjustRightInd w:val="0"/>
              <w:snapToGrid w:val="0"/>
              <w:spacing w:line="440" w:lineRule="exact"/>
              <w:ind w:firstLine="480" w:firstLineChars="200"/>
              <w:jc w:val="center"/>
              <w:rPr>
                <w:rFonts w:ascii="宋体" w:hAnsi="宋体" w:eastAsia="宋体" w:cs="宋体"/>
                <w:sz w:val="24"/>
                <w:szCs w:val="24"/>
              </w:rPr>
            </w:pPr>
          </w:p>
        </w:tc>
        <w:tc>
          <w:tcPr>
            <w:tcW w:w="1924" w:type="dxa"/>
            <w:tcBorders>
              <w:top w:val="single" w:color="auto" w:sz="4" w:space="0"/>
              <w:left w:val="single" w:color="auto" w:sz="4" w:space="0"/>
              <w:bottom w:val="single" w:color="auto" w:sz="4" w:space="0"/>
              <w:right w:val="single" w:color="auto" w:sz="4" w:space="0"/>
            </w:tcBorders>
            <w:vAlign w:val="center"/>
          </w:tcPr>
          <w:p w14:paraId="2F6353A3">
            <w:pPr>
              <w:adjustRightInd w:val="0"/>
              <w:snapToGrid w:val="0"/>
              <w:spacing w:line="440" w:lineRule="exact"/>
              <w:ind w:firstLine="480" w:firstLineChars="200"/>
              <w:jc w:val="center"/>
              <w:rPr>
                <w:rFonts w:ascii="宋体" w:hAnsi="宋体" w:eastAsia="宋体" w:cs="宋体"/>
                <w:sz w:val="24"/>
                <w:szCs w:val="24"/>
              </w:rPr>
            </w:pPr>
          </w:p>
        </w:tc>
        <w:tc>
          <w:tcPr>
            <w:tcW w:w="1479" w:type="dxa"/>
            <w:tcBorders>
              <w:top w:val="single" w:color="auto" w:sz="4" w:space="0"/>
              <w:left w:val="single" w:color="auto" w:sz="4" w:space="0"/>
              <w:bottom w:val="single" w:color="auto" w:sz="4" w:space="0"/>
              <w:right w:val="single" w:color="auto" w:sz="4" w:space="0"/>
            </w:tcBorders>
            <w:vAlign w:val="center"/>
          </w:tcPr>
          <w:p w14:paraId="108C6391">
            <w:pPr>
              <w:adjustRightInd w:val="0"/>
              <w:snapToGrid w:val="0"/>
              <w:spacing w:line="440" w:lineRule="exact"/>
              <w:ind w:firstLine="480" w:firstLineChars="200"/>
              <w:jc w:val="center"/>
              <w:rPr>
                <w:rFonts w:ascii="宋体" w:hAnsi="宋体" w:eastAsia="宋体" w:cs="宋体"/>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14:paraId="74D472DC">
            <w:pPr>
              <w:adjustRightInd w:val="0"/>
              <w:snapToGrid w:val="0"/>
              <w:spacing w:line="440" w:lineRule="exact"/>
              <w:ind w:firstLine="480" w:firstLineChars="200"/>
              <w:jc w:val="center"/>
              <w:rPr>
                <w:rFonts w:ascii="宋体" w:hAnsi="宋体" w:eastAsia="宋体" w:cs="宋体"/>
                <w:sz w:val="24"/>
                <w:szCs w:val="24"/>
              </w:rPr>
            </w:pPr>
          </w:p>
        </w:tc>
        <w:tc>
          <w:tcPr>
            <w:tcW w:w="1361" w:type="dxa"/>
            <w:tcBorders>
              <w:top w:val="single" w:color="auto" w:sz="4" w:space="0"/>
              <w:left w:val="single" w:color="auto" w:sz="4" w:space="0"/>
              <w:bottom w:val="single" w:color="auto" w:sz="4" w:space="0"/>
              <w:right w:val="single" w:color="auto" w:sz="4" w:space="0"/>
            </w:tcBorders>
            <w:vAlign w:val="center"/>
          </w:tcPr>
          <w:p w14:paraId="1547632D">
            <w:pPr>
              <w:adjustRightInd w:val="0"/>
              <w:snapToGrid w:val="0"/>
              <w:spacing w:line="440" w:lineRule="exact"/>
              <w:ind w:firstLine="480" w:firstLineChars="200"/>
              <w:jc w:val="center"/>
              <w:rPr>
                <w:rFonts w:ascii="宋体" w:hAnsi="宋体" w:eastAsia="宋体" w:cs="宋体"/>
                <w:sz w:val="24"/>
                <w:szCs w:val="24"/>
              </w:rPr>
            </w:pPr>
          </w:p>
        </w:tc>
        <w:tc>
          <w:tcPr>
            <w:tcW w:w="2235" w:type="dxa"/>
            <w:tcBorders>
              <w:top w:val="single" w:color="auto" w:sz="4" w:space="0"/>
              <w:left w:val="single" w:color="auto" w:sz="4" w:space="0"/>
              <w:bottom w:val="single" w:color="auto" w:sz="4" w:space="0"/>
              <w:right w:val="single" w:color="auto" w:sz="4" w:space="0"/>
            </w:tcBorders>
            <w:vAlign w:val="center"/>
          </w:tcPr>
          <w:p w14:paraId="6EB4758F">
            <w:pPr>
              <w:adjustRightInd w:val="0"/>
              <w:snapToGrid w:val="0"/>
              <w:spacing w:line="440" w:lineRule="exact"/>
              <w:ind w:firstLine="480" w:firstLineChars="200"/>
              <w:jc w:val="center"/>
              <w:rPr>
                <w:rFonts w:ascii="宋体" w:hAnsi="宋体" w:eastAsia="宋体" w:cs="宋体"/>
                <w:sz w:val="24"/>
                <w:szCs w:val="24"/>
              </w:rPr>
            </w:pPr>
          </w:p>
        </w:tc>
      </w:tr>
      <w:tr w14:paraId="66828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16" w:type="dxa"/>
            <w:tcBorders>
              <w:top w:val="single" w:color="auto" w:sz="4" w:space="0"/>
              <w:left w:val="single" w:color="auto" w:sz="4" w:space="0"/>
              <w:bottom w:val="single" w:color="auto" w:sz="4" w:space="0"/>
              <w:right w:val="single" w:color="auto" w:sz="4" w:space="0"/>
            </w:tcBorders>
            <w:vAlign w:val="center"/>
          </w:tcPr>
          <w:p w14:paraId="020DF2F5">
            <w:pPr>
              <w:adjustRightInd w:val="0"/>
              <w:snapToGrid w:val="0"/>
              <w:spacing w:line="440" w:lineRule="exact"/>
              <w:ind w:firstLine="480" w:firstLineChars="200"/>
              <w:jc w:val="center"/>
              <w:rPr>
                <w:rFonts w:ascii="宋体" w:hAnsi="宋体" w:eastAsia="宋体" w:cs="宋体"/>
                <w:sz w:val="24"/>
                <w:szCs w:val="24"/>
              </w:rPr>
            </w:pPr>
          </w:p>
        </w:tc>
        <w:tc>
          <w:tcPr>
            <w:tcW w:w="1924" w:type="dxa"/>
            <w:tcBorders>
              <w:top w:val="single" w:color="auto" w:sz="4" w:space="0"/>
              <w:left w:val="single" w:color="auto" w:sz="4" w:space="0"/>
              <w:bottom w:val="single" w:color="auto" w:sz="4" w:space="0"/>
              <w:right w:val="single" w:color="auto" w:sz="4" w:space="0"/>
            </w:tcBorders>
            <w:vAlign w:val="center"/>
          </w:tcPr>
          <w:p w14:paraId="6C2E6230">
            <w:pPr>
              <w:adjustRightInd w:val="0"/>
              <w:snapToGrid w:val="0"/>
              <w:spacing w:line="440" w:lineRule="exact"/>
              <w:ind w:firstLine="480" w:firstLineChars="200"/>
              <w:jc w:val="center"/>
              <w:rPr>
                <w:rFonts w:ascii="宋体" w:hAnsi="宋体" w:eastAsia="宋体" w:cs="宋体"/>
                <w:sz w:val="24"/>
                <w:szCs w:val="24"/>
              </w:rPr>
            </w:pPr>
          </w:p>
        </w:tc>
        <w:tc>
          <w:tcPr>
            <w:tcW w:w="1479" w:type="dxa"/>
            <w:tcBorders>
              <w:top w:val="single" w:color="auto" w:sz="4" w:space="0"/>
              <w:left w:val="single" w:color="auto" w:sz="4" w:space="0"/>
              <w:bottom w:val="single" w:color="auto" w:sz="4" w:space="0"/>
              <w:right w:val="single" w:color="auto" w:sz="4" w:space="0"/>
            </w:tcBorders>
            <w:vAlign w:val="center"/>
          </w:tcPr>
          <w:p w14:paraId="4A79CCB1">
            <w:pPr>
              <w:adjustRightInd w:val="0"/>
              <w:snapToGrid w:val="0"/>
              <w:spacing w:line="440" w:lineRule="exact"/>
              <w:ind w:firstLine="480" w:firstLineChars="200"/>
              <w:jc w:val="center"/>
              <w:rPr>
                <w:rFonts w:ascii="宋体" w:hAnsi="宋体" w:eastAsia="宋体" w:cs="宋体"/>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14:paraId="3DAE7971">
            <w:pPr>
              <w:adjustRightInd w:val="0"/>
              <w:snapToGrid w:val="0"/>
              <w:spacing w:line="440" w:lineRule="exact"/>
              <w:ind w:firstLine="480" w:firstLineChars="200"/>
              <w:jc w:val="center"/>
              <w:rPr>
                <w:rFonts w:ascii="宋体" w:hAnsi="宋体" w:eastAsia="宋体" w:cs="宋体"/>
                <w:sz w:val="24"/>
                <w:szCs w:val="24"/>
              </w:rPr>
            </w:pPr>
          </w:p>
        </w:tc>
        <w:tc>
          <w:tcPr>
            <w:tcW w:w="1361" w:type="dxa"/>
            <w:tcBorders>
              <w:top w:val="single" w:color="auto" w:sz="4" w:space="0"/>
              <w:left w:val="single" w:color="auto" w:sz="4" w:space="0"/>
              <w:bottom w:val="single" w:color="auto" w:sz="4" w:space="0"/>
              <w:right w:val="single" w:color="auto" w:sz="4" w:space="0"/>
            </w:tcBorders>
            <w:vAlign w:val="center"/>
          </w:tcPr>
          <w:p w14:paraId="6975C767">
            <w:pPr>
              <w:adjustRightInd w:val="0"/>
              <w:snapToGrid w:val="0"/>
              <w:spacing w:line="440" w:lineRule="exact"/>
              <w:ind w:firstLine="480" w:firstLineChars="200"/>
              <w:jc w:val="center"/>
              <w:rPr>
                <w:rFonts w:ascii="宋体" w:hAnsi="宋体" w:eastAsia="宋体" w:cs="宋体"/>
                <w:sz w:val="24"/>
                <w:szCs w:val="24"/>
              </w:rPr>
            </w:pPr>
          </w:p>
        </w:tc>
        <w:tc>
          <w:tcPr>
            <w:tcW w:w="2235" w:type="dxa"/>
            <w:tcBorders>
              <w:top w:val="single" w:color="auto" w:sz="4" w:space="0"/>
              <w:left w:val="single" w:color="auto" w:sz="4" w:space="0"/>
              <w:bottom w:val="single" w:color="auto" w:sz="4" w:space="0"/>
              <w:right w:val="single" w:color="auto" w:sz="4" w:space="0"/>
            </w:tcBorders>
            <w:vAlign w:val="center"/>
          </w:tcPr>
          <w:p w14:paraId="666FB513">
            <w:pPr>
              <w:adjustRightInd w:val="0"/>
              <w:snapToGrid w:val="0"/>
              <w:spacing w:line="440" w:lineRule="exact"/>
              <w:ind w:firstLine="480" w:firstLineChars="200"/>
              <w:jc w:val="center"/>
              <w:rPr>
                <w:rFonts w:ascii="宋体" w:hAnsi="宋体" w:eastAsia="宋体" w:cs="宋体"/>
                <w:sz w:val="24"/>
                <w:szCs w:val="24"/>
              </w:rPr>
            </w:pPr>
          </w:p>
        </w:tc>
      </w:tr>
      <w:tr w14:paraId="3A7E2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16" w:type="dxa"/>
            <w:tcBorders>
              <w:top w:val="single" w:color="auto" w:sz="4" w:space="0"/>
              <w:left w:val="single" w:color="auto" w:sz="4" w:space="0"/>
              <w:bottom w:val="single" w:color="auto" w:sz="4" w:space="0"/>
              <w:right w:val="single" w:color="auto" w:sz="4" w:space="0"/>
            </w:tcBorders>
            <w:vAlign w:val="center"/>
          </w:tcPr>
          <w:p w14:paraId="379BDACE">
            <w:pPr>
              <w:adjustRightInd w:val="0"/>
              <w:snapToGrid w:val="0"/>
              <w:spacing w:line="440" w:lineRule="exact"/>
              <w:ind w:firstLine="480" w:firstLineChars="200"/>
              <w:jc w:val="center"/>
              <w:rPr>
                <w:rFonts w:ascii="宋体" w:hAnsi="宋体" w:eastAsia="宋体" w:cs="宋体"/>
                <w:sz w:val="24"/>
                <w:szCs w:val="24"/>
              </w:rPr>
            </w:pPr>
          </w:p>
        </w:tc>
        <w:tc>
          <w:tcPr>
            <w:tcW w:w="1924" w:type="dxa"/>
            <w:tcBorders>
              <w:top w:val="single" w:color="auto" w:sz="4" w:space="0"/>
              <w:left w:val="single" w:color="auto" w:sz="4" w:space="0"/>
              <w:bottom w:val="single" w:color="auto" w:sz="4" w:space="0"/>
              <w:right w:val="single" w:color="auto" w:sz="4" w:space="0"/>
            </w:tcBorders>
            <w:vAlign w:val="center"/>
          </w:tcPr>
          <w:p w14:paraId="7125E9B3">
            <w:pPr>
              <w:adjustRightInd w:val="0"/>
              <w:snapToGrid w:val="0"/>
              <w:spacing w:line="440" w:lineRule="exact"/>
              <w:ind w:firstLine="480" w:firstLineChars="200"/>
              <w:jc w:val="center"/>
              <w:rPr>
                <w:rFonts w:ascii="宋体" w:hAnsi="宋体" w:eastAsia="宋体" w:cs="宋体"/>
                <w:sz w:val="24"/>
                <w:szCs w:val="24"/>
              </w:rPr>
            </w:pPr>
          </w:p>
        </w:tc>
        <w:tc>
          <w:tcPr>
            <w:tcW w:w="1479" w:type="dxa"/>
            <w:tcBorders>
              <w:top w:val="single" w:color="auto" w:sz="4" w:space="0"/>
              <w:left w:val="single" w:color="auto" w:sz="4" w:space="0"/>
              <w:bottom w:val="single" w:color="auto" w:sz="4" w:space="0"/>
              <w:right w:val="single" w:color="auto" w:sz="4" w:space="0"/>
            </w:tcBorders>
            <w:vAlign w:val="center"/>
          </w:tcPr>
          <w:p w14:paraId="56836233">
            <w:pPr>
              <w:adjustRightInd w:val="0"/>
              <w:snapToGrid w:val="0"/>
              <w:spacing w:line="440" w:lineRule="exact"/>
              <w:ind w:firstLine="480" w:firstLineChars="200"/>
              <w:jc w:val="center"/>
              <w:rPr>
                <w:rFonts w:ascii="宋体" w:hAnsi="宋体" w:eastAsia="宋体" w:cs="宋体"/>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14:paraId="095B2735">
            <w:pPr>
              <w:adjustRightInd w:val="0"/>
              <w:snapToGrid w:val="0"/>
              <w:spacing w:line="440" w:lineRule="exact"/>
              <w:ind w:firstLine="480" w:firstLineChars="200"/>
              <w:jc w:val="center"/>
              <w:rPr>
                <w:rFonts w:ascii="宋体" w:hAnsi="宋体" w:eastAsia="宋体" w:cs="宋体"/>
                <w:sz w:val="24"/>
                <w:szCs w:val="24"/>
              </w:rPr>
            </w:pPr>
          </w:p>
        </w:tc>
        <w:tc>
          <w:tcPr>
            <w:tcW w:w="1361" w:type="dxa"/>
            <w:tcBorders>
              <w:top w:val="single" w:color="auto" w:sz="4" w:space="0"/>
              <w:left w:val="single" w:color="auto" w:sz="4" w:space="0"/>
              <w:bottom w:val="single" w:color="auto" w:sz="4" w:space="0"/>
              <w:right w:val="single" w:color="auto" w:sz="4" w:space="0"/>
            </w:tcBorders>
            <w:vAlign w:val="center"/>
          </w:tcPr>
          <w:p w14:paraId="08FBC638">
            <w:pPr>
              <w:adjustRightInd w:val="0"/>
              <w:snapToGrid w:val="0"/>
              <w:spacing w:line="440" w:lineRule="exact"/>
              <w:ind w:firstLine="480" w:firstLineChars="200"/>
              <w:jc w:val="center"/>
              <w:rPr>
                <w:rFonts w:ascii="宋体" w:hAnsi="宋体" w:eastAsia="宋体" w:cs="宋体"/>
                <w:sz w:val="24"/>
                <w:szCs w:val="24"/>
              </w:rPr>
            </w:pPr>
          </w:p>
        </w:tc>
        <w:tc>
          <w:tcPr>
            <w:tcW w:w="2235" w:type="dxa"/>
            <w:tcBorders>
              <w:top w:val="single" w:color="auto" w:sz="4" w:space="0"/>
              <w:left w:val="single" w:color="auto" w:sz="4" w:space="0"/>
              <w:bottom w:val="single" w:color="auto" w:sz="4" w:space="0"/>
              <w:right w:val="single" w:color="auto" w:sz="4" w:space="0"/>
            </w:tcBorders>
            <w:vAlign w:val="center"/>
          </w:tcPr>
          <w:p w14:paraId="3DEFFB08">
            <w:pPr>
              <w:adjustRightInd w:val="0"/>
              <w:snapToGrid w:val="0"/>
              <w:spacing w:line="440" w:lineRule="exact"/>
              <w:ind w:firstLine="480" w:firstLineChars="200"/>
              <w:jc w:val="center"/>
              <w:rPr>
                <w:rFonts w:ascii="宋体" w:hAnsi="宋体" w:eastAsia="宋体" w:cs="宋体"/>
                <w:sz w:val="24"/>
                <w:szCs w:val="24"/>
              </w:rPr>
            </w:pPr>
          </w:p>
        </w:tc>
      </w:tr>
    </w:tbl>
    <w:p w14:paraId="15A79881">
      <w:pPr>
        <w:pStyle w:val="133"/>
        <w:numPr>
          <w:ilvl w:val="2"/>
          <w:numId w:val="51"/>
        </w:numPr>
        <w:adjustRightInd w:val="0"/>
        <w:snapToGrid w:val="0"/>
        <w:spacing w:line="440" w:lineRule="exact"/>
        <w:ind w:left="993" w:firstLineChars="0"/>
        <w:rPr>
          <w:rFonts w:ascii="宋体" w:hAnsi="宋体" w:eastAsia="宋体" w:cs="宋体"/>
          <w:sz w:val="24"/>
          <w:szCs w:val="24"/>
        </w:rPr>
      </w:pPr>
      <w:r>
        <w:rPr>
          <w:rFonts w:hint="eastAsia" w:ascii="宋体" w:hAnsi="宋体" w:eastAsia="宋体" w:cs="宋体"/>
          <w:sz w:val="24"/>
          <w:szCs w:val="24"/>
        </w:rPr>
        <w:t>投标货物（或生产线）外购件一览表：</w:t>
      </w:r>
    </w:p>
    <w:p w14:paraId="59924B81">
      <w:pPr>
        <w:adjustRightInd w:val="0"/>
        <w:snapToGrid w:val="0"/>
        <w:spacing w:line="440" w:lineRule="exact"/>
        <w:ind w:firstLine="2160" w:firstLineChars="900"/>
        <w:rPr>
          <w:rFonts w:ascii="宋体" w:hAnsi="宋体" w:eastAsia="宋体" w:cs="宋体"/>
          <w:sz w:val="24"/>
          <w:szCs w:val="24"/>
        </w:rPr>
      </w:pPr>
      <w:r>
        <w:rPr>
          <w:rFonts w:hint="eastAsia" w:ascii="宋体" w:hAnsi="宋体" w:eastAsia="宋体" w:cs="宋体"/>
          <w:sz w:val="24"/>
          <w:szCs w:val="24"/>
        </w:rPr>
        <w:t xml:space="preserve">投标货物（或生产线）外购件一览表                </w:t>
      </w:r>
    </w:p>
    <w:tbl>
      <w:tblPr>
        <w:tblStyle w:val="4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1924"/>
        <w:gridCol w:w="1479"/>
        <w:gridCol w:w="1276"/>
        <w:gridCol w:w="1361"/>
        <w:gridCol w:w="2235"/>
      </w:tblGrid>
      <w:tr w14:paraId="1F69F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16" w:type="dxa"/>
            <w:tcBorders>
              <w:top w:val="single" w:color="auto" w:sz="4" w:space="0"/>
              <w:left w:val="single" w:color="auto" w:sz="4" w:space="0"/>
              <w:bottom w:val="single" w:color="auto" w:sz="4" w:space="0"/>
              <w:right w:val="single" w:color="auto" w:sz="4" w:space="0"/>
            </w:tcBorders>
            <w:vAlign w:val="center"/>
          </w:tcPr>
          <w:p w14:paraId="5C676802">
            <w:pPr>
              <w:adjustRightInd w:val="0"/>
              <w:snapToGrid w:val="0"/>
              <w:spacing w:line="440" w:lineRule="exact"/>
              <w:jc w:val="center"/>
              <w:rPr>
                <w:rFonts w:ascii="宋体" w:hAnsi="宋体" w:eastAsia="宋体" w:cs="宋体"/>
                <w:sz w:val="24"/>
                <w:szCs w:val="24"/>
              </w:rPr>
            </w:pPr>
            <w:r>
              <w:rPr>
                <w:rFonts w:hint="eastAsia" w:ascii="宋体" w:hAnsi="宋体" w:eastAsia="宋体" w:cs="宋体"/>
                <w:sz w:val="24"/>
                <w:szCs w:val="24"/>
              </w:rPr>
              <w:t>序号</w:t>
            </w:r>
          </w:p>
        </w:tc>
        <w:tc>
          <w:tcPr>
            <w:tcW w:w="1924" w:type="dxa"/>
            <w:tcBorders>
              <w:top w:val="single" w:color="auto" w:sz="4" w:space="0"/>
              <w:left w:val="single" w:color="auto" w:sz="4" w:space="0"/>
              <w:bottom w:val="single" w:color="auto" w:sz="4" w:space="0"/>
              <w:right w:val="single" w:color="auto" w:sz="4" w:space="0"/>
            </w:tcBorders>
            <w:vAlign w:val="center"/>
          </w:tcPr>
          <w:p w14:paraId="060DEDE5">
            <w:pPr>
              <w:adjustRightInd w:val="0"/>
              <w:snapToGrid w:val="0"/>
              <w:spacing w:line="440" w:lineRule="exact"/>
              <w:ind w:firstLine="480" w:firstLineChars="200"/>
              <w:jc w:val="center"/>
              <w:rPr>
                <w:rFonts w:ascii="宋体" w:hAnsi="宋体" w:eastAsia="宋体" w:cs="宋体"/>
                <w:sz w:val="24"/>
                <w:szCs w:val="24"/>
              </w:rPr>
            </w:pPr>
            <w:r>
              <w:rPr>
                <w:rFonts w:hint="eastAsia" w:ascii="宋体" w:hAnsi="宋体" w:eastAsia="宋体" w:cs="宋体"/>
                <w:sz w:val="24"/>
                <w:szCs w:val="24"/>
              </w:rPr>
              <w:t>名称</w:t>
            </w:r>
          </w:p>
        </w:tc>
        <w:tc>
          <w:tcPr>
            <w:tcW w:w="1479" w:type="dxa"/>
            <w:tcBorders>
              <w:top w:val="single" w:color="auto" w:sz="4" w:space="0"/>
              <w:left w:val="single" w:color="auto" w:sz="4" w:space="0"/>
              <w:bottom w:val="single" w:color="auto" w:sz="4" w:space="0"/>
              <w:right w:val="single" w:color="auto" w:sz="4" w:space="0"/>
            </w:tcBorders>
            <w:vAlign w:val="center"/>
          </w:tcPr>
          <w:p w14:paraId="5F6C2383">
            <w:pPr>
              <w:adjustRightInd w:val="0"/>
              <w:snapToGrid w:val="0"/>
              <w:spacing w:line="440" w:lineRule="exact"/>
              <w:ind w:firstLine="88" w:firstLineChars="37"/>
              <w:jc w:val="center"/>
              <w:rPr>
                <w:rFonts w:ascii="宋体" w:hAnsi="宋体" w:eastAsia="宋体" w:cs="宋体"/>
                <w:sz w:val="24"/>
                <w:szCs w:val="24"/>
              </w:rPr>
            </w:pPr>
            <w:r>
              <w:rPr>
                <w:rFonts w:hint="eastAsia" w:ascii="宋体" w:hAnsi="宋体" w:eastAsia="宋体" w:cs="宋体"/>
                <w:sz w:val="24"/>
                <w:szCs w:val="24"/>
              </w:rPr>
              <w:t>型号规格</w:t>
            </w:r>
          </w:p>
        </w:tc>
        <w:tc>
          <w:tcPr>
            <w:tcW w:w="1276" w:type="dxa"/>
            <w:tcBorders>
              <w:top w:val="single" w:color="auto" w:sz="4" w:space="0"/>
              <w:left w:val="single" w:color="auto" w:sz="4" w:space="0"/>
              <w:bottom w:val="single" w:color="auto" w:sz="4" w:space="0"/>
              <w:right w:val="single" w:color="auto" w:sz="4" w:space="0"/>
            </w:tcBorders>
            <w:vAlign w:val="center"/>
          </w:tcPr>
          <w:p w14:paraId="529B30B4">
            <w:pPr>
              <w:adjustRightInd w:val="0"/>
              <w:snapToGrid w:val="0"/>
              <w:spacing w:line="440" w:lineRule="exact"/>
              <w:ind w:firstLine="480" w:firstLineChars="200"/>
              <w:jc w:val="center"/>
              <w:rPr>
                <w:rFonts w:ascii="宋体" w:hAnsi="宋体" w:eastAsia="宋体" w:cs="宋体"/>
                <w:sz w:val="24"/>
                <w:szCs w:val="24"/>
              </w:rPr>
            </w:pPr>
            <w:r>
              <w:rPr>
                <w:rFonts w:hint="eastAsia" w:ascii="宋体" w:hAnsi="宋体" w:eastAsia="宋体" w:cs="宋体"/>
                <w:sz w:val="24"/>
                <w:szCs w:val="24"/>
              </w:rPr>
              <w:t>单位</w:t>
            </w:r>
          </w:p>
        </w:tc>
        <w:tc>
          <w:tcPr>
            <w:tcW w:w="1361" w:type="dxa"/>
            <w:tcBorders>
              <w:top w:val="single" w:color="auto" w:sz="4" w:space="0"/>
              <w:left w:val="single" w:color="auto" w:sz="4" w:space="0"/>
              <w:bottom w:val="single" w:color="auto" w:sz="4" w:space="0"/>
              <w:right w:val="single" w:color="auto" w:sz="4" w:space="0"/>
            </w:tcBorders>
            <w:vAlign w:val="center"/>
          </w:tcPr>
          <w:p w14:paraId="26A85A9C">
            <w:pPr>
              <w:adjustRightInd w:val="0"/>
              <w:snapToGrid w:val="0"/>
              <w:spacing w:line="440" w:lineRule="exact"/>
              <w:ind w:firstLine="480" w:firstLineChars="200"/>
              <w:jc w:val="center"/>
              <w:rPr>
                <w:rFonts w:ascii="宋体" w:hAnsi="宋体" w:eastAsia="宋体" w:cs="宋体"/>
                <w:sz w:val="24"/>
                <w:szCs w:val="24"/>
              </w:rPr>
            </w:pPr>
            <w:r>
              <w:rPr>
                <w:rFonts w:hint="eastAsia" w:ascii="宋体" w:hAnsi="宋体" w:eastAsia="宋体" w:cs="宋体"/>
                <w:sz w:val="24"/>
                <w:szCs w:val="24"/>
              </w:rPr>
              <w:t>数量</w:t>
            </w:r>
          </w:p>
        </w:tc>
        <w:tc>
          <w:tcPr>
            <w:tcW w:w="2235" w:type="dxa"/>
            <w:tcBorders>
              <w:top w:val="single" w:color="auto" w:sz="4" w:space="0"/>
              <w:left w:val="single" w:color="auto" w:sz="4" w:space="0"/>
              <w:bottom w:val="single" w:color="auto" w:sz="4" w:space="0"/>
              <w:right w:val="single" w:color="auto" w:sz="4" w:space="0"/>
            </w:tcBorders>
            <w:vAlign w:val="center"/>
          </w:tcPr>
          <w:p w14:paraId="23A8D7C2">
            <w:pPr>
              <w:adjustRightInd w:val="0"/>
              <w:snapToGrid w:val="0"/>
              <w:spacing w:line="440" w:lineRule="exact"/>
              <w:ind w:firstLine="480" w:firstLineChars="200"/>
              <w:jc w:val="center"/>
              <w:rPr>
                <w:rFonts w:ascii="宋体" w:hAnsi="宋体" w:eastAsia="宋体" w:cs="宋体"/>
                <w:sz w:val="24"/>
                <w:szCs w:val="24"/>
              </w:rPr>
            </w:pPr>
            <w:r>
              <w:rPr>
                <w:rFonts w:hint="eastAsia" w:ascii="宋体" w:hAnsi="宋体" w:eastAsia="宋体" w:cs="宋体"/>
                <w:sz w:val="24"/>
                <w:szCs w:val="24"/>
              </w:rPr>
              <w:t>制造商</w:t>
            </w:r>
          </w:p>
        </w:tc>
      </w:tr>
      <w:tr w14:paraId="1CDC6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16" w:type="dxa"/>
            <w:tcBorders>
              <w:top w:val="single" w:color="auto" w:sz="4" w:space="0"/>
              <w:left w:val="single" w:color="auto" w:sz="4" w:space="0"/>
              <w:bottom w:val="single" w:color="auto" w:sz="4" w:space="0"/>
              <w:right w:val="single" w:color="auto" w:sz="4" w:space="0"/>
            </w:tcBorders>
            <w:vAlign w:val="center"/>
          </w:tcPr>
          <w:p w14:paraId="3E9F6304">
            <w:pPr>
              <w:adjustRightInd w:val="0"/>
              <w:snapToGrid w:val="0"/>
              <w:spacing w:line="440" w:lineRule="exact"/>
              <w:ind w:firstLine="480" w:firstLineChars="200"/>
              <w:jc w:val="center"/>
              <w:rPr>
                <w:rFonts w:ascii="宋体" w:hAnsi="宋体" w:eastAsia="宋体" w:cs="宋体"/>
                <w:sz w:val="24"/>
                <w:szCs w:val="24"/>
              </w:rPr>
            </w:pPr>
          </w:p>
        </w:tc>
        <w:tc>
          <w:tcPr>
            <w:tcW w:w="1924" w:type="dxa"/>
            <w:tcBorders>
              <w:top w:val="single" w:color="auto" w:sz="4" w:space="0"/>
              <w:left w:val="single" w:color="auto" w:sz="4" w:space="0"/>
              <w:bottom w:val="single" w:color="auto" w:sz="4" w:space="0"/>
              <w:right w:val="single" w:color="auto" w:sz="4" w:space="0"/>
            </w:tcBorders>
            <w:vAlign w:val="center"/>
          </w:tcPr>
          <w:p w14:paraId="03A669FF">
            <w:pPr>
              <w:adjustRightInd w:val="0"/>
              <w:snapToGrid w:val="0"/>
              <w:spacing w:line="440" w:lineRule="exact"/>
              <w:ind w:firstLine="480" w:firstLineChars="200"/>
              <w:jc w:val="center"/>
              <w:rPr>
                <w:rFonts w:ascii="宋体" w:hAnsi="宋体" w:eastAsia="宋体" w:cs="宋体"/>
                <w:sz w:val="24"/>
                <w:szCs w:val="24"/>
              </w:rPr>
            </w:pPr>
          </w:p>
        </w:tc>
        <w:tc>
          <w:tcPr>
            <w:tcW w:w="1479" w:type="dxa"/>
            <w:tcBorders>
              <w:top w:val="single" w:color="auto" w:sz="4" w:space="0"/>
              <w:left w:val="single" w:color="auto" w:sz="4" w:space="0"/>
              <w:bottom w:val="single" w:color="auto" w:sz="4" w:space="0"/>
              <w:right w:val="single" w:color="auto" w:sz="4" w:space="0"/>
            </w:tcBorders>
            <w:vAlign w:val="center"/>
          </w:tcPr>
          <w:p w14:paraId="223D1170">
            <w:pPr>
              <w:adjustRightInd w:val="0"/>
              <w:snapToGrid w:val="0"/>
              <w:spacing w:line="440" w:lineRule="exact"/>
              <w:ind w:firstLine="480" w:firstLineChars="200"/>
              <w:jc w:val="center"/>
              <w:rPr>
                <w:rFonts w:ascii="宋体" w:hAnsi="宋体" w:eastAsia="宋体" w:cs="宋体"/>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14:paraId="1BD2B933">
            <w:pPr>
              <w:adjustRightInd w:val="0"/>
              <w:snapToGrid w:val="0"/>
              <w:spacing w:line="440" w:lineRule="exact"/>
              <w:ind w:firstLine="480" w:firstLineChars="200"/>
              <w:jc w:val="center"/>
              <w:rPr>
                <w:rFonts w:ascii="宋体" w:hAnsi="宋体" w:eastAsia="宋体" w:cs="宋体"/>
                <w:sz w:val="24"/>
                <w:szCs w:val="24"/>
              </w:rPr>
            </w:pPr>
          </w:p>
        </w:tc>
        <w:tc>
          <w:tcPr>
            <w:tcW w:w="1361" w:type="dxa"/>
            <w:tcBorders>
              <w:top w:val="single" w:color="auto" w:sz="4" w:space="0"/>
              <w:left w:val="single" w:color="auto" w:sz="4" w:space="0"/>
              <w:bottom w:val="single" w:color="auto" w:sz="4" w:space="0"/>
              <w:right w:val="single" w:color="auto" w:sz="4" w:space="0"/>
            </w:tcBorders>
            <w:vAlign w:val="center"/>
          </w:tcPr>
          <w:p w14:paraId="7E17A640">
            <w:pPr>
              <w:adjustRightInd w:val="0"/>
              <w:snapToGrid w:val="0"/>
              <w:spacing w:line="440" w:lineRule="exact"/>
              <w:ind w:firstLine="480" w:firstLineChars="200"/>
              <w:jc w:val="center"/>
              <w:rPr>
                <w:rFonts w:ascii="宋体" w:hAnsi="宋体" w:eastAsia="宋体" w:cs="宋体"/>
                <w:sz w:val="24"/>
                <w:szCs w:val="24"/>
              </w:rPr>
            </w:pPr>
          </w:p>
        </w:tc>
        <w:tc>
          <w:tcPr>
            <w:tcW w:w="2235" w:type="dxa"/>
            <w:tcBorders>
              <w:top w:val="single" w:color="auto" w:sz="4" w:space="0"/>
              <w:left w:val="single" w:color="auto" w:sz="4" w:space="0"/>
              <w:bottom w:val="single" w:color="auto" w:sz="4" w:space="0"/>
              <w:right w:val="single" w:color="auto" w:sz="4" w:space="0"/>
            </w:tcBorders>
            <w:vAlign w:val="center"/>
          </w:tcPr>
          <w:p w14:paraId="6C51E573">
            <w:pPr>
              <w:adjustRightInd w:val="0"/>
              <w:snapToGrid w:val="0"/>
              <w:spacing w:line="440" w:lineRule="exact"/>
              <w:ind w:firstLine="480" w:firstLineChars="200"/>
              <w:jc w:val="center"/>
              <w:rPr>
                <w:rFonts w:ascii="宋体" w:hAnsi="宋体" w:eastAsia="宋体" w:cs="宋体"/>
                <w:sz w:val="24"/>
                <w:szCs w:val="24"/>
              </w:rPr>
            </w:pPr>
          </w:p>
        </w:tc>
      </w:tr>
      <w:tr w14:paraId="41EAA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16" w:type="dxa"/>
            <w:tcBorders>
              <w:top w:val="single" w:color="auto" w:sz="4" w:space="0"/>
              <w:left w:val="single" w:color="auto" w:sz="4" w:space="0"/>
              <w:bottom w:val="single" w:color="auto" w:sz="4" w:space="0"/>
              <w:right w:val="single" w:color="auto" w:sz="4" w:space="0"/>
            </w:tcBorders>
            <w:vAlign w:val="center"/>
          </w:tcPr>
          <w:p w14:paraId="4E1738E6">
            <w:pPr>
              <w:adjustRightInd w:val="0"/>
              <w:snapToGrid w:val="0"/>
              <w:spacing w:line="440" w:lineRule="exact"/>
              <w:ind w:firstLine="480" w:firstLineChars="200"/>
              <w:jc w:val="center"/>
              <w:rPr>
                <w:rFonts w:ascii="宋体" w:hAnsi="宋体" w:eastAsia="宋体" w:cs="宋体"/>
                <w:sz w:val="24"/>
                <w:szCs w:val="24"/>
              </w:rPr>
            </w:pPr>
          </w:p>
        </w:tc>
        <w:tc>
          <w:tcPr>
            <w:tcW w:w="1924" w:type="dxa"/>
            <w:tcBorders>
              <w:top w:val="single" w:color="auto" w:sz="4" w:space="0"/>
              <w:left w:val="single" w:color="auto" w:sz="4" w:space="0"/>
              <w:bottom w:val="single" w:color="auto" w:sz="4" w:space="0"/>
              <w:right w:val="single" w:color="auto" w:sz="4" w:space="0"/>
            </w:tcBorders>
            <w:vAlign w:val="center"/>
          </w:tcPr>
          <w:p w14:paraId="6BEEA0A0">
            <w:pPr>
              <w:adjustRightInd w:val="0"/>
              <w:snapToGrid w:val="0"/>
              <w:spacing w:line="440" w:lineRule="exact"/>
              <w:ind w:firstLine="480" w:firstLineChars="200"/>
              <w:jc w:val="center"/>
              <w:rPr>
                <w:rFonts w:ascii="宋体" w:hAnsi="宋体" w:eastAsia="宋体" w:cs="宋体"/>
                <w:sz w:val="24"/>
                <w:szCs w:val="24"/>
              </w:rPr>
            </w:pPr>
          </w:p>
        </w:tc>
        <w:tc>
          <w:tcPr>
            <w:tcW w:w="1479" w:type="dxa"/>
            <w:tcBorders>
              <w:top w:val="single" w:color="auto" w:sz="4" w:space="0"/>
              <w:left w:val="single" w:color="auto" w:sz="4" w:space="0"/>
              <w:bottom w:val="single" w:color="auto" w:sz="4" w:space="0"/>
              <w:right w:val="single" w:color="auto" w:sz="4" w:space="0"/>
            </w:tcBorders>
            <w:vAlign w:val="center"/>
          </w:tcPr>
          <w:p w14:paraId="3C95087F">
            <w:pPr>
              <w:adjustRightInd w:val="0"/>
              <w:snapToGrid w:val="0"/>
              <w:spacing w:line="440" w:lineRule="exact"/>
              <w:ind w:firstLine="480" w:firstLineChars="200"/>
              <w:jc w:val="center"/>
              <w:rPr>
                <w:rFonts w:ascii="宋体" w:hAnsi="宋体" w:eastAsia="宋体" w:cs="宋体"/>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14:paraId="3C73B90B">
            <w:pPr>
              <w:adjustRightInd w:val="0"/>
              <w:snapToGrid w:val="0"/>
              <w:spacing w:line="440" w:lineRule="exact"/>
              <w:ind w:firstLine="480" w:firstLineChars="200"/>
              <w:jc w:val="center"/>
              <w:rPr>
                <w:rFonts w:ascii="宋体" w:hAnsi="宋体" w:eastAsia="宋体" w:cs="宋体"/>
                <w:sz w:val="24"/>
                <w:szCs w:val="24"/>
              </w:rPr>
            </w:pPr>
          </w:p>
        </w:tc>
        <w:tc>
          <w:tcPr>
            <w:tcW w:w="1361" w:type="dxa"/>
            <w:tcBorders>
              <w:top w:val="single" w:color="auto" w:sz="4" w:space="0"/>
              <w:left w:val="single" w:color="auto" w:sz="4" w:space="0"/>
              <w:bottom w:val="single" w:color="auto" w:sz="4" w:space="0"/>
              <w:right w:val="single" w:color="auto" w:sz="4" w:space="0"/>
            </w:tcBorders>
            <w:vAlign w:val="center"/>
          </w:tcPr>
          <w:p w14:paraId="3E8EAAB8">
            <w:pPr>
              <w:adjustRightInd w:val="0"/>
              <w:snapToGrid w:val="0"/>
              <w:spacing w:line="440" w:lineRule="exact"/>
              <w:ind w:firstLine="480" w:firstLineChars="200"/>
              <w:jc w:val="center"/>
              <w:rPr>
                <w:rFonts w:ascii="宋体" w:hAnsi="宋体" w:eastAsia="宋体" w:cs="宋体"/>
                <w:sz w:val="24"/>
                <w:szCs w:val="24"/>
              </w:rPr>
            </w:pPr>
          </w:p>
        </w:tc>
        <w:tc>
          <w:tcPr>
            <w:tcW w:w="2235" w:type="dxa"/>
            <w:tcBorders>
              <w:top w:val="single" w:color="auto" w:sz="4" w:space="0"/>
              <w:left w:val="single" w:color="auto" w:sz="4" w:space="0"/>
              <w:bottom w:val="single" w:color="auto" w:sz="4" w:space="0"/>
              <w:right w:val="single" w:color="auto" w:sz="4" w:space="0"/>
            </w:tcBorders>
            <w:vAlign w:val="center"/>
          </w:tcPr>
          <w:p w14:paraId="023838E1">
            <w:pPr>
              <w:adjustRightInd w:val="0"/>
              <w:snapToGrid w:val="0"/>
              <w:spacing w:line="440" w:lineRule="exact"/>
              <w:ind w:firstLine="480" w:firstLineChars="200"/>
              <w:jc w:val="center"/>
              <w:rPr>
                <w:rFonts w:ascii="宋体" w:hAnsi="宋体" w:eastAsia="宋体" w:cs="宋体"/>
                <w:sz w:val="24"/>
                <w:szCs w:val="24"/>
              </w:rPr>
            </w:pPr>
          </w:p>
        </w:tc>
      </w:tr>
      <w:tr w14:paraId="6A971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16" w:type="dxa"/>
            <w:tcBorders>
              <w:top w:val="single" w:color="auto" w:sz="4" w:space="0"/>
              <w:left w:val="single" w:color="auto" w:sz="4" w:space="0"/>
              <w:bottom w:val="single" w:color="auto" w:sz="4" w:space="0"/>
              <w:right w:val="single" w:color="auto" w:sz="4" w:space="0"/>
            </w:tcBorders>
            <w:vAlign w:val="center"/>
          </w:tcPr>
          <w:p w14:paraId="6361A868">
            <w:pPr>
              <w:adjustRightInd w:val="0"/>
              <w:snapToGrid w:val="0"/>
              <w:spacing w:line="440" w:lineRule="exact"/>
              <w:ind w:firstLine="480" w:firstLineChars="200"/>
              <w:jc w:val="center"/>
              <w:rPr>
                <w:rFonts w:ascii="宋体" w:hAnsi="宋体" w:eastAsia="宋体" w:cs="宋体"/>
                <w:sz w:val="24"/>
                <w:szCs w:val="24"/>
              </w:rPr>
            </w:pPr>
          </w:p>
        </w:tc>
        <w:tc>
          <w:tcPr>
            <w:tcW w:w="1924" w:type="dxa"/>
            <w:tcBorders>
              <w:top w:val="single" w:color="auto" w:sz="4" w:space="0"/>
              <w:left w:val="single" w:color="auto" w:sz="4" w:space="0"/>
              <w:bottom w:val="single" w:color="auto" w:sz="4" w:space="0"/>
              <w:right w:val="single" w:color="auto" w:sz="4" w:space="0"/>
            </w:tcBorders>
            <w:vAlign w:val="center"/>
          </w:tcPr>
          <w:p w14:paraId="34868F99">
            <w:pPr>
              <w:adjustRightInd w:val="0"/>
              <w:snapToGrid w:val="0"/>
              <w:spacing w:line="440" w:lineRule="exact"/>
              <w:ind w:firstLine="480" w:firstLineChars="200"/>
              <w:jc w:val="center"/>
              <w:rPr>
                <w:rFonts w:ascii="宋体" w:hAnsi="宋体" w:eastAsia="宋体" w:cs="宋体"/>
                <w:sz w:val="24"/>
                <w:szCs w:val="24"/>
              </w:rPr>
            </w:pPr>
          </w:p>
        </w:tc>
        <w:tc>
          <w:tcPr>
            <w:tcW w:w="1479" w:type="dxa"/>
            <w:tcBorders>
              <w:top w:val="single" w:color="auto" w:sz="4" w:space="0"/>
              <w:left w:val="single" w:color="auto" w:sz="4" w:space="0"/>
              <w:bottom w:val="single" w:color="auto" w:sz="4" w:space="0"/>
              <w:right w:val="single" w:color="auto" w:sz="4" w:space="0"/>
            </w:tcBorders>
            <w:vAlign w:val="center"/>
          </w:tcPr>
          <w:p w14:paraId="293FB70D">
            <w:pPr>
              <w:adjustRightInd w:val="0"/>
              <w:snapToGrid w:val="0"/>
              <w:spacing w:line="440" w:lineRule="exact"/>
              <w:ind w:firstLine="480" w:firstLineChars="200"/>
              <w:jc w:val="center"/>
              <w:rPr>
                <w:rFonts w:ascii="宋体" w:hAnsi="宋体" w:eastAsia="宋体" w:cs="宋体"/>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14:paraId="0C5E38BB">
            <w:pPr>
              <w:adjustRightInd w:val="0"/>
              <w:snapToGrid w:val="0"/>
              <w:spacing w:line="440" w:lineRule="exact"/>
              <w:ind w:firstLine="480" w:firstLineChars="200"/>
              <w:jc w:val="center"/>
              <w:rPr>
                <w:rFonts w:ascii="宋体" w:hAnsi="宋体" w:eastAsia="宋体" w:cs="宋体"/>
                <w:sz w:val="24"/>
                <w:szCs w:val="24"/>
              </w:rPr>
            </w:pPr>
          </w:p>
        </w:tc>
        <w:tc>
          <w:tcPr>
            <w:tcW w:w="1361" w:type="dxa"/>
            <w:tcBorders>
              <w:top w:val="single" w:color="auto" w:sz="4" w:space="0"/>
              <w:left w:val="single" w:color="auto" w:sz="4" w:space="0"/>
              <w:bottom w:val="single" w:color="auto" w:sz="4" w:space="0"/>
              <w:right w:val="single" w:color="auto" w:sz="4" w:space="0"/>
            </w:tcBorders>
            <w:vAlign w:val="center"/>
          </w:tcPr>
          <w:p w14:paraId="15B30A98">
            <w:pPr>
              <w:adjustRightInd w:val="0"/>
              <w:snapToGrid w:val="0"/>
              <w:spacing w:line="440" w:lineRule="exact"/>
              <w:ind w:firstLine="480" w:firstLineChars="200"/>
              <w:jc w:val="center"/>
              <w:rPr>
                <w:rFonts w:ascii="宋体" w:hAnsi="宋体" w:eastAsia="宋体" w:cs="宋体"/>
                <w:sz w:val="24"/>
                <w:szCs w:val="24"/>
              </w:rPr>
            </w:pPr>
          </w:p>
        </w:tc>
        <w:tc>
          <w:tcPr>
            <w:tcW w:w="2235" w:type="dxa"/>
            <w:tcBorders>
              <w:top w:val="single" w:color="auto" w:sz="4" w:space="0"/>
              <w:left w:val="single" w:color="auto" w:sz="4" w:space="0"/>
              <w:bottom w:val="single" w:color="auto" w:sz="4" w:space="0"/>
              <w:right w:val="single" w:color="auto" w:sz="4" w:space="0"/>
            </w:tcBorders>
            <w:vAlign w:val="center"/>
          </w:tcPr>
          <w:p w14:paraId="10AA2697">
            <w:pPr>
              <w:adjustRightInd w:val="0"/>
              <w:snapToGrid w:val="0"/>
              <w:spacing w:line="440" w:lineRule="exact"/>
              <w:ind w:firstLine="480" w:firstLineChars="200"/>
              <w:jc w:val="center"/>
              <w:rPr>
                <w:rFonts w:ascii="宋体" w:hAnsi="宋体" w:eastAsia="宋体" w:cs="宋体"/>
                <w:sz w:val="24"/>
                <w:szCs w:val="24"/>
              </w:rPr>
            </w:pPr>
          </w:p>
        </w:tc>
      </w:tr>
      <w:tr w14:paraId="09057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16" w:type="dxa"/>
            <w:tcBorders>
              <w:top w:val="single" w:color="auto" w:sz="4" w:space="0"/>
              <w:left w:val="single" w:color="auto" w:sz="4" w:space="0"/>
              <w:bottom w:val="single" w:color="auto" w:sz="4" w:space="0"/>
              <w:right w:val="single" w:color="auto" w:sz="4" w:space="0"/>
            </w:tcBorders>
            <w:vAlign w:val="center"/>
          </w:tcPr>
          <w:p w14:paraId="41B11833">
            <w:pPr>
              <w:adjustRightInd w:val="0"/>
              <w:snapToGrid w:val="0"/>
              <w:spacing w:line="440" w:lineRule="exact"/>
              <w:ind w:firstLine="480" w:firstLineChars="200"/>
              <w:jc w:val="center"/>
              <w:rPr>
                <w:rFonts w:ascii="宋体" w:hAnsi="宋体" w:eastAsia="宋体" w:cs="宋体"/>
                <w:sz w:val="24"/>
                <w:szCs w:val="24"/>
              </w:rPr>
            </w:pPr>
          </w:p>
        </w:tc>
        <w:tc>
          <w:tcPr>
            <w:tcW w:w="1924" w:type="dxa"/>
            <w:tcBorders>
              <w:top w:val="single" w:color="auto" w:sz="4" w:space="0"/>
              <w:left w:val="single" w:color="auto" w:sz="4" w:space="0"/>
              <w:bottom w:val="single" w:color="auto" w:sz="4" w:space="0"/>
              <w:right w:val="single" w:color="auto" w:sz="4" w:space="0"/>
            </w:tcBorders>
            <w:vAlign w:val="center"/>
          </w:tcPr>
          <w:p w14:paraId="41FA35D8">
            <w:pPr>
              <w:adjustRightInd w:val="0"/>
              <w:snapToGrid w:val="0"/>
              <w:spacing w:line="440" w:lineRule="exact"/>
              <w:ind w:firstLine="480" w:firstLineChars="200"/>
              <w:jc w:val="center"/>
              <w:rPr>
                <w:rFonts w:ascii="宋体" w:hAnsi="宋体" w:eastAsia="宋体" w:cs="宋体"/>
                <w:sz w:val="24"/>
                <w:szCs w:val="24"/>
              </w:rPr>
            </w:pPr>
          </w:p>
        </w:tc>
        <w:tc>
          <w:tcPr>
            <w:tcW w:w="1479" w:type="dxa"/>
            <w:tcBorders>
              <w:top w:val="single" w:color="auto" w:sz="4" w:space="0"/>
              <w:left w:val="single" w:color="auto" w:sz="4" w:space="0"/>
              <w:bottom w:val="single" w:color="auto" w:sz="4" w:space="0"/>
              <w:right w:val="single" w:color="auto" w:sz="4" w:space="0"/>
            </w:tcBorders>
            <w:vAlign w:val="center"/>
          </w:tcPr>
          <w:p w14:paraId="36F066BA">
            <w:pPr>
              <w:adjustRightInd w:val="0"/>
              <w:snapToGrid w:val="0"/>
              <w:spacing w:line="440" w:lineRule="exact"/>
              <w:ind w:firstLine="480" w:firstLineChars="200"/>
              <w:jc w:val="center"/>
              <w:rPr>
                <w:rFonts w:ascii="宋体" w:hAnsi="宋体" w:eastAsia="宋体" w:cs="宋体"/>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14:paraId="3FA1BD72">
            <w:pPr>
              <w:adjustRightInd w:val="0"/>
              <w:snapToGrid w:val="0"/>
              <w:spacing w:line="440" w:lineRule="exact"/>
              <w:ind w:firstLine="480" w:firstLineChars="200"/>
              <w:jc w:val="center"/>
              <w:rPr>
                <w:rFonts w:ascii="宋体" w:hAnsi="宋体" w:eastAsia="宋体" w:cs="宋体"/>
                <w:sz w:val="24"/>
                <w:szCs w:val="24"/>
              </w:rPr>
            </w:pPr>
          </w:p>
        </w:tc>
        <w:tc>
          <w:tcPr>
            <w:tcW w:w="1361" w:type="dxa"/>
            <w:tcBorders>
              <w:top w:val="single" w:color="auto" w:sz="4" w:space="0"/>
              <w:left w:val="single" w:color="auto" w:sz="4" w:space="0"/>
              <w:bottom w:val="single" w:color="auto" w:sz="4" w:space="0"/>
              <w:right w:val="single" w:color="auto" w:sz="4" w:space="0"/>
            </w:tcBorders>
            <w:vAlign w:val="center"/>
          </w:tcPr>
          <w:p w14:paraId="3AED8A04">
            <w:pPr>
              <w:adjustRightInd w:val="0"/>
              <w:snapToGrid w:val="0"/>
              <w:spacing w:line="440" w:lineRule="exact"/>
              <w:ind w:firstLine="480" w:firstLineChars="200"/>
              <w:jc w:val="center"/>
              <w:rPr>
                <w:rFonts w:ascii="宋体" w:hAnsi="宋体" w:eastAsia="宋体" w:cs="宋体"/>
                <w:sz w:val="24"/>
                <w:szCs w:val="24"/>
              </w:rPr>
            </w:pPr>
          </w:p>
        </w:tc>
        <w:tc>
          <w:tcPr>
            <w:tcW w:w="2235" w:type="dxa"/>
            <w:tcBorders>
              <w:top w:val="single" w:color="auto" w:sz="4" w:space="0"/>
              <w:left w:val="single" w:color="auto" w:sz="4" w:space="0"/>
              <w:bottom w:val="single" w:color="auto" w:sz="4" w:space="0"/>
              <w:right w:val="single" w:color="auto" w:sz="4" w:space="0"/>
            </w:tcBorders>
            <w:vAlign w:val="center"/>
          </w:tcPr>
          <w:p w14:paraId="45D49FDB">
            <w:pPr>
              <w:adjustRightInd w:val="0"/>
              <w:snapToGrid w:val="0"/>
              <w:spacing w:line="440" w:lineRule="exact"/>
              <w:ind w:firstLine="480" w:firstLineChars="200"/>
              <w:jc w:val="center"/>
              <w:rPr>
                <w:rFonts w:ascii="宋体" w:hAnsi="宋体" w:eastAsia="宋体" w:cs="宋体"/>
                <w:sz w:val="24"/>
                <w:szCs w:val="24"/>
              </w:rPr>
            </w:pPr>
          </w:p>
        </w:tc>
      </w:tr>
      <w:tr w14:paraId="1DF18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16" w:type="dxa"/>
            <w:tcBorders>
              <w:top w:val="single" w:color="auto" w:sz="4" w:space="0"/>
              <w:left w:val="single" w:color="auto" w:sz="4" w:space="0"/>
              <w:bottom w:val="single" w:color="auto" w:sz="4" w:space="0"/>
              <w:right w:val="single" w:color="auto" w:sz="4" w:space="0"/>
            </w:tcBorders>
            <w:vAlign w:val="center"/>
          </w:tcPr>
          <w:p w14:paraId="32B37658">
            <w:pPr>
              <w:adjustRightInd w:val="0"/>
              <w:snapToGrid w:val="0"/>
              <w:spacing w:line="440" w:lineRule="exact"/>
              <w:ind w:firstLine="480" w:firstLineChars="200"/>
              <w:jc w:val="center"/>
              <w:rPr>
                <w:rFonts w:ascii="宋体" w:hAnsi="宋体" w:eastAsia="宋体" w:cs="宋体"/>
                <w:sz w:val="24"/>
                <w:szCs w:val="24"/>
              </w:rPr>
            </w:pPr>
          </w:p>
        </w:tc>
        <w:tc>
          <w:tcPr>
            <w:tcW w:w="1924" w:type="dxa"/>
            <w:tcBorders>
              <w:top w:val="single" w:color="auto" w:sz="4" w:space="0"/>
              <w:left w:val="single" w:color="auto" w:sz="4" w:space="0"/>
              <w:bottom w:val="single" w:color="auto" w:sz="4" w:space="0"/>
              <w:right w:val="single" w:color="auto" w:sz="4" w:space="0"/>
            </w:tcBorders>
            <w:vAlign w:val="center"/>
          </w:tcPr>
          <w:p w14:paraId="29CFEAA8">
            <w:pPr>
              <w:adjustRightInd w:val="0"/>
              <w:snapToGrid w:val="0"/>
              <w:spacing w:line="440" w:lineRule="exact"/>
              <w:ind w:firstLine="480" w:firstLineChars="200"/>
              <w:jc w:val="center"/>
              <w:rPr>
                <w:rFonts w:ascii="宋体" w:hAnsi="宋体" w:eastAsia="宋体" w:cs="宋体"/>
                <w:sz w:val="24"/>
                <w:szCs w:val="24"/>
              </w:rPr>
            </w:pPr>
          </w:p>
        </w:tc>
        <w:tc>
          <w:tcPr>
            <w:tcW w:w="1479" w:type="dxa"/>
            <w:tcBorders>
              <w:top w:val="single" w:color="auto" w:sz="4" w:space="0"/>
              <w:left w:val="single" w:color="auto" w:sz="4" w:space="0"/>
              <w:bottom w:val="single" w:color="auto" w:sz="4" w:space="0"/>
              <w:right w:val="single" w:color="auto" w:sz="4" w:space="0"/>
            </w:tcBorders>
            <w:vAlign w:val="center"/>
          </w:tcPr>
          <w:p w14:paraId="2869FCF5">
            <w:pPr>
              <w:adjustRightInd w:val="0"/>
              <w:snapToGrid w:val="0"/>
              <w:spacing w:line="440" w:lineRule="exact"/>
              <w:ind w:firstLine="480" w:firstLineChars="200"/>
              <w:jc w:val="center"/>
              <w:rPr>
                <w:rFonts w:ascii="宋体" w:hAnsi="宋体" w:eastAsia="宋体" w:cs="宋体"/>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14:paraId="051A1940">
            <w:pPr>
              <w:adjustRightInd w:val="0"/>
              <w:snapToGrid w:val="0"/>
              <w:spacing w:line="440" w:lineRule="exact"/>
              <w:ind w:firstLine="480" w:firstLineChars="200"/>
              <w:jc w:val="center"/>
              <w:rPr>
                <w:rFonts w:ascii="宋体" w:hAnsi="宋体" w:eastAsia="宋体" w:cs="宋体"/>
                <w:sz w:val="24"/>
                <w:szCs w:val="24"/>
              </w:rPr>
            </w:pPr>
          </w:p>
        </w:tc>
        <w:tc>
          <w:tcPr>
            <w:tcW w:w="1361" w:type="dxa"/>
            <w:tcBorders>
              <w:top w:val="single" w:color="auto" w:sz="4" w:space="0"/>
              <w:left w:val="single" w:color="auto" w:sz="4" w:space="0"/>
              <w:bottom w:val="single" w:color="auto" w:sz="4" w:space="0"/>
              <w:right w:val="single" w:color="auto" w:sz="4" w:space="0"/>
            </w:tcBorders>
            <w:vAlign w:val="center"/>
          </w:tcPr>
          <w:p w14:paraId="55476259">
            <w:pPr>
              <w:adjustRightInd w:val="0"/>
              <w:snapToGrid w:val="0"/>
              <w:spacing w:line="440" w:lineRule="exact"/>
              <w:ind w:firstLine="480" w:firstLineChars="200"/>
              <w:jc w:val="center"/>
              <w:rPr>
                <w:rFonts w:ascii="宋体" w:hAnsi="宋体" w:eastAsia="宋体" w:cs="宋体"/>
                <w:sz w:val="24"/>
                <w:szCs w:val="24"/>
              </w:rPr>
            </w:pPr>
          </w:p>
        </w:tc>
        <w:tc>
          <w:tcPr>
            <w:tcW w:w="2235" w:type="dxa"/>
            <w:tcBorders>
              <w:top w:val="single" w:color="auto" w:sz="4" w:space="0"/>
              <w:left w:val="single" w:color="auto" w:sz="4" w:space="0"/>
              <w:bottom w:val="single" w:color="auto" w:sz="4" w:space="0"/>
              <w:right w:val="single" w:color="auto" w:sz="4" w:space="0"/>
            </w:tcBorders>
            <w:vAlign w:val="center"/>
          </w:tcPr>
          <w:p w14:paraId="2E94CFB8">
            <w:pPr>
              <w:adjustRightInd w:val="0"/>
              <w:snapToGrid w:val="0"/>
              <w:spacing w:line="440" w:lineRule="exact"/>
              <w:ind w:firstLine="480" w:firstLineChars="200"/>
              <w:jc w:val="center"/>
              <w:rPr>
                <w:rFonts w:ascii="宋体" w:hAnsi="宋体" w:eastAsia="宋体" w:cs="宋体"/>
                <w:sz w:val="24"/>
                <w:szCs w:val="24"/>
              </w:rPr>
            </w:pPr>
          </w:p>
        </w:tc>
      </w:tr>
      <w:tr w14:paraId="6C597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16" w:type="dxa"/>
            <w:tcBorders>
              <w:top w:val="single" w:color="auto" w:sz="4" w:space="0"/>
              <w:left w:val="single" w:color="auto" w:sz="4" w:space="0"/>
              <w:bottom w:val="single" w:color="auto" w:sz="4" w:space="0"/>
              <w:right w:val="single" w:color="auto" w:sz="4" w:space="0"/>
            </w:tcBorders>
            <w:vAlign w:val="center"/>
          </w:tcPr>
          <w:p w14:paraId="55186154">
            <w:pPr>
              <w:adjustRightInd w:val="0"/>
              <w:snapToGrid w:val="0"/>
              <w:spacing w:line="440" w:lineRule="exact"/>
              <w:ind w:firstLine="480" w:firstLineChars="200"/>
              <w:jc w:val="center"/>
              <w:rPr>
                <w:rFonts w:ascii="宋体" w:hAnsi="宋体" w:eastAsia="宋体" w:cs="宋体"/>
                <w:sz w:val="24"/>
                <w:szCs w:val="24"/>
              </w:rPr>
            </w:pPr>
          </w:p>
        </w:tc>
        <w:tc>
          <w:tcPr>
            <w:tcW w:w="1924" w:type="dxa"/>
            <w:tcBorders>
              <w:top w:val="single" w:color="auto" w:sz="4" w:space="0"/>
              <w:left w:val="single" w:color="auto" w:sz="4" w:space="0"/>
              <w:bottom w:val="single" w:color="auto" w:sz="4" w:space="0"/>
              <w:right w:val="single" w:color="auto" w:sz="4" w:space="0"/>
            </w:tcBorders>
            <w:vAlign w:val="center"/>
          </w:tcPr>
          <w:p w14:paraId="235ABD77">
            <w:pPr>
              <w:adjustRightInd w:val="0"/>
              <w:snapToGrid w:val="0"/>
              <w:spacing w:line="440" w:lineRule="exact"/>
              <w:ind w:firstLine="480" w:firstLineChars="200"/>
              <w:jc w:val="center"/>
              <w:rPr>
                <w:rFonts w:ascii="宋体" w:hAnsi="宋体" w:eastAsia="宋体" w:cs="宋体"/>
                <w:sz w:val="24"/>
                <w:szCs w:val="24"/>
              </w:rPr>
            </w:pPr>
          </w:p>
        </w:tc>
        <w:tc>
          <w:tcPr>
            <w:tcW w:w="1479" w:type="dxa"/>
            <w:tcBorders>
              <w:top w:val="single" w:color="auto" w:sz="4" w:space="0"/>
              <w:left w:val="single" w:color="auto" w:sz="4" w:space="0"/>
              <w:bottom w:val="single" w:color="auto" w:sz="4" w:space="0"/>
              <w:right w:val="single" w:color="auto" w:sz="4" w:space="0"/>
            </w:tcBorders>
            <w:vAlign w:val="center"/>
          </w:tcPr>
          <w:p w14:paraId="6B2351EC">
            <w:pPr>
              <w:adjustRightInd w:val="0"/>
              <w:snapToGrid w:val="0"/>
              <w:spacing w:line="440" w:lineRule="exact"/>
              <w:ind w:firstLine="480" w:firstLineChars="200"/>
              <w:jc w:val="center"/>
              <w:rPr>
                <w:rFonts w:ascii="宋体" w:hAnsi="宋体" w:eastAsia="宋体" w:cs="宋体"/>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14:paraId="450AC6D1">
            <w:pPr>
              <w:adjustRightInd w:val="0"/>
              <w:snapToGrid w:val="0"/>
              <w:spacing w:line="440" w:lineRule="exact"/>
              <w:ind w:firstLine="480" w:firstLineChars="200"/>
              <w:jc w:val="center"/>
              <w:rPr>
                <w:rFonts w:ascii="宋体" w:hAnsi="宋体" w:eastAsia="宋体" w:cs="宋体"/>
                <w:sz w:val="24"/>
                <w:szCs w:val="24"/>
              </w:rPr>
            </w:pPr>
          </w:p>
        </w:tc>
        <w:tc>
          <w:tcPr>
            <w:tcW w:w="1361" w:type="dxa"/>
            <w:tcBorders>
              <w:top w:val="single" w:color="auto" w:sz="4" w:space="0"/>
              <w:left w:val="single" w:color="auto" w:sz="4" w:space="0"/>
              <w:bottom w:val="single" w:color="auto" w:sz="4" w:space="0"/>
              <w:right w:val="single" w:color="auto" w:sz="4" w:space="0"/>
            </w:tcBorders>
            <w:vAlign w:val="center"/>
          </w:tcPr>
          <w:p w14:paraId="497A11F9">
            <w:pPr>
              <w:adjustRightInd w:val="0"/>
              <w:snapToGrid w:val="0"/>
              <w:spacing w:line="440" w:lineRule="exact"/>
              <w:ind w:firstLine="480" w:firstLineChars="200"/>
              <w:jc w:val="center"/>
              <w:rPr>
                <w:rFonts w:ascii="宋体" w:hAnsi="宋体" w:eastAsia="宋体" w:cs="宋体"/>
                <w:sz w:val="24"/>
                <w:szCs w:val="24"/>
              </w:rPr>
            </w:pPr>
          </w:p>
        </w:tc>
        <w:tc>
          <w:tcPr>
            <w:tcW w:w="2235" w:type="dxa"/>
            <w:tcBorders>
              <w:top w:val="single" w:color="auto" w:sz="4" w:space="0"/>
              <w:left w:val="single" w:color="auto" w:sz="4" w:space="0"/>
              <w:bottom w:val="single" w:color="auto" w:sz="4" w:space="0"/>
              <w:right w:val="single" w:color="auto" w:sz="4" w:space="0"/>
            </w:tcBorders>
            <w:vAlign w:val="center"/>
          </w:tcPr>
          <w:p w14:paraId="6B105353">
            <w:pPr>
              <w:adjustRightInd w:val="0"/>
              <w:snapToGrid w:val="0"/>
              <w:spacing w:line="440" w:lineRule="exact"/>
              <w:ind w:firstLine="480" w:firstLineChars="200"/>
              <w:jc w:val="center"/>
              <w:rPr>
                <w:rFonts w:ascii="宋体" w:hAnsi="宋体" w:eastAsia="宋体" w:cs="宋体"/>
                <w:sz w:val="24"/>
                <w:szCs w:val="24"/>
              </w:rPr>
            </w:pPr>
          </w:p>
        </w:tc>
      </w:tr>
    </w:tbl>
    <w:p w14:paraId="3F3C476A">
      <w:pPr>
        <w:pStyle w:val="133"/>
        <w:numPr>
          <w:ilvl w:val="2"/>
          <w:numId w:val="51"/>
        </w:numPr>
        <w:adjustRightInd w:val="0"/>
        <w:snapToGrid w:val="0"/>
        <w:spacing w:line="440" w:lineRule="exact"/>
        <w:ind w:left="993" w:firstLineChars="0"/>
        <w:rPr>
          <w:rFonts w:ascii="宋体" w:hAnsi="宋体" w:eastAsia="宋体" w:cs="宋体"/>
          <w:sz w:val="24"/>
          <w:szCs w:val="24"/>
        </w:rPr>
      </w:pPr>
      <w:r>
        <w:rPr>
          <w:rFonts w:hint="eastAsia" w:ascii="宋体" w:hAnsi="宋体" w:eastAsia="宋体" w:cs="宋体"/>
          <w:sz w:val="24"/>
          <w:szCs w:val="24"/>
        </w:rPr>
        <w:t>备品备件、易损件和专用耗材明细表：</w:t>
      </w:r>
    </w:p>
    <w:p w14:paraId="50D38E64">
      <w:pPr>
        <w:adjustRightInd w:val="0"/>
        <w:snapToGrid w:val="0"/>
        <w:spacing w:line="440" w:lineRule="exact"/>
        <w:ind w:firstLine="2160" w:firstLineChars="900"/>
        <w:rPr>
          <w:rFonts w:ascii="宋体" w:hAnsi="宋体" w:eastAsia="宋体" w:cs="宋体"/>
          <w:sz w:val="24"/>
          <w:szCs w:val="24"/>
        </w:rPr>
      </w:pPr>
      <w:r>
        <w:rPr>
          <w:rFonts w:hint="eastAsia" w:ascii="宋体" w:hAnsi="宋体" w:eastAsia="宋体" w:cs="宋体"/>
          <w:sz w:val="24"/>
          <w:szCs w:val="24"/>
        </w:rPr>
        <w:t xml:space="preserve">备品备件、易损件和专用耗材明细表   </w:t>
      </w:r>
    </w:p>
    <w:tbl>
      <w:tblPr>
        <w:tblStyle w:val="42"/>
        <w:tblpPr w:leftFromText="180" w:rightFromText="180" w:vertAnchor="text" w:horzAnchor="margin" w:tblpY="89"/>
        <w:tblW w:w="91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1559"/>
        <w:gridCol w:w="1277"/>
        <w:gridCol w:w="1134"/>
        <w:gridCol w:w="992"/>
        <w:gridCol w:w="1134"/>
        <w:gridCol w:w="993"/>
        <w:gridCol w:w="1134"/>
      </w:tblGrid>
      <w:tr w14:paraId="6603C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exact"/>
        </w:trPr>
        <w:tc>
          <w:tcPr>
            <w:tcW w:w="959" w:type="dxa"/>
            <w:tcBorders>
              <w:top w:val="single" w:color="auto" w:sz="4" w:space="0"/>
              <w:left w:val="single" w:color="auto" w:sz="4" w:space="0"/>
              <w:bottom w:val="single" w:color="auto" w:sz="4" w:space="0"/>
              <w:right w:val="single" w:color="auto" w:sz="4" w:space="0"/>
            </w:tcBorders>
            <w:vAlign w:val="center"/>
          </w:tcPr>
          <w:p w14:paraId="10255C35">
            <w:pPr>
              <w:adjustRightInd w:val="0"/>
              <w:snapToGrid w:val="0"/>
              <w:spacing w:line="440" w:lineRule="exact"/>
              <w:jc w:val="center"/>
              <w:rPr>
                <w:rFonts w:ascii="宋体" w:hAnsi="宋体" w:eastAsia="宋体" w:cs="宋体"/>
                <w:sz w:val="24"/>
                <w:szCs w:val="24"/>
              </w:rPr>
            </w:pPr>
            <w:r>
              <w:rPr>
                <w:rFonts w:hint="eastAsia" w:ascii="宋体" w:hAnsi="宋体" w:eastAsia="宋体" w:cs="宋体"/>
                <w:sz w:val="24"/>
                <w:szCs w:val="24"/>
              </w:rPr>
              <w:t>序号</w:t>
            </w:r>
          </w:p>
        </w:tc>
        <w:tc>
          <w:tcPr>
            <w:tcW w:w="1559" w:type="dxa"/>
            <w:tcBorders>
              <w:top w:val="single" w:color="auto" w:sz="4" w:space="0"/>
              <w:left w:val="single" w:color="auto" w:sz="4" w:space="0"/>
              <w:bottom w:val="single" w:color="auto" w:sz="4" w:space="0"/>
              <w:right w:val="single" w:color="auto" w:sz="4" w:space="0"/>
            </w:tcBorders>
            <w:vAlign w:val="center"/>
          </w:tcPr>
          <w:p w14:paraId="044F0F16">
            <w:pPr>
              <w:adjustRightInd w:val="0"/>
              <w:snapToGrid w:val="0"/>
              <w:spacing w:line="440" w:lineRule="exact"/>
              <w:ind w:firstLine="175" w:firstLineChars="73"/>
              <w:jc w:val="center"/>
              <w:rPr>
                <w:rFonts w:ascii="宋体" w:hAnsi="宋体" w:eastAsia="宋体" w:cs="宋体"/>
                <w:sz w:val="24"/>
                <w:szCs w:val="24"/>
              </w:rPr>
            </w:pPr>
            <w:r>
              <w:rPr>
                <w:rFonts w:hint="eastAsia" w:ascii="宋体" w:hAnsi="宋体" w:eastAsia="宋体" w:cs="宋体"/>
                <w:sz w:val="24"/>
                <w:szCs w:val="24"/>
              </w:rPr>
              <w:t>名称</w:t>
            </w:r>
          </w:p>
        </w:tc>
        <w:tc>
          <w:tcPr>
            <w:tcW w:w="1277" w:type="dxa"/>
            <w:tcBorders>
              <w:top w:val="single" w:color="auto" w:sz="4" w:space="0"/>
              <w:left w:val="single" w:color="auto" w:sz="4" w:space="0"/>
              <w:bottom w:val="single" w:color="auto" w:sz="4" w:space="0"/>
              <w:right w:val="single" w:color="auto" w:sz="4" w:space="0"/>
            </w:tcBorders>
            <w:vAlign w:val="center"/>
          </w:tcPr>
          <w:p w14:paraId="68026A73">
            <w:pPr>
              <w:adjustRightInd w:val="0"/>
              <w:snapToGrid w:val="0"/>
              <w:spacing w:line="440" w:lineRule="exact"/>
              <w:jc w:val="center"/>
              <w:rPr>
                <w:rFonts w:ascii="宋体" w:hAnsi="宋体" w:eastAsia="宋体" w:cs="宋体"/>
                <w:sz w:val="24"/>
                <w:szCs w:val="24"/>
              </w:rPr>
            </w:pPr>
            <w:r>
              <w:rPr>
                <w:rFonts w:hint="eastAsia" w:ascii="宋体" w:hAnsi="宋体" w:eastAsia="宋体" w:cs="宋体"/>
                <w:sz w:val="24"/>
                <w:szCs w:val="24"/>
              </w:rPr>
              <w:t>型号规格</w:t>
            </w:r>
          </w:p>
        </w:tc>
        <w:tc>
          <w:tcPr>
            <w:tcW w:w="1134" w:type="dxa"/>
            <w:tcBorders>
              <w:top w:val="single" w:color="auto" w:sz="4" w:space="0"/>
              <w:left w:val="single" w:color="auto" w:sz="4" w:space="0"/>
              <w:bottom w:val="single" w:color="auto" w:sz="4" w:space="0"/>
              <w:right w:val="single" w:color="auto" w:sz="4" w:space="0"/>
            </w:tcBorders>
            <w:vAlign w:val="center"/>
          </w:tcPr>
          <w:p w14:paraId="3FBAA51B">
            <w:pPr>
              <w:adjustRightInd w:val="0"/>
              <w:snapToGrid w:val="0"/>
              <w:spacing w:line="440" w:lineRule="exact"/>
              <w:ind w:firstLine="31" w:firstLineChars="13"/>
              <w:jc w:val="center"/>
              <w:rPr>
                <w:rFonts w:ascii="宋体" w:hAnsi="宋体" w:eastAsia="宋体" w:cs="宋体"/>
                <w:sz w:val="24"/>
                <w:szCs w:val="24"/>
              </w:rPr>
            </w:pPr>
            <w:r>
              <w:rPr>
                <w:rFonts w:hint="eastAsia" w:ascii="宋体" w:hAnsi="宋体" w:eastAsia="宋体" w:cs="宋体"/>
                <w:sz w:val="24"/>
                <w:szCs w:val="24"/>
              </w:rPr>
              <w:t>单位</w:t>
            </w:r>
          </w:p>
        </w:tc>
        <w:tc>
          <w:tcPr>
            <w:tcW w:w="992" w:type="dxa"/>
            <w:tcBorders>
              <w:top w:val="single" w:color="auto" w:sz="4" w:space="0"/>
              <w:left w:val="single" w:color="auto" w:sz="4" w:space="0"/>
              <w:bottom w:val="single" w:color="auto" w:sz="4" w:space="0"/>
              <w:right w:val="single" w:color="auto" w:sz="4" w:space="0"/>
            </w:tcBorders>
            <w:vAlign w:val="center"/>
          </w:tcPr>
          <w:p w14:paraId="765CC2CA">
            <w:pPr>
              <w:adjustRightInd w:val="0"/>
              <w:snapToGrid w:val="0"/>
              <w:spacing w:line="440" w:lineRule="exact"/>
              <w:ind w:firstLine="38" w:firstLineChars="16"/>
              <w:jc w:val="center"/>
              <w:rPr>
                <w:rFonts w:ascii="宋体" w:hAnsi="宋体" w:eastAsia="宋体" w:cs="宋体"/>
                <w:sz w:val="24"/>
                <w:szCs w:val="24"/>
              </w:rPr>
            </w:pPr>
            <w:r>
              <w:rPr>
                <w:rFonts w:hint="eastAsia" w:ascii="宋体" w:hAnsi="宋体" w:eastAsia="宋体" w:cs="宋体"/>
                <w:sz w:val="24"/>
                <w:szCs w:val="24"/>
              </w:rPr>
              <w:t>单价</w:t>
            </w:r>
          </w:p>
        </w:tc>
        <w:tc>
          <w:tcPr>
            <w:tcW w:w="1134" w:type="dxa"/>
            <w:tcBorders>
              <w:top w:val="single" w:color="auto" w:sz="4" w:space="0"/>
              <w:left w:val="single" w:color="auto" w:sz="4" w:space="0"/>
              <w:bottom w:val="single" w:color="auto" w:sz="4" w:space="0"/>
              <w:right w:val="single" w:color="auto" w:sz="4" w:space="0"/>
            </w:tcBorders>
            <w:vAlign w:val="center"/>
          </w:tcPr>
          <w:p w14:paraId="5FA9B23F">
            <w:pPr>
              <w:adjustRightInd w:val="0"/>
              <w:snapToGrid w:val="0"/>
              <w:spacing w:line="440" w:lineRule="exact"/>
              <w:ind w:firstLine="33" w:firstLineChars="14"/>
              <w:jc w:val="center"/>
              <w:rPr>
                <w:rFonts w:ascii="宋体" w:hAnsi="宋体" w:eastAsia="宋体" w:cs="宋体"/>
                <w:sz w:val="24"/>
                <w:szCs w:val="24"/>
              </w:rPr>
            </w:pPr>
            <w:r>
              <w:rPr>
                <w:rFonts w:hint="eastAsia" w:ascii="宋体" w:hAnsi="宋体" w:eastAsia="宋体" w:cs="宋体"/>
                <w:sz w:val="24"/>
                <w:szCs w:val="24"/>
              </w:rPr>
              <w:t>数量</w:t>
            </w:r>
          </w:p>
        </w:tc>
        <w:tc>
          <w:tcPr>
            <w:tcW w:w="993" w:type="dxa"/>
            <w:tcBorders>
              <w:top w:val="single" w:color="auto" w:sz="4" w:space="0"/>
              <w:left w:val="single" w:color="auto" w:sz="4" w:space="0"/>
              <w:bottom w:val="single" w:color="auto" w:sz="4" w:space="0"/>
              <w:right w:val="single" w:color="auto" w:sz="4" w:space="0"/>
            </w:tcBorders>
            <w:vAlign w:val="center"/>
          </w:tcPr>
          <w:p w14:paraId="0C280643">
            <w:pPr>
              <w:adjustRightInd w:val="0"/>
              <w:snapToGrid w:val="0"/>
              <w:spacing w:line="440" w:lineRule="exact"/>
              <w:jc w:val="center"/>
              <w:rPr>
                <w:rFonts w:ascii="宋体" w:hAnsi="宋体" w:eastAsia="宋体" w:cs="宋体"/>
                <w:sz w:val="24"/>
                <w:szCs w:val="24"/>
              </w:rPr>
            </w:pPr>
            <w:r>
              <w:rPr>
                <w:rFonts w:hint="eastAsia" w:ascii="宋体" w:hAnsi="宋体" w:eastAsia="宋体" w:cs="宋体"/>
                <w:sz w:val="24"/>
                <w:szCs w:val="24"/>
              </w:rPr>
              <w:t>制造商</w:t>
            </w:r>
          </w:p>
        </w:tc>
        <w:tc>
          <w:tcPr>
            <w:tcW w:w="1134" w:type="dxa"/>
            <w:tcBorders>
              <w:top w:val="single" w:color="auto" w:sz="4" w:space="0"/>
              <w:left w:val="single" w:color="auto" w:sz="4" w:space="0"/>
              <w:bottom w:val="single" w:color="auto" w:sz="4" w:space="0"/>
              <w:right w:val="single" w:color="auto" w:sz="4" w:space="0"/>
            </w:tcBorders>
            <w:vAlign w:val="center"/>
          </w:tcPr>
          <w:p w14:paraId="7684F6FA">
            <w:pPr>
              <w:adjustRightInd w:val="0"/>
              <w:snapToGrid w:val="0"/>
              <w:jc w:val="center"/>
              <w:rPr>
                <w:rFonts w:ascii="宋体" w:hAnsi="宋体" w:eastAsia="宋体" w:cs="宋体"/>
                <w:sz w:val="18"/>
                <w:szCs w:val="18"/>
              </w:rPr>
            </w:pPr>
            <w:r>
              <w:rPr>
                <w:rFonts w:hint="eastAsia" w:ascii="宋体" w:hAnsi="宋体" w:eastAsia="宋体" w:cs="宋体"/>
                <w:sz w:val="18"/>
                <w:szCs w:val="18"/>
              </w:rPr>
              <w:t>使用寿命＞</w:t>
            </w:r>
            <w:r>
              <w:rPr>
                <w:rFonts w:ascii="宋体" w:hAnsi="宋体" w:eastAsia="宋体" w:cs="宋体"/>
                <w:sz w:val="18"/>
                <w:szCs w:val="18"/>
              </w:rPr>
              <w:t>xx小时</w:t>
            </w:r>
          </w:p>
        </w:tc>
      </w:tr>
      <w:tr w14:paraId="34AB3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959" w:type="dxa"/>
            <w:tcBorders>
              <w:top w:val="single" w:color="auto" w:sz="4" w:space="0"/>
              <w:left w:val="single" w:color="auto" w:sz="4" w:space="0"/>
              <w:bottom w:val="single" w:color="auto" w:sz="4" w:space="0"/>
              <w:right w:val="single" w:color="auto" w:sz="4" w:space="0"/>
            </w:tcBorders>
            <w:vAlign w:val="center"/>
          </w:tcPr>
          <w:p w14:paraId="04D3FF2A">
            <w:pPr>
              <w:adjustRightInd w:val="0"/>
              <w:snapToGrid w:val="0"/>
              <w:spacing w:line="440" w:lineRule="exact"/>
              <w:ind w:left="-142" w:leftChars="-68" w:hanging="1"/>
              <w:jc w:val="center"/>
              <w:rPr>
                <w:rFonts w:ascii="宋体" w:hAnsi="宋体" w:eastAsia="宋体" w:cs="宋体"/>
                <w:sz w:val="24"/>
                <w:szCs w:val="24"/>
              </w:rPr>
            </w:pPr>
            <w:r>
              <w:rPr>
                <w:rFonts w:hint="eastAsia" w:ascii="宋体" w:hAnsi="宋体" w:eastAsia="宋体" w:cs="宋体"/>
                <w:sz w:val="24"/>
                <w:szCs w:val="24"/>
              </w:rPr>
              <w:t>1</w:t>
            </w:r>
          </w:p>
        </w:tc>
        <w:tc>
          <w:tcPr>
            <w:tcW w:w="8223" w:type="dxa"/>
            <w:gridSpan w:val="7"/>
            <w:tcBorders>
              <w:top w:val="single" w:color="auto" w:sz="4" w:space="0"/>
              <w:left w:val="single" w:color="auto" w:sz="4" w:space="0"/>
              <w:bottom w:val="single" w:color="auto" w:sz="4" w:space="0"/>
              <w:right w:val="single" w:color="auto" w:sz="4" w:space="0"/>
            </w:tcBorders>
            <w:vAlign w:val="center"/>
          </w:tcPr>
          <w:p w14:paraId="733789B8">
            <w:pPr>
              <w:adjustRightInd w:val="0"/>
              <w:snapToGrid w:val="0"/>
              <w:spacing w:line="440" w:lineRule="exact"/>
              <w:jc w:val="center"/>
              <w:rPr>
                <w:rFonts w:ascii="宋体" w:hAnsi="宋体" w:eastAsia="宋体" w:cs="宋体"/>
                <w:b/>
                <w:bCs/>
                <w:sz w:val="24"/>
                <w:szCs w:val="24"/>
              </w:rPr>
            </w:pPr>
            <w:r>
              <w:rPr>
                <w:rFonts w:hint="eastAsia" w:ascii="宋体" w:hAnsi="宋体" w:eastAsia="宋体"/>
                <w:b/>
                <w:bCs/>
                <w:sz w:val="24"/>
                <w:szCs w:val="24"/>
              </w:rPr>
              <w:t>备品备件</w:t>
            </w:r>
          </w:p>
        </w:tc>
      </w:tr>
      <w:tr w14:paraId="55E6C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959" w:type="dxa"/>
            <w:tcBorders>
              <w:top w:val="single" w:color="auto" w:sz="4" w:space="0"/>
              <w:left w:val="single" w:color="auto" w:sz="4" w:space="0"/>
              <w:bottom w:val="single" w:color="auto" w:sz="4" w:space="0"/>
              <w:right w:val="single" w:color="auto" w:sz="4" w:space="0"/>
            </w:tcBorders>
            <w:vAlign w:val="center"/>
          </w:tcPr>
          <w:p w14:paraId="3B35A2C1">
            <w:pPr>
              <w:adjustRightInd w:val="0"/>
              <w:snapToGrid w:val="0"/>
              <w:spacing w:line="440" w:lineRule="exact"/>
              <w:ind w:left="-142" w:leftChars="-68" w:hanging="1"/>
              <w:jc w:val="center"/>
              <w:rPr>
                <w:rFonts w:ascii="宋体" w:hAnsi="宋体" w:eastAsia="宋体" w:cs="宋体"/>
                <w:sz w:val="24"/>
                <w:szCs w:val="24"/>
              </w:rPr>
            </w:pPr>
            <w:r>
              <w:rPr>
                <w:rFonts w:hint="eastAsia" w:ascii="宋体" w:hAnsi="宋体" w:eastAsia="宋体" w:cs="宋体"/>
                <w:sz w:val="24"/>
                <w:szCs w:val="24"/>
              </w:rPr>
              <w:t>1</w:t>
            </w:r>
            <w:r>
              <w:rPr>
                <w:rFonts w:ascii="宋体" w:hAnsi="宋体" w:eastAsia="宋体" w:cs="宋体"/>
                <w:sz w:val="24"/>
                <w:szCs w:val="24"/>
              </w:rPr>
              <w:t>.1</w:t>
            </w:r>
          </w:p>
        </w:tc>
        <w:tc>
          <w:tcPr>
            <w:tcW w:w="1559" w:type="dxa"/>
            <w:tcBorders>
              <w:top w:val="single" w:color="auto" w:sz="4" w:space="0"/>
              <w:left w:val="single" w:color="auto" w:sz="4" w:space="0"/>
              <w:bottom w:val="single" w:color="auto" w:sz="4" w:space="0"/>
              <w:right w:val="single" w:color="auto" w:sz="4" w:space="0"/>
            </w:tcBorders>
            <w:vAlign w:val="center"/>
          </w:tcPr>
          <w:p w14:paraId="13B1ACC5">
            <w:pPr>
              <w:adjustRightInd w:val="0"/>
              <w:snapToGrid w:val="0"/>
              <w:jc w:val="center"/>
              <w:rPr>
                <w:rFonts w:ascii="宋体" w:hAnsi="宋体" w:eastAsia="宋体" w:cs="宋体"/>
                <w:sz w:val="24"/>
                <w:szCs w:val="24"/>
              </w:rPr>
            </w:pPr>
            <w:r>
              <w:rPr>
                <w:rFonts w:hint="eastAsia" w:ascii="宋体" w:hAnsi="宋体" w:eastAsia="宋体"/>
              </w:rPr>
              <w:t>叶片</w:t>
            </w:r>
          </w:p>
        </w:tc>
        <w:tc>
          <w:tcPr>
            <w:tcW w:w="1277" w:type="dxa"/>
            <w:tcBorders>
              <w:top w:val="single" w:color="auto" w:sz="4" w:space="0"/>
              <w:left w:val="single" w:color="auto" w:sz="4" w:space="0"/>
              <w:bottom w:val="single" w:color="auto" w:sz="4" w:space="0"/>
              <w:right w:val="single" w:color="auto" w:sz="4" w:space="0"/>
            </w:tcBorders>
            <w:vAlign w:val="center"/>
          </w:tcPr>
          <w:p w14:paraId="223DAF33">
            <w:pPr>
              <w:adjustRightInd w:val="0"/>
              <w:snapToGrid w:val="0"/>
              <w:spacing w:line="440" w:lineRule="exact"/>
              <w:jc w:val="center"/>
              <w:rPr>
                <w:rFonts w:ascii="宋体" w:hAnsi="宋体" w:eastAsia="宋体" w:cs="宋体"/>
                <w:sz w:val="24"/>
                <w:szCs w:val="24"/>
              </w:rPr>
            </w:pPr>
          </w:p>
        </w:tc>
        <w:tc>
          <w:tcPr>
            <w:tcW w:w="1134" w:type="dxa"/>
            <w:tcBorders>
              <w:top w:val="single" w:color="auto" w:sz="4" w:space="0"/>
              <w:left w:val="single" w:color="auto" w:sz="4" w:space="0"/>
              <w:bottom w:val="single" w:color="auto" w:sz="4" w:space="0"/>
              <w:right w:val="single" w:color="auto" w:sz="4" w:space="0"/>
            </w:tcBorders>
            <w:vAlign w:val="center"/>
          </w:tcPr>
          <w:p w14:paraId="337702C2">
            <w:pPr>
              <w:adjustRightInd w:val="0"/>
              <w:snapToGrid w:val="0"/>
              <w:spacing w:line="440" w:lineRule="exact"/>
              <w:ind w:firstLine="31" w:firstLineChars="13"/>
              <w:jc w:val="center"/>
              <w:rPr>
                <w:rFonts w:ascii="宋体" w:hAnsi="宋体" w:eastAsia="宋体" w:cs="宋体"/>
                <w:sz w:val="24"/>
                <w:szCs w:val="24"/>
              </w:rPr>
            </w:pPr>
          </w:p>
        </w:tc>
        <w:tc>
          <w:tcPr>
            <w:tcW w:w="992" w:type="dxa"/>
            <w:tcBorders>
              <w:top w:val="single" w:color="auto" w:sz="4" w:space="0"/>
              <w:left w:val="single" w:color="auto" w:sz="4" w:space="0"/>
              <w:bottom w:val="single" w:color="auto" w:sz="4" w:space="0"/>
              <w:right w:val="single" w:color="auto" w:sz="4" w:space="0"/>
            </w:tcBorders>
            <w:vAlign w:val="center"/>
          </w:tcPr>
          <w:p w14:paraId="77B18E09">
            <w:pPr>
              <w:adjustRightInd w:val="0"/>
              <w:snapToGrid w:val="0"/>
              <w:spacing w:line="440" w:lineRule="exact"/>
              <w:ind w:firstLine="38" w:firstLineChars="16"/>
              <w:jc w:val="center"/>
              <w:rPr>
                <w:rFonts w:ascii="宋体" w:hAnsi="宋体" w:eastAsia="宋体" w:cs="宋体"/>
                <w:sz w:val="24"/>
                <w:szCs w:val="24"/>
              </w:rPr>
            </w:pPr>
          </w:p>
        </w:tc>
        <w:tc>
          <w:tcPr>
            <w:tcW w:w="1134" w:type="dxa"/>
            <w:tcBorders>
              <w:top w:val="single" w:color="auto" w:sz="4" w:space="0"/>
              <w:left w:val="single" w:color="auto" w:sz="4" w:space="0"/>
              <w:bottom w:val="single" w:color="auto" w:sz="4" w:space="0"/>
              <w:right w:val="single" w:color="auto" w:sz="4" w:space="0"/>
            </w:tcBorders>
          </w:tcPr>
          <w:p w14:paraId="71A2ECFF">
            <w:pPr>
              <w:adjustRightInd w:val="0"/>
              <w:snapToGrid w:val="0"/>
              <w:spacing w:line="440" w:lineRule="exact"/>
              <w:ind w:firstLine="33" w:firstLineChars="14"/>
              <w:jc w:val="center"/>
              <w:rPr>
                <w:rFonts w:ascii="宋体" w:hAnsi="宋体" w:eastAsia="宋体" w:cs="宋体"/>
                <w:sz w:val="24"/>
                <w:szCs w:val="24"/>
              </w:rPr>
            </w:pPr>
          </w:p>
        </w:tc>
        <w:tc>
          <w:tcPr>
            <w:tcW w:w="993" w:type="dxa"/>
            <w:tcBorders>
              <w:top w:val="single" w:color="auto" w:sz="4" w:space="0"/>
              <w:left w:val="single" w:color="auto" w:sz="4" w:space="0"/>
              <w:bottom w:val="single" w:color="auto" w:sz="4" w:space="0"/>
              <w:right w:val="single" w:color="auto" w:sz="4" w:space="0"/>
            </w:tcBorders>
            <w:vAlign w:val="center"/>
          </w:tcPr>
          <w:p w14:paraId="126AEB0D">
            <w:pPr>
              <w:adjustRightInd w:val="0"/>
              <w:snapToGrid w:val="0"/>
              <w:spacing w:line="440" w:lineRule="exact"/>
              <w:jc w:val="center"/>
              <w:rPr>
                <w:rFonts w:ascii="宋体" w:hAnsi="宋体" w:eastAsia="宋体" w:cs="宋体"/>
                <w:sz w:val="24"/>
                <w:szCs w:val="24"/>
              </w:rPr>
            </w:pPr>
          </w:p>
        </w:tc>
        <w:tc>
          <w:tcPr>
            <w:tcW w:w="1134" w:type="dxa"/>
            <w:tcBorders>
              <w:top w:val="single" w:color="auto" w:sz="4" w:space="0"/>
              <w:left w:val="single" w:color="auto" w:sz="4" w:space="0"/>
              <w:bottom w:val="single" w:color="auto" w:sz="4" w:space="0"/>
              <w:right w:val="single" w:color="auto" w:sz="4" w:space="0"/>
            </w:tcBorders>
          </w:tcPr>
          <w:p w14:paraId="2AC8014E">
            <w:pPr>
              <w:adjustRightInd w:val="0"/>
              <w:snapToGrid w:val="0"/>
              <w:spacing w:line="440" w:lineRule="exact"/>
              <w:jc w:val="center"/>
              <w:rPr>
                <w:rFonts w:ascii="宋体" w:hAnsi="宋体" w:eastAsia="宋体" w:cs="宋体"/>
                <w:sz w:val="24"/>
                <w:szCs w:val="24"/>
              </w:rPr>
            </w:pPr>
          </w:p>
        </w:tc>
      </w:tr>
      <w:tr w14:paraId="22DD0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959" w:type="dxa"/>
            <w:tcBorders>
              <w:top w:val="single" w:color="auto" w:sz="4" w:space="0"/>
              <w:left w:val="single" w:color="auto" w:sz="4" w:space="0"/>
              <w:bottom w:val="single" w:color="auto" w:sz="4" w:space="0"/>
              <w:right w:val="single" w:color="auto" w:sz="4" w:space="0"/>
            </w:tcBorders>
            <w:vAlign w:val="center"/>
          </w:tcPr>
          <w:p w14:paraId="1276C69B">
            <w:pPr>
              <w:adjustRightInd w:val="0"/>
              <w:snapToGrid w:val="0"/>
              <w:spacing w:line="440" w:lineRule="exact"/>
              <w:ind w:left="-142" w:leftChars="-68" w:hanging="1"/>
              <w:jc w:val="center"/>
              <w:rPr>
                <w:rFonts w:ascii="宋体" w:hAnsi="宋体" w:eastAsia="宋体" w:cs="宋体"/>
                <w:sz w:val="24"/>
                <w:szCs w:val="24"/>
              </w:rPr>
            </w:pPr>
            <w:r>
              <w:rPr>
                <w:rFonts w:hint="eastAsia" w:ascii="宋体" w:hAnsi="宋体" w:eastAsia="宋体" w:cs="宋体"/>
                <w:sz w:val="24"/>
                <w:szCs w:val="24"/>
              </w:rPr>
              <w:t>1</w:t>
            </w:r>
            <w:r>
              <w:rPr>
                <w:rFonts w:ascii="宋体" w:hAnsi="宋体" w:eastAsia="宋体" w:cs="宋体"/>
                <w:sz w:val="24"/>
                <w:szCs w:val="24"/>
              </w:rPr>
              <w:t>.2</w:t>
            </w:r>
          </w:p>
        </w:tc>
        <w:tc>
          <w:tcPr>
            <w:tcW w:w="1559" w:type="dxa"/>
            <w:tcBorders>
              <w:top w:val="single" w:color="auto" w:sz="4" w:space="0"/>
              <w:left w:val="single" w:color="auto" w:sz="4" w:space="0"/>
              <w:bottom w:val="single" w:color="auto" w:sz="4" w:space="0"/>
              <w:right w:val="single" w:color="auto" w:sz="4" w:space="0"/>
            </w:tcBorders>
            <w:vAlign w:val="center"/>
          </w:tcPr>
          <w:p w14:paraId="71ADE30D">
            <w:pPr>
              <w:adjustRightInd w:val="0"/>
              <w:snapToGrid w:val="0"/>
              <w:jc w:val="center"/>
              <w:rPr>
                <w:rFonts w:ascii="宋体" w:hAnsi="宋体" w:eastAsia="宋体" w:cs="宋体"/>
                <w:sz w:val="24"/>
                <w:szCs w:val="24"/>
              </w:rPr>
            </w:pPr>
            <w:r>
              <w:rPr>
                <w:rFonts w:hint="eastAsia" w:ascii="宋体" w:hAnsi="宋体" w:eastAsia="宋体"/>
              </w:rPr>
              <w:t>分丸轮</w:t>
            </w:r>
          </w:p>
        </w:tc>
        <w:tc>
          <w:tcPr>
            <w:tcW w:w="1277" w:type="dxa"/>
            <w:tcBorders>
              <w:top w:val="single" w:color="auto" w:sz="4" w:space="0"/>
              <w:left w:val="single" w:color="auto" w:sz="4" w:space="0"/>
              <w:bottom w:val="single" w:color="auto" w:sz="4" w:space="0"/>
              <w:right w:val="single" w:color="auto" w:sz="4" w:space="0"/>
            </w:tcBorders>
            <w:vAlign w:val="center"/>
          </w:tcPr>
          <w:p w14:paraId="36EC5326">
            <w:pPr>
              <w:adjustRightInd w:val="0"/>
              <w:snapToGrid w:val="0"/>
              <w:spacing w:line="440" w:lineRule="exact"/>
              <w:jc w:val="center"/>
              <w:rPr>
                <w:rFonts w:ascii="宋体" w:hAnsi="宋体" w:eastAsia="宋体" w:cs="宋体"/>
                <w:sz w:val="24"/>
                <w:szCs w:val="24"/>
              </w:rPr>
            </w:pPr>
          </w:p>
        </w:tc>
        <w:tc>
          <w:tcPr>
            <w:tcW w:w="1134" w:type="dxa"/>
            <w:tcBorders>
              <w:top w:val="single" w:color="auto" w:sz="4" w:space="0"/>
              <w:left w:val="single" w:color="auto" w:sz="4" w:space="0"/>
              <w:bottom w:val="single" w:color="auto" w:sz="4" w:space="0"/>
              <w:right w:val="single" w:color="auto" w:sz="4" w:space="0"/>
            </w:tcBorders>
            <w:vAlign w:val="center"/>
          </w:tcPr>
          <w:p w14:paraId="233EA229">
            <w:pPr>
              <w:adjustRightInd w:val="0"/>
              <w:snapToGrid w:val="0"/>
              <w:spacing w:line="440" w:lineRule="exact"/>
              <w:ind w:firstLine="31" w:firstLineChars="13"/>
              <w:jc w:val="center"/>
              <w:rPr>
                <w:rFonts w:ascii="宋体" w:hAnsi="宋体" w:eastAsia="宋体" w:cs="宋体"/>
                <w:sz w:val="24"/>
                <w:szCs w:val="24"/>
              </w:rPr>
            </w:pPr>
          </w:p>
        </w:tc>
        <w:tc>
          <w:tcPr>
            <w:tcW w:w="992" w:type="dxa"/>
            <w:tcBorders>
              <w:top w:val="single" w:color="auto" w:sz="4" w:space="0"/>
              <w:left w:val="single" w:color="auto" w:sz="4" w:space="0"/>
              <w:bottom w:val="single" w:color="auto" w:sz="4" w:space="0"/>
              <w:right w:val="single" w:color="auto" w:sz="4" w:space="0"/>
            </w:tcBorders>
            <w:vAlign w:val="center"/>
          </w:tcPr>
          <w:p w14:paraId="34DFD211">
            <w:pPr>
              <w:adjustRightInd w:val="0"/>
              <w:snapToGrid w:val="0"/>
              <w:spacing w:line="440" w:lineRule="exact"/>
              <w:ind w:firstLine="38" w:firstLineChars="16"/>
              <w:jc w:val="center"/>
              <w:rPr>
                <w:rFonts w:ascii="宋体" w:hAnsi="宋体" w:eastAsia="宋体" w:cs="宋体"/>
                <w:sz w:val="24"/>
                <w:szCs w:val="24"/>
              </w:rPr>
            </w:pPr>
          </w:p>
        </w:tc>
        <w:tc>
          <w:tcPr>
            <w:tcW w:w="1134" w:type="dxa"/>
            <w:tcBorders>
              <w:top w:val="single" w:color="auto" w:sz="4" w:space="0"/>
              <w:left w:val="single" w:color="auto" w:sz="4" w:space="0"/>
              <w:bottom w:val="single" w:color="auto" w:sz="4" w:space="0"/>
              <w:right w:val="single" w:color="auto" w:sz="4" w:space="0"/>
            </w:tcBorders>
          </w:tcPr>
          <w:p w14:paraId="098AA17B">
            <w:pPr>
              <w:adjustRightInd w:val="0"/>
              <w:snapToGrid w:val="0"/>
              <w:spacing w:line="440" w:lineRule="exact"/>
              <w:ind w:firstLine="33" w:firstLineChars="14"/>
              <w:jc w:val="center"/>
              <w:rPr>
                <w:rFonts w:ascii="宋体" w:hAnsi="宋体" w:eastAsia="宋体" w:cs="宋体"/>
                <w:sz w:val="24"/>
                <w:szCs w:val="24"/>
              </w:rPr>
            </w:pPr>
          </w:p>
        </w:tc>
        <w:tc>
          <w:tcPr>
            <w:tcW w:w="993" w:type="dxa"/>
            <w:tcBorders>
              <w:top w:val="single" w:color="auto" w:sz="4" w:space="0"/>
              <w:left w:val="single" w:color="auto" w:sz="4" w:space="0"/>
              <w:bottom w:val="single" w:color="auto" w:sz="4" w:space="0"/>
              <w:right w:val="single" w:color="auto" w:sz="4" w:space="0"/>
            </w:tcBorders>
            <w:vAlign w:val="center"/>
          </w:tcPr>
          <w:p w14:paraId="2661B437">
            <w:pPr>
              <w:adjustRightInd w:val="0"/>
              <w:snapToGrid w:val="0"/>
              <w:spacing w:line="440" w:lineRule="exact"/>
              <w:ind w:firstLine="480" w:firstLineChars="200"/>
              <w:jc w:val="center"/>
              <w:rPr>
                <w:rFonts w:ascii="宋体" w:hAnsi="宋体" w:eastAsia="宋体" w:cs="宋体"/>
                <w:sz w:val="24"/>
                <w:szCs w:val="24"/>
              </w:rPr>
            </w:pPr>
          </w:p>
        </w:tc>
        <w:tc>
          <w:tcPr>
            <w:tcW w:w="1134" w:type="dxa"/>
            <w:tcBorders>
              <w:top w:val="single" w:color="auto" w:sz="4" w:space="0"/>
              <w:left w:val="single" w:color="auto" w:sz="4" w:space="0"/>
              <w:bottom w:val="single" w:color="auto" w:sz="4" w:space="0"/>
              <w:right w:val="single" w:color="auto" w:sz="4" w:space="0"/>
            </w:tcBorders>
          </w:tcPr>
          <w:p w14:paraId="0D4B753B">
            <w:pPr>
              <w:adjustRightInd w:val="0"/>
              <w:snapToGrid w:val="0"/>
              <w:spacing w:line="440" w:lineRule="exact"/>
              <w:ind w:firstLine="480" w:firstLineChars="200"/>
              <w:jc w:val="center"/>
              <w:rPr>
                <w:rFonts w:ascii="宋体" w:hAnsi="宋体" w:eastAsia="宋体" w:cs="宋体"/>
                <w:sz w:val="24"/>
                <w:szCs w:val="24"/>
              </w:rPr>
            </w:pPr>
          </w:p>
        </w:tc>
      </w:tr>
      <w:tr w14:paraId="486C9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959" w:type="dxa"/>
            <w:tcBorders>
              <w:top w:val="single" w:color="auto" w:sz="4" w:space="0"/>
              <w:left w:val="single" w:color="auto" w:sz="4" w:space="0"/>
              <w:bottom w:val="single" w:color="auto" w:sz="4" w:space="0"/>
              <w:right w:val="single" w:color="auto" w:sz="4" w:space="0"/>
            </w:tcBorders>
            <w:vAlign w:val="center"/>
          </w:tcPr>
          <w:p w14:paraId="1F9FD734">
            <w:pPr>
              <w:adjustRightInd w:val="0"/>
              <w:snapToGrid w:val="0"/>
              <w:spacing w:line="440" w:lineRule="exact"/>
              <w:ind w:left="-142" w:leftChars="-68" w:hanging="1"/>
              <w:jc w:val="center"/>
              <w:rPr>
                <w:rFonts w:ascii="宋体" w:hAnsi="宋体" w:eastAsia="宋体" w:cs="宋体"/>
                <w:sz w:val="24"/>
                <w:szCs w:val="24"/>
              </w:rPr>
            </w:pPr>
            <w:r>
              <w:rPr>
                <w:rFonts w:ascii="宋体" w:hAnsi="宋体" w:eastAsia="宋体" w:cs="宋体"/>
                <w:sz w:val="24"/>
                <w:szCs w:val="24"/>
              </w:rPr>
              <w:t>…</w:t>
            </w:r>
          </w:p>
        </w:tc>
        <w:tc>
          <w:tcPr>
            <w:tcW w:w="1559" w:type="dxa"/>
            <w:tcBorders>
              <w:top w:val="single" w:color="auto" w:sz="4" w:space="0"/>
              <w:left w:val="single" w:color="auto" w:sz="4" w:space="0"/>
              <w:bottom w:val="single" w:color="auto" w:sz="4" w:space="0"/>
              <w:right w:val="single" w:color="auto" w:sz="4" w:space="0"/>
            </w:tcBorders>
            <w:vAlign w:val="center"/>
          </w:tcPr>
          <w:p w14:paraId="520FA08F">
            <w:pPr>
              <w:adjustRightInd w:val="0"/>
              <w:snapToGrid w:val="0"/>
              <w:jc w:val="center"/>
              <w:rPr>
                <w:rFonts w:ascii="宋体" w:hAnsi="宋体" w:eastAsia="宋体"/>
              </w:rPr>
            </w:pPr>
          </w:p>
        </w:tc>
        <w:tc>
          <w:tcPr>
            <w:tcW w:w="1277" w:type="dxa"/>
            <w:tcBorders>
              <w:top w:val="single" w:color="auto" w:sz="4" w:space="0"/>
              <w:left w:val="single" w:color="auto" w:sz="4" w:space="0"/>
              <w:bottom w:val="single" w:color="auto" w:sz="4" w:space="0"/>
              <w:right w:val="single" w:color="auto" w:sz="4" w:space="0"/>
            </w:tcBorders>
            <w:vAlign w:val="center"/>
          </w:tcPr>
          <w:p w14:paraId="3C8F7068">
            <w:pPr>
              <w:adjustRightInd w:val="0"/>
              <w:snapToGrid w:val="0"/>
              <w:spacing w:line="440" w:lineRule="exact"/>
              <w:jc w:val="center"/>
              <w:rPr>
                <w:rFonts w:ascii="宋体" w:hAnsi="宋体" w:eastAsia="宋体" w:cs="宋体"/>
                <w:sz w:val="24"/>
                <w:szCs w:val="24"/>
              </w:rPr>
            </w:pPr>
          </w:p>
        </w:tc>
        <w:tc>
          <w:tcPr>
            <w:tcW w:w="1134" w:type="dxa"/>
            <w:tcBorders>
              <w:top w:val="single" w:color="auto" w:sz="4" w:space="0"/>
              <w:left w:val="single" w:color="auto" w:sz="4" w:space="0"/>
              <w:bottom w:val="single" w:color="auto" w:sz="4" w:space="0"/>
              <w:right w:val="single" w:color="auto" w:sz="4" w:space="0"/>
            </w:tcBorders>
            <w:vAlign w:val="center"/>
          </w:tcPr>
          <w:p w14:paraId="65D8132E">
            <w:pPr>
              <w:adjustRightInd w:val="0"/>
              <w:snapToGrid w:val="0"/>
              <w:spacing w:line="440" w:lineRule="exact"/>
              <w:ind w:firstLine="31" w:firstLineChars="13"/>
              <w:jc w:val="center"/>
              <w:rPr>
                <w:rFonts w:ascii="宋体" w:hAnsi="宋体" w:eastAsia="宋体" w:cs="宋体"/>
                <w:sz w:val="24"/>
                <w:szCs w:val="24"/>
              </w:rPr>
            </w:pPr>
          </w:p>
        </w:tc>
        <w:tc>
          <w:tcPr>
            <w:tcW w:w="992" w:type="dxa"/>
            <w:tcBorders>
              <w:top w:val="single" w:color="auto" w:sz="4" w:space="0"/>
              <w:left w:val="single" w:color="auto" w:sz="4" w:space="0"/>
              <w:bottom w:val="single" w:color="auto" w:sz="4" w:space="0"/>
              <w:right w:val="single" w:color="auto" w:sz="4" w:space="0"/>
            </w:tcBorders>
            <w:vAlign w:val="center"/>
          </w:tcPr>
          <w:p w14:paraId="2D64BDE7">
            <w:pPr>
              <w:adjustRightInd w:val="0"/>
              <w:snapToGrid w:val="0"/>
              <w:spacing w:line="440" w:lineRule="exact"/>
              <w:ind w:firstLine="38" w:firstLineChars="16"/>
              <w:jc w:val="center"/>
              <w:rPr>
                <w:rFonts w:ascii="宋体" w:hAnsi="宋体" w:eastAsia="宋体" w:cs="宋体"/>
                <w:sz w:val="24"/>
                <w:szCs w:val="24"/>
              </w:rPr>
            </w:pPr>
          </w:p>
        </w:tc>
        <w:tc>
          <w:tcPr>
            <w:tcW w:w="1134" w:type="dxa"/>
            <w:tcBorders>
              <w:top w:val="single" w:color="auto" w:sz="4" w:space="0"/>
              <w:left w:val="single" w:color="auto" w:sz="4" w:space="0"/>
              <w:bottom w:val="single" w:color="auto" w:sz="4" w:space="0"/>
              <w:right w:val="single" w:color="auto" w:sz="4" w:space="0"/>
            </w:tcBorders>
          </w:tcPr>
          <w:p w14:paraId="0CD619DE">
            <w:pPr>
              <w:adjustRightInd w:val="0"/>
              <w:snapToGrid w:val="0"/>
              <w:spacing w:line="440" w:lineRule="exact"/>
              <w:ind w:firstLine="33" w:firstLineChars="14"/>
              <w:jc w:val="center"/>
              <w:rPr>
                <w:rFonts w:ascii="宋体" w:hAnsi="宋体" w:eastAsia="宋体" w:cs="宋体"/>
                <w:sz w:val="24"/>
                <w:szCs w:val="24"/>
              </w:rPr>
            </w:pPr>
          </w:p>
        </w:tc>
        <w:tc>
          <w:tcPr>
            <w:tcW w:w="993" w:type="dxa"/>
            <w:tcBorders>
              <w:top w:val="single" w:color="auto" w:sz="4" w:space="0"/>
              <w:left w:val="single" w:color="auto" w:sz="4" w:space="0"/>
              <w:bottom w:val="single" w:color="auto" w:sz="4" w:space="0"/>
              <w:right w:val="single" w:color="auto" w:sz="4" w:space="0"/>
            </w:tcBorders>
            <w:vAlign w:val="center"/>
          </w:tcPr>
          <w:p w14:paraId="0CAB100D">
            <w:pPr>
              <w:adjustRightInd w:val="0"/>
              <w:snapToGrid w:val="0"/>
              <w:spacing w:line="440" w:lineRule="exact"/>
              <w:ind w:firstLine="480" w:firstLineChars="200"/>
              <w:jc w:val="center"/>
              <w:rPr>
                <w:rFonts w:ascii="宋体" w:hAnsi="宋体" w:eastAsia="宋体" w:cs="宋体"/>
                <w:sz w:val="24"/>
                <w:szCs w:val="24"/>
              </w:rPr>
            </w:pPr>
          </w:p>
        </w:tc>
        <w:tc>
          <w:tcPr>
            <w:tcW w:w="1134" w:type="dxa"/>
            <w:tcBorders>
              <w:top w:val="single" w:color="auto" w:sz="4" w:space="0"/>
              <w:left w:val="single" w:color="auto" w:sz="4" w:space="0"/>
              <w:bottom w:val="single" w:color="auto" w:sz="4" w:space="0"/>
              <w:right w:val="single" w:color="auto" w:sz="4" w:space="0"/>
            </w:tcBorders>
          </w:tcPr>
          <w:p w14:paraId="19937141">
            <w:pPr>
              <w:adjustRightInd w:val="0"/>
              <w:snapToGrid w:val="0"/>
              <w:spacing w:line="440" w:lineRule="exact"/>
              <w:ind w:firstLine="480" w:firstLineChars="200"/>
              <w:jc w:val="center"/>
              <w:rPr>
                <w:rFonts w:ascii="宋体" w:hAnsi="宋体" w:eastAsia="宋体" w:cs="宋体"/>
                <w:sz w:val="24"/>
                <w:szCs w:val="24"/>
              </w:rPr>
            </w:pPr>
          </w:p>
        </w:tc>
      </w:tr>
      <w:tr w14:paraId="202DB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959" w:type="dxa"/>
            <w:tcBorders>
              <w:top w:val="single" w:color="auto" w:sz="4" w:space="0"/>
              <w:left w:val="single" w:color="auto" w:sz="4" w:space="0"/>
              <w:bottom w:val="single" w:color="auto" w:sz="4" w:space="0"/>
              <w:right w:val="single" w:color="auto" w:sz="4" w:space="0"/>
            </w:tcBorders>
            <w:vAlign w:val="center"/>
          </w:tcPr>
          <w:p w14:paraId="13FC6862">
            <w:pPr>
              <w:adjustRightInd w:val="0"/>
              <w:snapToGrid w:val="0"/>
              <w:spacing w:line="440" w:lineRule="exact"/>
              <w:ind w:left="-142" w:leftChars="-68" w:hanging="1"/>
              <w:jc w:val="center"/>
              <w:rPr>
                <w:rFonts w:ascii="宋体" w:hAnsi="宋体" w:eastAsia="宋体" w:cs="宋体"/>
                <w:sz w:val="24"/>
                <w:szCs w:val="24"/>
              </w:rPr>
            </w:pPr>
            <w:r>
              <w:rPr>
                <w:rFonts w:hint="eastAsia" w:ascii="宋体" w:hAnsi="宋体" w:eastAsia="宋体" w:cs="宋体"/>
                <w:sz w:val="24"/>
                <w:szCs w:val="24"/>
              </w:rPr>
              <w:t>2</w:t>
            </w:r>
          </w:p>
        </w:tc>
        <w:tc>
          <w:tcPr>
            <w:tcW w:w="8223" w:type="dxa"/>
            <w:gridSpan w:val="7"/>
            <w:tcBorders>
              <w:top w:val="single" w:color="auto" w:sz="4" w:space="0"/>
              <w:left w:val="single" w:color="auto" w:sz="4" w:space="0"/>
              <w:bottom w:val="single" w:color="auto" w:sz="4" w:space="0"/>
              <w:right w:val="single" w:color="auto" w:sz="4" w:space="0"/>
            </w:tcBorders>
            <w:vAlign w:val="center"/>
          </w:tcPr>
          <w:p w14:paraId="1B763075">
            <w:pPr>
              <w:adjustRightInd w:val="0"/>
              <w:snapToGrid w:val="0"/>
              <w:spacing w:line="440" w:lineRule="exact"/>
              <w:jc w:val="center"/>
              <w:rPr>
                <w:rFonts w:ascii="宋体" w:hAnsi="宋体" w:eastAsia="宋体" w:cs="宋体"/>
                <w:sz w:val="24"/>
                <w:szCs w:val="24"/>
              </w:rPr>
            </w:pPr>
            <w:r>
              <w:rPr>
                <w:rFonts w:hint="eastAsia" w:ascii="宋体" w:hAnsi="宋体" w:eastAsia="宋体"/>
                <w:b/>
                <w:bCs/>
                <w:sz w:val="24"/>
                <w:szCs w:val="24"/>
              </w:rPr>
              <w:t>易损件及专用耗材</w:t>
            </w:r>
          </w:p>
        </w:tc>
      </w:tr>
      <w:tr w14:paraId="3789E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959" w:type="dxa"/>
            <w:tcBorders>
              <w:top w:val="single" w:color="auto" w:sz="4" w:space="0"/>
              <w:left w:val="single" w:color="auto" w:sz="4" w:space="0"/>
              <w:bottom w:val="single" w:color="auto" w:sz="4" w:space="0"/>
              <w:right w:val="single" w:color="auto" w:sz="4" w:space="0"/>
            </w:tcBorders>
            <w:vAlign w:val="center"/>
          </w:tcPr>
          <w:p w14:paraId="13F7A4AD">
            <w:pPr>
              <w:adjustRightInd w:val="0"/>
              <w:snapToGrid w:val="0"/>
              <w:spacing w:line="440" w:lineRule="exact"/>
              <w:ind w:left="-142" w:leftChars="-68" w:hanging="1"/>
              <w:jc w:val="center"/>
              <w:rPr>
                <w:rFonts w:ascii="宋体" w:hAnsi="宋体" w:eastAsia="宋体" w:cs="宋体"/>
                <w:sz w:val="24"/>
                <w:szCs w:val="24"/>
              </w:rPr>
            </w:pPr>
            <w:r>
              <w:rPr>
                <w:rFonts w:hint="eastAsia" w:ascii="宋体" w:hAnsi="宋体" w:eastAsia="宋体" w:cs="宋体"/>
                <w:sz w:val="24"/>
                <w:szCs w:val="24"/>
              </w:rPr>
              <w:t>2</w:t>
            </w:r>
            <w:r>
              <w:rPr>
                <w:rFonts w:ascii="宋体" w:hAnsi="宋体" w:eastAsia="宋体" w:cs="宋体"/>
                <w:sz w:val="24"/>
                <w:szCs w:val="24"/>
              </w:rPr>
              <w:t>.1</w:t>
            </w:r>
          </w:p>
        </w:tc>
        <w:tc>
          <w:tcPr>
            <w:tcW w:w="1559" w:type="dxa"/>
            <w:tcBorders>
              <w:top w:val="single" w:color="auto" w:sz="4" w:space="0"/>
              <w:left w:val="single" w:color="auto" w:sz="4" w:space="0"/>
              <w:bottom w:val="single" w:color="auto" w:sz="4" w:space="0"/>
              <w:right w:val="single" w:color="auto" w:sz="4" w:space="0"/>
            </w:tcBorders>
            <w:vAlign w:val="center"/>
          </w:tcPr>
          <w:p w14:paraId="1E754230">
            <w:pPr>
              <w:adjustRightInd w:val="0"/>
              <w:snapToGrid w:val="0"/>
              <w:jc w:val="center"/>
              <w:rPr>
                <w:rFonts w:ascii="宋体" w:hAnsi="宋体" w:eastAsia="宋体" w:cs="宋体"/>
                <w:sz w:val="24"/>
                <w:szCs w:val="24"/>
              </w:rPr>
            </w:pPr>
          </w:p>
        </w:tc>
        <w:tc>
          <w:tcPr>
            <w:tcW w:w="1277" w:type="dxa"/>
            <w:tcBorders>
              <w:top w:val="single" w:color="auto" w:sz="4" w:space="0"/>
              <w:left w:val="single" w:color="auto" w:sz="4" w:space="0"/>
              <w:bottom w:val="single" w:color="auto" w:sz="4" w:space="0"/>
              <w:right w:val="single" w:color="auto" w:sz="4" w:space="0"/>
            </w:tcBorders>
            <w:vAlign w:val="center"/>
          </w:tcPr>
          <w:p w14:paraId="1378EDE7">
            <w:pPr>
              <w:adjustRightInd w:val="0"/>
              <w:snapToGrid w:val="0"/>
              <w:spacing w:line="440" w:lineRule="exact"/>
              <w:jc w:val="center"/>
              <w:rPr>
                <w:rFonts w:ascii="宋体" w:hAnsi="宋体" w:eastAsia="宋体" w:cs="宋体"/>
                <w:sz w:val="24"/>
                <w:szCs w:val="24"/>
              </w:rPr>
            </w:pPr>
          </w:p>
        </w:tc>
        <w:tc>
          <w:tcPr>
            <w:tcW w:w="1134" w:type="dxa"/>
            <w:tcBorders>
              <w:top w:val="single" w:color="auto" w:sz="4" w:space="0"/>
              <w:left w:val="single" w:color="auto" w:sz="4" w:space="0"/>
              <w:bottom w:val="single" w:color="auto" w:sz="4" w:space="0"/>
              <w:right w:val="single" w:color="auto" w:sz="4" w:space="0"/>
            </w:tcBorders>
            <w:vAlign w:val="center"/>
          </w:tcPr>
          <w:p w14:paraId="214B6ED1">
            <w:pPr>
              <w:adjustRightInd w:val="0"/>
              <w:snapToGrid w:val="0"/>
              <w:spacing w:line="440" w:lineRule="exact"/>
              <w:ind w:firstLine="31" w:firstLineChars="13"/>
              <w:jc w:val="center"/>
              <w:rPr>
                <w:rFonts w:ascii="宋体" w:hAnsi="宋体" w:eastAsia="宋体" w:cs="宋体"/>
                <w:sz w:val="24"/>
                <w:szCs w:val="24"/>
              </w:rPr>
            </w:pPr>
          </w:p>
        </w:tc>
        <w:tc>
          <w:tcPr>
            <w:tcW w:w="992" w:type="dxa"/>
            <w:tcBorders>
              <w:top w:val="single" w:color="auto" w:sz="4" w:space="0"/>
              <w:left w:val="single" w:color="auto" w:sz="4" w:space="0"/>
              <w:bottom w:val="single" w:color="auto" w:sz="4" w:space="0"/>
              <w:right w:val="single" w:color="auto" w:sz="4" w:space="0"/>
            </w:tcBorders>
            <w:vAlign w:val="center"/>
          </w:tcPr>
          <w:p w14:paraId="65E70EBB">
            <w:pPr>
              <w:adjustRightInd w:val="0"/>
              <w:snapToGrid w:val="0"/>
              <w:spacing w:line="440" w:lineRule="exact"/>
              <w:ind w:firstLine="38" w:firstLineChars="16"/>
              <w:jc w:val="center"/>
              <w:rPr>
                <w:rFonts w:ascii="宋体" w:hAnsi="宋体" w:eastAsia="宋体" w:cs="宋体"/>
                <w:sz w:val="24"/>
                <w:szCs w:val="24"/>
              </w:rPr>
            </w:pPr>
          </w:p>
        </w:tc>
        <w:tc>
          <w:tcPr>
            <w:tcW w:w="1134" w:type="dxa"/>
            <w:tcBorders>
              <w:top w:val="single" w:color="auto" w:sz="4" w:space="0"/>
              <w:left w:val="single" w:color="auto" w:sz="4" w:space="0"/>
              <w:bottom w:val="single" w:color="auto" w:sz="4" w:space="0"/>
              <w:right w:val="single" w:color="auto" w:sz="4" w:space="0"/>
            </w:tcBorders>
          </w:tcPr>
          <w:p w14:paraId="6C2D0EB9">
            <w:pPr>
              <w:adjustRightInd w:val="0"/>
              <w:snapToGrid w:val="0"/>
              <w:spacing w:line="440" w:lineRule="exact"/>
              <w:ind w:firstLine="33" w:firstLineChars="14"/>
              <w:jc w:val="center"/>
              <w:rPr>
                <w:rFonts w:ascii="宋体" w:hAnsi="宋体" w:eastAsia="宋体" w:cs="宋体"/>
                <w:sz w:val="24"/>
                <w:szCs w:val="24"/>
              </w:rPr>
            </w:pPr>
          </w:p>
        </w:tc>
        <w:tc>
          <w:tcPr>
            <w:tcW w:w="993" w:type="dxa"/>
            <w:tcBorders>
              <w:top w:val="single" w:color="auto" w:sz="4" w:space="0"/>
              <w:left w:val="single" w:color="auto" w:sz="4" w:space="0"/>
              <w:bottom w:val="single" w:color="auto" w:sz="4" w:space="0"/>
              <w:right w:val="single" w:color="auto" w:sz="4" w:space="0"/>
            </w:tcBorders>
            <w:vAlign w:val="center"/>
          </w:tcPr>
          <w:p w14:paraId="179AB38A">
            <w:pPr>
              <w:adjustRightInd w:val="0"/>
              <w:snapToGrid w:val="0"/>
              <w:spacing w:line="440" w:lineRule="exact"/>
              <w:ind w:firstLine="480" w:firstLineChars="200"/>
              <w:jc w:val="center"/>
              <w:rPr>
                <w:rFonts w:ascii="宋体" w:hAnsi="宋体" w:eastAsia="宋体" w:cs="宋体"/>
                <w:sz w:val="24"/>
                <w:szCs w:val="24"/>
              </w:rPr>
            </w:pPr>
          </w:p>
        </w:tc>
        <w:tc>
          <w:tcPr>
            <w:tcW w:w="1134" w:type="dxa"/>
            <w:tcBorders>
              <w:top w:val="single" w:color="auto" w:sz="4" w:space="0"/>
              <w:left w:val="single" w:color="auto" w:sz="4" w:space="0"/>
              <w:bottom w:val="single" w:color="auto" w:sz="4" w:space="0"/>
              <w:right w:val="single" w:color="auto" w:sz="4" w:space="0"/>
            </w:tcBorders>
          </w:tcPr>
          <w:p w14:paraId="24E67101">
            <w:pPr>
              <w:adjustRightInd w:val="0"/>
              <w:snapToGrid w:val="0"/>
              <w:spacing w:line="440" w:lineRule="exact"/>
              <w:ind w:firstLine="480" w:firstLineChars="200"/>
              <w:jc w:val="center"/>
              <w:rPr>
                <w:rFonts w:ascii="宋体" w:hAnsi="宋体" w:eastAsia="宋体" w:cs="宋体"/>
                <w:sz w:val="24"/>
                <w:szCs w:val="24"/>
              </w:rPr>
            </w:pPr>
          </w:p>
        </w:tc>
      </w:tr>
      <w:tr w14:paraId="7B873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959" w:type="dxa"/>
            <w:tcBorders>
              <w:top w:val="single" w:color="auto" w:sz="4" w:space="0"/>
              <w:left w:val="single" w:color="auto" w:sz="4" w:space="0"/>
              <w:bottom w:val="single" w:color="auto" w:sz="4" w:space="0"/>
              <w:right w:val="single" w:color="auto" w:sz="4" w:space="0"/>
            </w:tcBorders>
            <w:vAlign w:val="center"/>
          </w:tcPr>
          <w:p w14:paraId="412A2F1D">
            <w:pPr>
              <w:adjustRightInd w:val="0"/>
              <w:snapToGrid w:val="0"/>
              <w:spacing w:line="440" w:lineRule="exact"/>
              <w:ind w:left="-142" w:leftChars="-68" w:hanging="1"/>
              <w:jc w:val="center"/>
              <w:rPr>
                <w:rFonts w:ascii="宋体" w:hAnsi="宋体" w:eastAsia="宋体" w:cs="宋体"/>
                <w:sz w:val="24"/>
                <w:szCs w:val="24"/>
              </w:rPr>
            </w:pPr>
            <w:r>
              <w:rPr>
                <w:rFonts w:hint="eastAsia" w:ascii="宋体" w:hAnsi="宋体" w:eastAsia="宋体" w:cs="宋体"/>
                <w:sz w:val="24"/>
                <w:szCs w:val="24"/>
              </w:rPr>
              <w:t>2</w:t>
            </w:r>
            <w:r>
              <w:rPr>
                <w:rFonts w:ascii="宋体" w:hAnsi="宋体" w:eastAsia="宋体" w:cs="宋体"/>
                <w:sz w:val="24"/>
                <w:szCs w:val="24"/>
              </w:rPr>
              <w:t>.2</w:t>
            </w:r>
          </w:p>
        </w:tc>
        <w:tc>
          <w:tcPr>
            <w:tcW w:w="1559" w:type="dxa"/>
            <w:tcBorders>
              <w:top w:val="single" w:color="auto" w:sz="4" w:space="0"/>
              <w:left w:val="single" w:color="auto" w:sz="4" w:space="0"/>
              <w:bottom w:val="single" w:color="auto" w:sz="4" w:space="0"/>
              <w:right w:val="single" w:color="auto" w:sz="4" w:space="0"/>
            </w:tcBorders>
            <w:vAlign w:val="center"/>
          </w:tcPr>
          <w:p w14:paraId="0A5E3D5C">
            <w:pPr>
              <w:adjustRightInd w:val="0"/>
              <w:snapToGrid w:val="0"/>
              <w:jc w:val="center"/>
              <w:rPr>
                <w:rFonts w:ascii="宋体" w:hAnsi="宋体" w:eastAsia="宋体" w:cs="宋体"/>
                <w:sz w:val="24"/>
                <w:szCs w:val="24"/>
              </w:rPr>
            </w:pPr>
          </w:p>
        </w:tc>
        <w:tc>
          <w:tcPr>
            <w:tcW w:w="1277" w:type="dxa"/>
            <w:tcBorders>
              <w:top w:val="single" w:color="auto" w:sz="4" w:space="0"/>
              <w:left w:val="single" w:color="auto" w:sz="4" w:space="0"/>
              <w:bottom w:val="single" w:color="auto" w:sz="4" w:space="0"/>
              <w:right w:val="single" w:color="auto" w:sz="4" w:space="0"/>
            </w:tcBorders>
            <w:vAlign w:val="center"/>
          </w:tcPr>
          <w:p w14:paraId="5C64B362">
            <w:pPr>
              <w:adjustRightInd w:val="0"/>
              <w:snapToGrid w:val="0"/>
              <w:spacing w:line="440" w:lineRule="exact"/>
              <w:jc w:val="center"/>
              <w:rPr>
                <w:rFonts w:ascii="宋体" w:hAnsi="宋体" w:eastAsia="宋体" w:cs="宋体"/>
                <w:sz w:val="24"/>
                <w:szCs w:val="24"/>
              </w:rPr>
            </w:pPr>
          </w:p>
        </w:tc>
        <w:tc>
          <w:tcPr>
            <w:tcW w:w="1134" w:type="dxa"/>
            <w:tcBorders>
              <w:top w:val="single" w:color="auto" w:sz="4" w:space="0"/>
              <w:left w:val="single" w:color="auto" w:sz="4" w:space="0"/>
              <w:bottom w:val="single" w:color="auto" w:sz="4" w:space="0"/>
              <w:right w:val="single" w:color="auto" w:sz="4" w:space="0"/>
            </w:tcBorders>
            <w:vAlign w:val="center"/>
          </w:tcPr>
          <w:p w14:paraId="1E42A2F3">
            <w:pPr>
              <w:adjustRightInd w:val="0"/>
              <w:snapToGrid w:val="0"/>
              <w:spacing w:line="440" w:lineRule="exact"/>
              <w:ind w:firstLine="31" w:firstLineChars="13"/>
              <w:jc w:val="center"/>
              <w:rPr>
                <w:rFonts w:ascii="宋体" w:hAnsi="宋体" w:eastAsia="宋体" w:cs="宋体"/>
                <w:sz w:val="24"/>
                <w:szCs w:val="24"/>
              </w:rPr>
            </w:pPr>
          </w:p>
        </w:tc>
        <w:tc>
          <w:tcPr>
            <w:tcW w:w="992" w:type="dxa"/>
            <w:tcBorders>
              <w:top w:val="single" w:color="auto" w:sz="4" w:space="0"/>
              <w:left w:val="single" w:color="auto" w:sz="4" w:space="0"/>
              <w:bottom w:val="single" w:color="auto" w:sz="4" w:space="0"/>
              <w:right w:val="single" w:color="auto" w:sz="4" w:space="0"/>
            </w:tcBorders>
            <w:vAlign w:val="center"/>
          </w:tcPr>
          <w:p w14:paraId="7D7210C7">
            <w:pPr>
              <w:adjustRightInd w:val="0"/>
              <w:snapToGrid w:val="0"/>
              <w:spacing w:line="440" w:lineRule="exact"/>
              <w:ind w:firstLine="38" w:firstLineChars="16"/>
              <w:jc w:val="center"/>
              <w:rPr>
                <w:rFonts w:ascii="宋体" w:hAnsi="宋体" w:eastAsia="宋体" w:cs="宋体"/>
                <w:sz w:val="24"/>
                <w:szCs w:val="24"/>
              </w:rPr>
            </w:pPr>
          </w:p>
        </w:tc>
        <w:tc>
          <w:tcPr>
            <w:tcW w:w="1134" w:type="dxa"/>
            <w:tcBorders>
              <w:top w:val="single" w:color="auto" w:sz="4" w:space="0"/>
              <w:left w:val="single" w:color="auto" w:sz="4" w:space="0"/>
              <w:bottom w:val="single" w:color="auto" w:sz="4" w:space="0"/>
              <w:right w:val="single" w:color="auto" w:sz="4" w:space="0"/>
            </w:tcBorders>
          </w:tcPr>
          <w:p w14:paraId="1BFA8D98">
            <w:pPr>
              <w:adjustRightInd w:val="0"/>
              <w:snapToGrid w:val="0"/>
              <w:spacing w:line="440" w:lineRule="exact"/>
              <w:ind w:firstLine="33" w:firstLineChars="14"/>
              <w:jc w:val="center"/>
              <w:rPr>
                <w:rFonts w:ascii="宋体" w:hAnsi="宋体" w:eastAsia="宋体" w:cs="宋体"/>
                <w:sz w:val="24"/>
                <w:szCs w:val="24"/>
              </w:rPr>
            </w:pPr>
          </w:p>
        </w:tc>
        <w:tc>
          <w:tcPr>
            <w:tcW w:w="993" w:type="dxa"/>
            <w:tcBorders>
              <w:top w:val="single" w:color="auto" w:sz="4" w:space="0"/>
              <w:left w:val="single" w:color="auto" w:sz="4" w:space="0"/>
              <w:bottom w:val="single" w:color="auto" w:sz="4" w:space="0"/>
              <w:right w:val="single" w:color="auto" w:sz="4" w:space="0"/>
            </w:tcBorders>
            <w:vAlign w:val="center"/>
          </w:tcPr>
          <w:p w14:paraId="7616B7E3">
            <w:pPr>
              <w:adjustRightInd w:val="0"/>
              <w:snapToGrid w:val="0"/>
              <w:spacing w:line="440" w:lineRule="exact"/>
              <w:ind w:firstLine="480" w:firstLineChars="200"/>
              <w:jc w:val="center"/>
              <w:rPr>
                <w:rFonts w:ascii="宋体" w:hAnsi="宋体" w:eastAsia="宋体" w:cs="宋体"/>
                <w:sz w:val="24"/>
                <w:szCs w:val="24"/>
              </w:rPr>
            </w:pPr>
          </w:p>
        </w:tc>
        <w:tc>
          <w:tcPr>
            <w:tcW w:w="1134" w:type="dxa"/>
            <w:tcBorders>
              <w:top w:val="single" w:color="auto" w:sz="4" w:space="0"/>
              <w:left w:val="single" w:color="auto" w:sz="4" w:space="0"/>
              <w:bottom w:val="single" w:color="auto" w:sz="4" w:space="0"/>
              <w:right w:val="single" w:color="auto" w:sz="4" w:space="0"/>
            </w:tcBorders>
          </w:tcPr>
          <w:p w14:paraId="60997E18">
            <w:pPr>
              <w:adjustRightInd w:val="0"/>
              <w:snapToGrid w:val="0"/>
              <w:spacing w:line="440" w:lineRule="exact"/>
              <w:ind w:firstLine="480" w:firstLineChars="200"/>
              <w:jc w:val="center"/>
              <w:rPr>
                <w:rFonts w:ascii="宋体" w:hAnsi="宋体" w:eastAsia="宋体" w:cs="宋体"/>
                <w:sz w:val="24"/>
                <w:szCs w:val="24"/>
              </w:rPr>
            </w:pPr>
          </w:p>
        </w:tc>
      </w:tr>
      <w:tr w14:paraId="71BD2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959" w:type="dxa"/>
            <w:tcBorders>
              <w:top w:val="single" w:color="auto" w:sz="4" w:space="0"/>
              <w:left w:val="single" w:color="auto" w:sz="4" w:space="0"/>
              <w:bottom w:val="single" w:color="auto" w:sz="4" w:space="0"/>
              <w:right w:val="single" w:color="auto" w:sz="4" w:space="0"/>
            </w:tcBorders>
            <w:vAlign w:val="center"/>
          </w:tcPr>
          <w:p w14:paraId="0D6F192D">
            <w:pPr>
              <w:adjustRightInd w:val="0"/>
              <w:snapToGrid w:val="0"/>
              <w:spacing w:line="440" w:lineRule="exact"/>
              <w:ind w:left="-142" w:leftChars="-68" w:hanging="1"/>
              <w:jc w:val="center"/>
              <w:rPr>
                <w:rFonts w:ascii="宋体" w:hAnsi="宋体" w:eastAsia="宋体" w:cs="宋体"/>
                <w:sz w:val="24"/>
                <w:szCs w:val="24"/>
              </w:rPr>
            </w:pPr>
            <w:r>
              <w:rPr>
                <w:rFonts w:ascii="宋体" w:hAnsi="宋体" w:eastAsia="宋体" w:cs="宋体"/>
                <w:sz w:val="24"/>
                <w:szCs w:val="24"/>
              </w:rPr>
              <w:t>…</w:t>
            </w:r>
          </w:p>
        </w:tc>
        <w:tc>
          <w:tcPr>
            <w:tcW w:w="1559" w:type="dxa"/>
            <w:tcBorders>
              <w:top w:val="single" w:color="auto" w:sz="4" w:space="0"/>
              <w:left w:val="single" w:color="auto" w:sz="4" w:space="0"/>
              <w:bottom w:val="single" w:color="auto" w:sz="4" w:space="0"/>
              <w:right w:val="single" w:color="auto" w:sz="4" w:space="0"/>
            </w:tcBorders>
            <w:vAlign w:val="center"/>
          </w:tcPr>
          <w:p w14:paraId="7A25919C">
            <w:pPr>
              <w:adjustRightInd w:val="0"/>
              <w:snapToGrid w:val="0"/>
              <w:jc w:val="center"/>
              <w:rPr>
                <w:rFonts w:ascii="宋体" w:hAnsi="宋体" w:eastAsia="宋体" w:cs="宋体"/>
                <w:sz w:val="24"/>
                <w:szCs w:val="24"/>
              </w:rPr>
            </w:pPr>
          </w:p>
        </w:tc>
        <w:tc>
          <w:tcPr>
            <w:tcW w:w="1277" w:type="dxa"/>
            <w:tcBorders>
              <w:top w:val="single" w:color="auto" w:sz="4" w:space="0"/>
              <w:left w:val="single" w:color="auto" w:sz="4" w:space="0"/>
              <w:bottom w:val="single" w:color="auto" w:sz="4" w:space="0"/>
              <w:right w:val="single" w:color="auto" w:sz="4" w:space="0"/>
            </w:tcBorders>
            <w:vAlign w:val="center"/>
          </w:tcPr>
          <w:p w14:paraId="0E500BB4">
            <w:pPr>
              <w:adjustRightInd w:val="0"/>
              <w:snapToGrid w:val="0"/>
              <w:spacing w:line="440" w:lineRule="exact"/>
              <w:jc w:val="center"/>
              <w:rPr>
                <w:rFonts w:ascii="宋体" w:hAnsi="宋体" w:eastAsia="宋体" w:cs="宋体"/>
                <w:sz w:val="24"/>
                <w:szCs w:val="24"/>
              </w:rPr>
            </w:pPr>
          </w:p>
        </w:tc>
        <w:tc>
          <w:tcPr>
            <w:tcW w:w="1134" w:type="dxa"/>
            <w:tcBorders>
              <w:top w:val="single" w:color="auto" w:sz="4" w:space="0"/>
              <w:left w:val="single" w:color="auto" w:sz="4" w:space="0"/>
              <w:bottom w:val="single" w:color="auto" w:sz="4" w:space="0"/>
              <w:right w:val="single" w:color="auto" w:sz="4" w:space="0"/>
            </w:tcBorders>
            <w:vAlign w:val="center"/>
          </w:tcPr>
          <w:p w14:paraId="2FDDBFF3">
            <w:pPr>
              <w:adjustRightInd w:val="0"/>
              <w:snapToGrid w:val="0"/>
              <w:spacing w:line="440" w:lineRule="exact"/>
              <w:ind w:firstLine="31" w:firstLineChars="13"/>
              <w:jc w:val="center"/>
              <w:rPr>
                <w:rFonts w:ascii="宋体" w:hAnsi="宋体" w:eastAsia="宋体" w:cs="宋体"/>
                <w:sz w:val="24"/>
                <w:szCs w:val="24"/>
              </w:rPr>
            </w:pPr>
          </w:p>
        </w:tc>
        <w:tc>
          <w:tcPr>
            <w:tcW w:w="992" w:type="dxa"/>
            <w:tcBorders>
              <w:top w:val="single" w:color="auto" w:sz="4" w:space="0"/>
              <w:left w:val="single" w:color="auto" w:sz="4" w:space="0"/>
              <w:bottom w:val="single" w:color="auto" w:sz="4" w:space="0"/>
              <w:right w:val="single" w:color="auto" w:sz="4" w:space="0"/>
            </w:tcBorders>
            <w:vAlign w:val="center"/>
          </w:tcPr>
          <w:p w14:paraId="691992A9">
            <w:pPr>
              <w:adjustRightInd w:val="0"/>
              <w:snapToGrid w:val="0"/>
              <w:spacing w:line="440" w:lineRule="exact"/>
              <w:ind w:firstLine="38" w:firstLineChars="16"/>
              <w:jc w:val="center"/>
              <w:rPr>
                <w:rFonts w:ascii="宋体" w:hAnsi="宋体" w:eastAsia="宋体" w:cs="宋体"/>
                <w:sz w:val="24"/>
                <w:szCs w:val="24"/>
              </w:rPr>
            </w:pPr>
          </w:p>
        </w:tc>
        <w:tc>
          <w:tcPr>
            <w:tcW w:w="1134" w:type="dxa"/>
            <w:tcBorders>
              <w:top w:val="single" w:color="auto" w:sz="4" w:space="0"/>
              <w:left w:val="single" w:color="auto" w:sz="4" w:space="0"/>
              <w:bottom w:val="single" w:color="auto" w:sz="4" w:space="0"/>
              <w:right w:val="single" w:color="auto" w:sz="4" w:space="0"/>
            </w:tcBorders>
          </w:tcPr>
          <w:p w14:paraId="151C3EE1">
            <w:pPr>
              <w:adjustRightInd w:val="0"/>
              <w:snapToGrid w:val="0"/>
              <w:spacing w:line="440" w:lineRule="exact"/>
              <w:ind w:firstLine="33" w:firstLineChars="14"/>
              <w:jc w:val="center"/>
              <w:rPr>
                <w:rFonts w:ascii="宋体" w:hAnsi="宋体" w:eastAsia="宋体" w:cs="宋体"/>
                <w:sz w:val="24"/>
                <w:szCs w:val="24"/>
              </w:rPr>
            </w:pPr>
          </w:p>
        </w:tc>
        <w:tc>
          <w:tcPr>
            <w:tcW w:w="993" w:type="dxa"/>
            <w:tcBorders>
              <w:top w:val="single" w:color="auto" w:sz="4" w:space="0"/>
              <w:left w:val="single" w:color="auto" w:sz="4" w:space="0"/>
              <w:bottom w:val="single" w:color="auto" w:sz="4" w:space="0"/>
              <w:right w:val="single" w:color="auto" w:sz="4" w:space="0"/>
            </w:tcBorders>
            <w:vAlign w:val="center"/>
          </w:tcPr>
          <w:p w14:paraId="77A4FD46">
            <w:pPr>
              <w:adjustRightInd w:val="0"/>
              <w:snapToGrid w:val="0"/>
              <w:spacing w:line="440" w:lineRule="exact"/>
              <w:ind w:firstLine="480" w:firstLineChars="200"/>
              <w:jc w:val="center"/>
              <w:rPr>
                <w:rFonts w:ascii="宋体" w:hAnsi="宋体" w:eastAsia="宋体" w:cs="宋体"/>
                <w:sz w:val="24"/>
                <w:szCs w:val="24"/>
              </w:rPr>
            </w:pPr>
          </w:p>
        </w:tc>
        <w:tc>
          <w:tcPr>
            <w:tcW w:w="1134" w:type="dxa"/>
            <w:tcBorders>
              <w:top w:val="single" w:color="auto" w:sz="4" w:space="0"/>
              <w:left w:val="single" w:color="auto" w:sz="4" w:space="0"/>
              <w:bottom w:val="single" w:color="auto" w:sz="4" w:space="0"/>
              <w:right w:val="single" w:color="auto" w:sz="4" w:space="0"/>
            </w:tcBorders>
          </w:tcPr>
          <w:p w14:paraId="0F9567D6">
            <w:pPr>
              <w:adjustRightInd w:val="0"/>
              <w:snapToGrid w:val="0"/>
              <w:spacing w:line="440" w:lineRule="exact"/>
              <w:ind w:firstLine="480" w:firstLineChars="200"/>
              <w:jc w:val="center"/>
              <w:rPr>
                <w:rFonts w:ascii="宋体" w:hAnsi="宋体" w:eastAsia="宋体" w:cs="宋体"/>
                <w:sz w:val="24"/>
                <w:szCs w:val="24"/>
              </w:rPr>
            </w:pPr>
          </w:p>
        </w:tc>
      </w:tr>
      <w:tr w14:paraId="4B23B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959" w:type="dxa"/>
            <w:tcBorders>
              <w:top w:val="single" w:color="auto" w:sz="4" w:space="0"/>
              <w:left w:val="single" w:color="auto" w:sz="4" w:space="0"/>
              <w:bottom w:val="single" w:color="auto" w:sz="4" w:space="0"/>
              <w:right w:val="single" w:color="auto" w:sz="4" w:space="0"/>
            </w:tcBorders>
            <w:vAlign w:val="center"/>
          </w:tcPr>
          <w:p w14:paraId="002F3A32">
            <w:pPr>
              <w:adjustRightInd w:val="0"/>
              <w:snapToGrid w:val="0"/>
              <w:spacing w:line="440" w:lineRule="exact"/>
              <w:ind w:left="-142" w:leftChars="-68" w:hanging="1"/>
              <w:jc w:val="center"/>
              <w:rPr>
                <w:rFonts w:ascii="宋体" w:hAnsi="宋体" w:eastAsia="宋体" w:cs="宋体"/>
                <w:sz w:val="24"/>
                <w:szCs w:val="24"/>
              </w:rPr>
            </w:pPr>
          </w:p>
        </w:tc>
        <w:tc>
          <w:tcPr>
            <w:tcW w:w="1559" w:type="dxa"/>
            <w:tcBorders>
              <w:top w:val="single" w:color="auto" w:sz="4" w:space="0"/>
              <w:left w:val="single" w:color="auto" w:sz="4" w:space="0"/>
              <w:bottom w:val="single" w:color="auto" w:sz="4" w:space="0"/>
              <w:right w:val="single" w:color="auto" w:sz="4" w:space="0"/>
            </w:tcBorders>
            <w:vAlign w:val="center"/>
          </w:tcPr>
          <w:p w14:paraId="2ED83A0D">
            <w:pPr>
              <w:adjustRightInd w:val="0"/>
              <w:snapToGrid w:val="0"/>
              <w:jc w:val="center"/>
              <w:rPr>
                <w:rFonts w:ascii="宋体" w:hAnsi="宋体" w:eastAsia="宋体" w:cs="宋体"/>
                <w:sz w:val="24"/>
                <w:szCs w:val="24"/>
              </w:rPr>
            </w:pPr>
          </w:p>
        </w:tc>
        <w:tc>
          <w:tcPr>
            <w:tcW w:w="1277" w:type="dxa"/>
            <w:tcBorders>
              <w:top w:val="single" w:color="auto" w:sz="4" w:space="0"/>
              <w:left w:val="single" w:color="auto" w:sz="4" w:space="0"/>
              <w:bottom w:val="single" w:color="auto" w:sz="4" w:space="0"/>
              <w:right w:val="single" w:color="auto" w:sz="4" w:space="0"/>
            </w:tcBorders>
            <w:vAlign w:val="center"/>
          </w:tcPr>
          <w:p w14:paraId="3837CCCE">
            <w:pPr>
              <w:adjustRightInd w:val="0"/>
              <w:snapToGrid w:val="0"/>
              <w:spacing w:line="440" w:lineRule="exact"/>
              <w:jc w:val="center"/>
              <w:rPr>
                <w:rFonts w:ascii="宋体" w:hAnsi="宋体" w:eastAsia="宋体" w:cs="宋体"/>
                <w:sz w:val="24"/>
                <w:szCs w:val="24"/>
              </w:rPr>
            </w:pPr>
          </w:p>
        </w:tc>
        <w:tc>
          <w:tcPr>
            <w:tcW w:w="1134" w:type="dxa"/>
            <w:tcBorders>
              <w:top w:val="single" w:color="auto" w:sz="4" w:space="0"/>
              <w:left w:val="single" w:color="auto" w:sz="4" w:space="0"/>
              <w:bottom w:val="single" w:color="auto" w:sz="4" w:space="0"/>
              <w:right w:val="single" w:color="auto" w:sz="4" w:space="0"/>
            </w:tcBorders>
            <w:vAlign w:val="center"/>
          </w:tcPr>
          <w:p w14:paraId="4FB8D905">
            <w:pPr>
              <w:adjustRightInd w:val="0"/>
              <w:snapToGrid w:val="0"/>
              <w:spacing w:line="440" w:lineRule="exact"/>
              <w:ind w:firstLine="31" w:firstLineChars="13"/>
              <w:jc w:val="center"/>
              <w:rPr>
                <w:rFonts w:ascii="宋体" w:hAnsi="宋体" w:eastAsia="宋体" w:cs="宋体"/>
                <w:sz w:val="24"/>
                <w:szCs w:val="24"/>
              </w:rPr>
            </w:pPr>
          </w:p>
        </w:tc>
        <w:tc>
          <w:tcPr>
            <w:tcW w:w="992" w:type="dxa"/>
            <w:tcBorders>
              <w:top w:val="single" w:color="auto" w:sz="4" w:space="0"/>
              <w:left w:val="single" w:color="auto" w:sz="4" w:space="0"/>
              <w:bottom w:val="single" w:color="auto" w:sz="4" w:space="0"/>
              <w:right w:val="single" w:color="auto" w:sz="4" w:space="0"/>
            </w:tcBorders>
            <w:vAlign w:val="center"/>
          </w:tcPr>
          <w:p w14:paraId="016A7B06">
            <w:pPr>
              <w:adjustRightInd w:val="0"/>
              <w:snapToGrid w:val="0"/>
              <w:spacing w:line="440" w:lineRule="exact"/>
              <w:ind w:firstLine="38" w:firstLineChars="16"/>
              <w:jc w:val="center"/>
              <w:rPr>
                <w:rFonts w:ascii="宋体" w:hAnsi="宋体" w:eastAsia="宋体" w:cs="宋体"/>
                <w:sz w:val="24"/>
                <w:szCs w:val="24"/>
              </w:rPr>
            </w:pPr>
          </w:p>
        </w:tc>
        <w:tc>
          <w:tcPr>
            <w:tcW w:w="1134" w:type="dxa"/>
            <w:tcBorders>
              <w:top w:val="single" w:color="auto" w:sz="4" w:space="0"/>
              <w:left w:val="single" w:color="auto" w:sz="4" w:space="0"/>
              <w:bottom w:val="single" w:color="auto" w:sz="4" w:space="0"/>
              <w:right w:val="single" w:color="auto" w:sz="4" w:space="0"/>
            </w:tcBorders>
          </w:tcPr>
          <w:p w14:paraId="6CFE3F5D">
            <w:pPr>
              <w:adjustRightInd w:val="0"/>
              <w:snapToGrid w:val="0"/>
              <w:spacing w:line="440" w:lineRule="exact"/>
              <w:ind w:firstLine="33" w:firstLineChars="14"/>
              <w:jc w:val="center"/>
              <w:rPr>
                <w:rFonts w:ascii="宋体" w:hAnsi="宋体" w:eastAsia="宋体" w:cs="宋体"/>
                <w:sz w:val="24"/>
                <w:szCs w:val="24"/>
              </w:rPr>
            </w:pPr>
          </w:p>
        </w:tc>
        <w:tc>
          <w:tcPr>
            <w:tcW w:w="993" w:type="dxa"/>
            <w:tcBorders>
              <w:top w:val="single" w:color="auto" w:sz="4" w:space="0"/>
              <w:left w:val="single" w:color="auto" w:sz="4" w:space="0"/>
              <w:bottom w:val="single" w:color="auto" w:sz="4" w:space="0"/>
              <w:right w:val="single" w:color="auto" w:sz="4" w:space="0"/>
            </w:tcBorders>
            <w:vAlign w:val="center"/>
          </w:tcPr>
          <w:p w14:paraId="70D1B6BD">
            <w:pPr>
              <w:adjustRightInd w:val="0"/>
              <w:snapToGrid w:val="0"/>
              <w:spacing w:line="440" w:lineRule="exact"/>
              <w:ind w:firstLine="480" w:firstLineChars="200"/>
              <w:jc w:val="center"/>
              <w:rPr>
                <w:rFonts w:ascii="宋体" w:hAnsi="宋体" w:eastAsia="宋体" w:cs="宋体"/>
                <w:sz w:val="24"/>
                <w:szCs w:val="24"/>
              </w:rPr>
            </w:pPr>
          </w:p>
        </w:tc>
        <w:tc>
          <w:tcPr>
            <w:tcW w:w="1134" w:type="dxa"/>
            <w:tcBorders>
              <w:top w:val="single" w:color="auto" w:sz="4" w:space="0"/>
              <w:left w:val="single" w:color="auto" w:sz="4" w:space="0"/>
              <w:bottom w:val="single" w:color="auto" w:sz="4" w:space="0"/>
              <w:right w:val="single" w:color="auto" w:sz="4" w:space="0"/>
            </w:tcBorders>
          </w:tcPr>
          <w:p w14:paraId="385C61E1">
            <w:pPr>
              <w:adjustRightInd w:val="0"/>
              <w:snapToGrid w:val="0"/>
              <w:spacing w:line="440" w:lineRule="exact"/>
              <w:ind w:firstLine="480" w:firstLineChars="200"/>
              <w:jc w:val="center"/>
              <w:rPr>
                <w:rFonts w:ascii="宋体" w:hAnsi="宋体" w:eastAsia="宋体" w:cs="宋体"/>
                <w:sz w:val="24"/>
                <w:szCs w:val="24"/>
              </w:rPr>
            </w:pPr>
          </w:p>
        </w:tc>
      </w:tr>
      <w:tr w14:paraId="42467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959" w:type="dxa"/>
            <w:tcBorders>
              <w:top w:val="single" w:color="auto" w:sz="4" w:space="0"/>
              <w:left w:val="single" w:color="auto" w:sz="4" w:space="0"/>
              <w:bottom w:val="single" w:color="auto" w:sz="4" w:space="0"/>
              <w:right w:val="single" w:color="auto" w:sz="4" w:space="0"/>
            </w:tcBorders>
            <w:vAlign w:val="center"/>
          </w:tcPr>
          <w:p w14:paraId="349F7922">
            <w:pPr>
              <w:adjustRightInd w:val="0"/>
              <w:snapToGrid w:val="0"/>
              <w:spacing w:line="440" w:lineRule="exact"/>
              <w:ind w:left="-142" w:leftChars="-68" w:hanging="1"/>
              <w:jc w:val="center"/>
              <w:rPr>
                <w:rFonts w:ascii="宋体" w:hAnsi="宋体" w:eastAsia="宋体" w:cs="宋体"/>
                <w:sz w:val="24"/>
                <w:szCs w:val="24"/>
              </w:rPr>
            </w:pPr>
          </w:p>
        </w:tc>
        <w:tc>
          <w:tcPr>
            <w:tcW w:w="1559" w:type="dxa"/>
            <w:tcBorders>
              <w:top w:val="single" w:color="auto" w:sz="4" w:space="0"/>
              <w:left w:val="single" w:color="auto" w:sz="4" w:space="0"/>
              <w:bottom w:val="single" w:color="auto" w:sz="4" w:space="0"/>
              <w:right w:val="single" w:color="auto" w:sz="4" w:space="0"/>
            </w:tcBorders>
            <w:vAlign w:val="center"/>
          </w:tcPr>
          <w:p w14:paraId="64F6D941">
            <w:pPr>
              <w:adjustRightInd w:val="0"/>
              <w:snapToGrid w:val="0"/>
              <w:jc w:val="center"/>
              <w:rPr>
                <w:rFonts w:ascii="宋体" w:hAnsi="宋体" w:eastAsia="宋体" w:cs="宋体"/>
                <w:sz w:val="24"/>
                <w:szCs w:val="24"/>
              </w:rPr>
            </w:pPr>
          </w:p>
        </w:tc>
        <w:tc>
          <w:tcPr>
            <w:tcW w:w="1277" w:type="dxa"/>
            <w:tcBorders>
              <w:top w:val="single" w:color="auto" w:sz="4" w:space="0"/>
              <w:left w:val="single" w:color="auto" w:sz="4" w:space="0"/>
              <w:bottom w:val="single" w:color="auto" w:sz="4" w:space="0"/>
              <w:right w:val="single" w:color="auto" w:sz="4" w:space="0"/>
            </w:tcBorders>
            <w:vAlign w:val="center"/>
          </w:tcPr>
          <w:p w14:paraId="6CF96C86">
            <w:pPr>
              <w:adjustRightInd w:val="0"/>
              <w:snapToGrid w:val="0"/>
              <w:spacing w:line="440" w:lineRule="exact"/>
              <w:jc w:val="center"/>
              <w:rPr>
                <w:rFonts w:ascii="宋体" w:hAnsi="宋体" w:eastAsia="宋体" w:cs="宋体"/>
                <w:sz w:val="24"/>
                <w:szCs w:val="24"/>
              </w:rPr>
            </w:pPr>
          </w:p>
        </w:tc>
        <w:tc>
          <w:tcPr>
            <w:tcW w:w="1134" w:type="dxa"/>
            <w:tcBorders>
              <w:top w:val="single" w:color="auto" w:sz="4" w:space="0"/>
              <w:left w:val="single" w:color="auto" w:sz="4" w:space="0"/>
              <w:bottom w:val="single" w:color="auto" w:sz="4" w:space="0"/>
              <w:right w:val="single" w:color="auto" w:sz="4" w:space="0"/>
            </w:tcBorders>
            <w:vAlign w:val="center"/>
          </w:tcPr>
          <w:p w14:paraId="37C54FAF">
            <w:pPr>
              <w:adjustRightInd w:val="0"/>
              <w:snapToGrid w:val="0"/>
              <w:spacing w:line="440" w:lineRule="exact"/>
              <w:ind w:firstLine="31" w:firstLineChars="13"/>
              <w:jc w:val="center"/>
              <w:rPr>
                <w:rFonts w:ascii="宋体" w:hAnsi="宋体" w:eastAsia="宋体" w:cs="宋体"/>
                <w:sz w:val="24"/>
                <w:szCs w:val="24"/>
              </w:rPr>
            </w:pPr>
          </w:p>
        </w:tc>
        <w:tc>
          <w:tcPr>
            <w:tcW w:w="992" w:type="dxa"/>
            <w:tcBorders>
              <w:top w:val="single" w:color="auto" w:sz="4" w:space="0"/>
              <w:left w:val="single" w:color="auto" w:sz="4" w:space="0"/>
              <w:bottom w:val="single" w:color="auto" w:sz="4" w:space="0"/>
              <w:right w:val="single" w:color="auto" w:sz="4" w:space="0"/>
            </w:tcBorders>
            <w:vAlign w:val="center"/>
          </w:tcPr>
          <w:p w14:paraId="278EC1EB">
            <w:pPr>
              <w:adjustRightInd w:val="0"/>
              <w:snapToGrid w:val="0"/>
              <w:spacing w:line="440" w:lineRule="exact"/>
              <w:ind w:firstLine="38" w:firstLineChars="16"/>
              <w:jc w:val="center"/>
              <w:rPr>
                <w:rFonts w:ascii="宋体" w:hAnsi="宋体" w:eastAsia="宋体" w:cs="宋体"/>
                <w:sz w:val="24"/>
                <w:szCs w:val="24"/>
              </w:rPr>
            </w:pPr>
          </w:p>
        </w:tc>
        <w:tc>
          <w:tcPr>
            <w:tcW w:w="1134" w:type="dxa"/>
            <w:tcBorders>
              <w:top w:val="single" w:color="auto" w:sz="4" w:space="0"/>
              <w:left w:val="single" w:color="auto" w:sz="4" w:space="0"/>
              <w:bottom w:val="single" w:color="auto" w:sz="4" w:space="0"/>
              <w:right w:val="single" w:color="auto" w:sz="4" w:space="0"/>
            </w:tcBorders>
          </w:tcPr>
          <w:p w14:paraId="2AB229F1">
            <w:pPr>
              <w:adjustRightInd w:val="0"/>
              <w:snapToGrid w:val="0"/>
              <w:spacing w:line="440" w:lineRule="exact"/>
              <w:ind w:firstLine="33" w:firstLineChars="14"/>
              <w:jc w:val="center"/>
              <w:rPr>
                <w:rFonts w:ascii="宋体" w:hAnsi="宋体" w:eastAsia="宋体" w:cs="宋体"/>
                <w:sz w:val="24"/>
                <w:szCs w:val="24"/>
              </w:rPr>
            </w:pPr>
          </w:p>
        </w:tc>
        <w:tc>
          <w:tcPr>
            <w:tcW w:w="993" w:type="dxa"/>
            <w:tcBorders>
              <w:top w:val="single" w:color="auto" w:sz="4" w:space="0"/>
              <w:left w:val="single" w:color="auto" w:sz="4" w:space="0"/>
              <w:bottom w:val="single" w:color="auto" w:sz="4" w:space="0"/>
              <w:right w:val="single" w:color="auto" w:sz="4" w:space="0"/>
            </w:tcBorders>
            <w:vAlign w:val="center"/>
          </w:tcPr>
          <w:p w14:paraId="0FFFC6AA">
            <w:pPr>
              <w:adjustRightInd w:val="0"/>
              <w:snapToGrid w:val="0"/>
              <w:spacing w:line="440" w:lineRule="exact"/>
              <w:ind w:firstLine="480" w:firstLineChars="200"/>
              <w:jc w:val="center"/>
              <w:rPr>
                <w:rFonts w:ascii="宋体" w:hAnsi="宋体" w:eastAsia="宋体" w:cs="宋体"/>
                <w:sz w:val="24"/>
                <w:szCs w:val="24"/>
              </w:rPr>
            </w:pPr>
          </w:p>
        </w:tc>
        <w:tc>
          <w:tcPr>
            <w:tcW w:w="1134" w:type="dxa"/>
            <w:tcBorders>
              <w:top w:val="single" w:color="auto" w:sz="4" w:space="0"/>
              <w:left w:val="single" w:color="auto" w:sz="4" w:space="0"/>
              <w:bottom w:val="single" w:color="auto" w:sz="4" w:space="0"/>
              <w:right w:val="single" w:color="auto" w:sz="4" w:space="0"/>
            </w:tcBorders>
          </w:tcPr>
          <w:p w14:paraId="62751F81">
            <w:pPr>
              <w:adjustRightInd w:val="0"/>
              <w:snapToGrid w:val="0"/>
              <w:spacing w:line="440" w:lineRule="exact"/>
              <w:ind w:firstLine="480" w:firstLineChars="200"/>
              <w:jc w:val="center"/>
              <w:rPr>
                <w:rFonts w:ascii="宋体" w:hAnsi="宋体" w:eastAsia="宋体" w:cs="宋体"/>
                <w:sz w:val="24"/>
                <w:szCs w:val="24"/>
              </w:rPr>
            </w:pPr>
          </w:p>
        </w:tc>
      </w:tr>
      <w:tr w14:paraId="42E22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959" w:type="dxa"/>
            <w:tcBorders>
              <w:top w:val="single" w:color="auto" w:sz="4" w:space="0"/>
              <w:left w:val="single" w:color="auto" w:sz="4" w:space="0"/>
              <w:bottom w:val="single" w:color="auto" w:sz="4" w:space="0"/>
              <w:right w:val="single" w:color="auto" w:sz="4" w:space="0"/>
            </w:tcBorders>
            <w:vAlign w:val="center"/>
          </w:tcPr>
          <w:p w14:paraId="2EB75597">
            <w:pPr>
              <w:adjustRightInd w:val="0"/>
              <w:snapToGrid w:val="0"/>
              <w:spacing w:line="440" w:lineRule="exact"/>
              <w:jc w:val="center"/>
              <w:rPr>
                <w:rFonts w:ascii="宋体" w:hAnsi="宋体" w:eastAsia="宋体" w:cs="宋体"/>
                <w:sz w:val="24"/>
                <w:szCs w:val="24"/>
              </w:rPr>
            </w:pPr>
          </w:p>
        </w:tc>
        <w:tc>
          <w:tcPr>
            <w:tcW w:w="1559" w:type="dxa"/>
            <w:tcBorders>
              <w:top w:val="single" w:color="auto" w:sz="4" w:space="0"/>
              <w:left w:val="single" w:color="auto" w:sz="4" w:space="0"/>
              <w:bottom w:val="single" w:color="auto" w:sz="4" w:space="0"/>
              <w:right w:val="single" w:color="auto" w:sz="4" w:space="0"/>
            </w:tcBorders>
            <w:vAlign w:val="center"/>
          </w:tcPr>
          <w:p w14:paraId="4A5B5E51">
            <w:pPr>
              <w:adjustRightInd w:val="0"/>
              <w:snapToGrid w:val="0"/>
              <w:spacing w:line="440" w:lineRule="exact"/>
              <w:ind w:firstLine="480" w:firstLineChars="200"/>
              <w:jc w:val="center"/>
              <w:rPr>
                <w:rFonts w:ascii="宋体" w:hAnsi="宋体" w:eastAsia="宋体" w:cs="宋体"/>
                <w:sz w:val="24"/>
                <w:szCs w:val="24"/>
              </w:rPr>
            </w:pPr>
          </w:p>
        </w:tc>
        <w:tc>
          <w:tcPr>
            <w:tcW w:w="1277" w:type="dxa"/>
            <w:tcBorders>
              <w:top w:val="single" w:color="auto" w:sz="4" w:space="0"/>
              <w:left w:val="single" w:color="auto" w:sz="4" w:space="0"/>
              <w:bottom w:val="single" w:color="auto" w:sz="4" w:space="0"/>
              <w:right w:val="single" w:color="auto" w:sz="4" w:space="0"/>
            </w:tcBorders>
            <w:vAlign w:val="center"/>
          </w:tcPr>
          <w:p w14:paraId="2E3E28D0">
            <w:pPr>
              <w:adjustRightInd w:val="0"/>
              <w:snapToGrid w:val="0"/>
              <w:spacing w:line="440" w:lineRule="exact"/>
              <w:jc w:val="center"/>
              <w:rPr>
                <w:rFonts w:ascii="宋体" w:hAnsi="宋体" w:eastAsia="宋体" w:cs="宋体"/>
                <w:sz w:val="24"/>
                <w:szCs w:val="24"/>
              </w:rPr>
            </w:pPr>
          </w:p>
        </w:tc>
        <w:tc>
          <w:tcPr>
            <w:tcW w:w="1134" w:type="dxa"/>
            <w:tcBorders>
              <w:top w:val="single" w:color="auto" w:sz="4" w:space="0"/>
              <w:left w:val="single" w:color="auto" w:sz="4" w:space="0"/>
              <w:bottom w:val="single" w:color="auto" w:sz="4" w:space="0"/>
              <w:right w:val="single" w:color="auto" w:sz="4" w:space="0"/>
            </w:tcBorders>
            <w:vAlign w:val="center"/>
          </w:tcPr>
          <w:p w14:paraId="21B06FCF">
            <w:pPr>
              <w:adjustRightInd w:val="0"/>
              <w:snapToGrid w:val="0"/>
              <w:spacing w:line="440" w:lineRule="exact"/>
              <w:ind w:firstLine="31" w:firstLineChars="13"/>
              <w:jc w:val="center"/>
              <w:rPr>
                <w:rFonts w:ascii="宋体" w:hAnsi="宋体" w:eastAsia="宋体" w:cs="宋体"/>
                <w:sz w:val="24"/>
                <w:szCs w:val="24"/>
              </w:rPr>
            </w:pPr>
          </w:p>
        </w:tc>
        <w:tc>
          <w:tcPr>
            <w:tcW w:w="992" w:type="dxa"/>
            <w:tcBorders>
              <w:top w:val="single" w:color="auto" w:sz="4" w:space="0"/>
              <w:left w:val="single" w:color="auto" w:sz="4" w:space="0"/>
              <w:bottom w:val="single" w:color="auto" w:sz="4" w:space="0"/>
              <w:right w:val="single" w:color="auto" w:sz="4" w:space="0"/>
            </w:tcBorders>
            <w:vAlign w:val="center"/>
          </w:tcPr>
          <w:p w14:paraId="08BE0D2D">
            <w:pPr>
              <w:adjustRightInd w:val="0"/>
              <w:snapToGrid w:val="0"/>
              <w:spacing w:line="440" w:lineRule="exact"/>
              <w:ind w:firstLine="38" w:firstLineChars="16"/>
              <w:jc w:val="center"/>
              <w:rPr>
                <w:rFonts w:ascii="宋体" w:hAnsi="宋体" w:eastAsia="宋体" w:cs="宋体"/>
                <w:sz w:val="24"/>
                <w:szCs w:val="24"/>
              </w:rPr>
            </w:pPr>
          </w:p>
        </w:tc>
        <w:tc>
          <w:tcPr>
            <w:tcW w:w="1134" w:type="dxa"/>
            <w:tcBorders>
              <w:top w:val="single" w:color="auto" w:sz="4" w:space="0"/>
              <w:left w:val="single" w:color="auto" w:sz="4" w:space="0"/>
              <w:bottom w:val="single" w:color="auto" w:sz="4" w:space="0"/>
              <w:right w:val="single" w:color="auto" w:sz="4" w:space="0"/>
            </w:tcBorders>
          </w:tcPr>
          <w:p w14:paraId="7E0C3AEE">
            <w:pPr>
              <w:adjustRightInd w:val="0"/>
              <w:snapToGrid w:val="0"/>
              <w:spacing w:line="440" w:lineRule="exact"/>
              <w:ind w:firstLine="33" w:firstLineChars="14"/>
              <w:jc w:val="center"/>
              <w:rPr>
                <w:rFonts w:ascii="宋体" w:hAnsi="宋体" w:eastAsia="宋体" w:cs="宋体"/>
                <w:sz w:val="24"/>
                <w:szCs w:val="24"/>
              </w:rPr>
            </w:pPr>
          </w:p>
        </w:tc>
        <w:tc>
          <w:tcPr>
            <w:tcW w:w="993" w:type="dxa"/>
            <w:tcBorders>
              <w:top w:val="single" w:color="auto" w:sz="4" w:space="0"/>
              <w:left w:val="single" w:color="auto" w:sz="4" w:space="0"/>
              <w:bottom w:val="single" w:color="auto" w:sz="4" w:space="0"/>
              <w:right w:val="single" w:color="auto" w:sz="4" w:space="0"/>
            </w:tcBorders>
            <w:vAlign w:val="center"/>
          </w:tcPr>
          <w:p w14:paraId="363DB685">
            <w:pPr>
              <w:adjustRightInd w:val="0"/>
              <w:snapToGrid w:val="0"/>
              <w:spacing w:line="440" w:lineRule="exact"/>
              <w:ind w:firstLine="480" w:firstLineChars="200"/>
              <w:jc w:val="center"/>
              <w:rPr>
                <w:rFonts w:ascii="宋体" w:hAnsi="宋体" w:eastAsia="宋体" w:cs="宋体"/>
                <w:sz w:val="24"/>
                <w:szCs w:val="24"/>
              </w:rPr>
            </w:pPr>
          </w:p>
        </w:tc>
        <w:tc>
          <w:tcPr>
            <w:tcW w:w="1134" w:type="dxa"/>
            <w:tcBorders>
              <w:top w:val="single" w:color="auto" w:sz="4" w:space="0"/>
              <w:left w:val="single" w:color="auto" w:sz="4" w:space="0"/>
              <w:bottom w:val="single" w:color="auto" w:sz="4" w:space="0"/>
              <w:right w:val="single" w:color="auto" w:sz="4" w:space="0"/>
            </w:tcBorders>
          </w:tcPr>
          <w:p w14:paraId="788FE21B">
            <w:pPr>
              <w:adjustRightInd w:val="0"/>
              <w:snapToGrid w:val="0"/>
              <w:spacing w:line="440" w:lineRule="exact"/>
              <w:ind w:firstLine="480" w:firstLineChars="200"/>
              <w:jc w:val="center"/>
              <w:rPr>
                <w:rFonts w:ascii="宋体" w:hAnsi="宋体" w:eastAsia="宋体" w:cs="宋体"/>
                <w:sz w:val="24"/>
                <w:szCs w:val="24"/>
              </w:rPr>
            </w:pPr>
          </w:p>
        </w:tc>
      </w:tr>
      <w:tr w14:paraId="27344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959" w:type="dxa"/>
            <w:tcBorders>
              <w:top w:val="single" w:color="auto" w:sz="4" w:space="0"/>
              <w:left w:val="single" w:color="auto" w:sz="4" w:space="0"/>
              <w:bottom w:val="single" w:color="auto" w:sz="4" w:space="0"/>
              <w:right w:val="single" w:color="auto" w:sz="4" w:space="0"/>
            </w:tcBorders>
            <w:vAlign w:val="center"/>
          </w:tcPr>
          <w:p w14:paraId="78B9742E">
            <w:pPr>
              <w:adjustRightInd w:val="0"/>
              <w:snapToGrid w:val="0"/>
              <w:spacing w:line="440" w:lineRule="exact"/>
              <w:jc w:val="center"/>
              <w:rPr>
                <w:rFonts w:ascii="宋体" w:hAnsi="宋体" w:eastAsia="宋体" w:cs="宋体"/>
                <w:sz w:val="24"/>
                <w:szCs w:val="24"/>
              </w:rPr>
            </w:pPr>
          </w:p>
        </w:tc>
        <w:tc>
          <w:tcPr>
            <w:tcW w:w="1559" w:type="dxa"/>
            <w:tcBorders>
              <w:top w:val="single" w:color="auto" w:sz="4" w:space="0"/>
              <w:left w:val="single" w:color="auto" w:sz="4" w:space="0"/>
              <w:bottom w:val="single" w:color="auto" w:sz="4" w:space="0"/>
              <w:right w:val="single" w:color="auto" w:sz="4" w:space="0"/>
            </w:tcBorders>
            <w:vAlign w:val="center"/>
          </w:tcPr>
          <w:p w14:paraId="7DAB0F6E">
            <w:pPr>
              <w:adjustRightInd w:val="0"/>
              <w:snapToGrid w:val="0"/>
              <w:spacing w:line="440" w:lineRule="exact"/>
              <w:ind w:firstLine="480" w:firstLineChars="200"/>
              <w:jc w:val="center"/>
              <w:rPr>
                <w:rFonts w:ascii="宋体" w:hAnsi="宋体" w:eastAsia="宋体" w:cs="宋体"/>
                <w:sz w:val="24"/>
                <w:szCs w:val="24"/>
              </w:rPr>
            </w:pPr>
          </w:p>
        </w:tc>
        <w:tc>
          <w:tcPr>
            <w:tcW w:w="1277" w:type="dxa"/>
            <w:tcBorders>
              <w:top w:val="single" w:color="auto" w:sz="4" w:space="0"/>
              <w:left w:val="single" w:color="auto" w:sz="4" w:space="0"/>
              <w:bottom w:val="single" w:color="auto" w:sz="4" w:space="0"/>
              <w:right w:val="single" w:color="auto" w:sz="4" w:space="0"/>
            </w:tcBorders>
            <w:vAlign w:val="center"/>
          </w:tcPr>
          <w:p w14:paraId="267BDF94">
            <w:pPr>
              <w:adjustRightInd w:val="0"/>
              <w:snapToGrid w:val="0"/>
              <w:spacing w:line="440" w:lineRule="exact"/>
              <w:jc w:val="center"/>
              <w:rPr>
                <w:rFonts w:ascii="宋体" w:hAnsi="宋体" w:eastAsia="宋体" w:cs="宋体"/>
                <w:sz w:val="24"/>
                <w:szCs w:val="24"/>
              </w:rPr>
            </w:pPr>
          </w:p>
        </w:tc>
        <w:tc>
          <w:tcPr>
            <w:tcW w:w="1134" w:type="dxa"/>
            <w:tcBorders>
              <w:top w:val="single" w:color="auto" w:sz="4" w:space="0"/>
              <w:left w:val="single" w:color="auto" w:sz="4" w:space="0"/>
              <w:bottom w:val="single" w:color="auto" w:sz="4" w:space="0"/>
              <w:right w:val="single" w:color="auto" w:sz="4" w:space="0"/>
            </w:tcBorders>
            <w:vAlign w:val="center"/>
          </w:tcPr>
          <w:p w14:paraId="793D0AE7">
            <w:pPr>
              <w:adjustRightInd w:val="0"/>
              <w:snapToGrid w:val="0"/>
              <w:spacing w:line="440" w:lineRule="exact"/>
              <w:ind w:firstLine="31" w:firstLineChars="13"/>
              <w:jc w:val="center"/>
              <w:rPr>
                <w:rFonts w:ascii="宋体" w:hAnsi="宋体" w:eastAsia="宋体" w:cs="宋体"/>
                <w:sz w:val="24"/>
                <w:szCs w:val="24"/>
              </w:rPr>
            </w:pPr>
          </w:p>
        </w:tc>
        <w:tc>
          <w:tcPr>
            <w:tcW w:w="992" w:type="dxa"/>
            <w:tcBorders>
              <w:top w:val="single" w:color="auto" w:sz="4" w:space="0"/>
              <w:left w:val="single" w:color="auto" w:sz="4" w:space="0"/>
              <w:bottom w:val="single" w:color="auto" w:sz="4" w:space="0"/>
              <w:right w:val="single" w:color="auto" w:sz="4" w:space="0"/>
            </w:tcBorders>
            <w:vAlign w:val="center"/>
          </w:tcPr>
          <w:p w14:paraId="35D82D77">
            <w:pPr>
              <w:adjustRightInd w:val="0"/>
              <w:snapToGrid w:val="0"/>
              <w:spacing w:line="440" w:lineRule="exact"/>
              <w:ind w:firstLine="38" w:firstLineChars="16"/>
              <w:jc w:val="center"/>
              <w:rPr>
                <w:rFonts w:ascii="宋体" w:hAnsi="宋体" w:eastAsia="宋体" w:cs="宋体"/>
                <w:sz w:val="24"/>
                <w:szCs w:val="24"/>
              </w:rPr>
            </w:pPr>
          </w:p>
        </w:tc>
        <w:tc>
          <w:tcPr>
            <w:tcW w:w="1134" w:type="dxa"/>
            <w:tcBorders>
              <w:top w:val="single" w:color="auto" w:sz="4" w:space="0"/>
              <w:left w:val="single" w:color="auto" w:sz="4" w:space="0"/>
              <w:bottom w:val="single" w:color="auto" w:sz="4" w:space="0"/>
              <w:right w:val="single" w:color="auto" w:sz="4" w:space="0"/>
            </w:tcBorders>
          </w:tcPr>
          <w:p w14:paraId="4154F749">
            <w:pPr>
              <w:adjustRightInd w:val="0"/>
              <w:snapToGrid w:val="0"/>
              <w:spacing w:line="440" w:lineRule="exact"/>
              <w:ind w:firstLine="33" w:firstLineChars="14"/>
              <w:jc w:val="center"/>
              <w:rPr>
                <w:rFonts w:ascii="宋体" w:hAnsi="宋体" w:eastAsia="宋体" w:cs="宋体"/>
                <w:sz w:val="24"/>
                <w:szCs w:val="24"/>
              </w:rPr>
            </w:pPr>
          </w:p>
        </w:tc>
        <w:tc>
          <w:tcPr>
            <w:tcW w:w="993" w:type="dxa"/>
            <w:tcBorders>
              <w:top w:val="single" w:color="auto" w:sz="4" w:space="0"/>
              <w:left w:val="single" w:color="auto" w:sz="4" w:space="0"/>
              <w:bottom w:val="single" w:color="auto" w:sz="4" w:space="0"/>
              <w:right w:val="single" w:color="auto" w:sz="4" w:space="0"/>
            </w:tcBorders>
            <w:vAlign w:val="center"/>
          </w:tcPr>
          <w:p w14:paraId="739F892D">
            <w:pPr>
              <w:adjustRightInd w:val="0"/>
              <w:snapToGrid w:val="0"/>
              <w:spacing w:line="440" w:lineRule="exact"/>
              <w:ind w:firstLine="480" w:firstLineChars="200"/>
              <w:jc w:val="center"/>
              <w:rPr>
                <w:rFonts w:ascii="宋体" w:hAnsi="宋体" w:eastAsia="宋体" w:cs="宋体"/>
                <w:sz w:val="24"/>
                <w:szCs w:val="24"/>
              </w:rPr>
            </w:pPr>
          </w:p>
        </w:tc>
        <w:tc>
          <w:tcPr>
            <w:tcW w:w="1134" w:type="dxa"/>
            <w:tcBorders>
              <w:top w:val="single" w:color="auto" w:sz="4" w:space="0"/>
              <w:left w:val="single" w:color="auto" w:sz="4" w:space="0"/>
              <w:bottom w:val="single" w:color="auto" w:sz="4" w:space="0"/>
              <w:right w:val="single" w:color="auto" w:sz="4" w:space="0"/>
            </w:tcBorders>
          </w:tcPr>
          <w:p w14:paraId="4A5E857F">
            <w:pPr>
              <w:adjustRightInd w:val="0"/>
              <w:snapToGrid w:val="0"/>
              <w:spacing w:line="440" w:lineRule="exact"/>
              <w:ind w:firstLine="480" w:firstLineChars="200"/>
              <w:jc w:val="center"/>
              <w:rPr>
                <w:rFonts w:ascii="宋体" w:hAnsi="宋体" w:eastAsia="宋体" w:cs="宋体"/>
                <w:sz w:val="24"/>
                <w:szCs w:val="24"/>
              </w:rPr>
            </w:pPr>
          </w:p>
        </w:tc>
      </w:tr>
    </w:tbl>
    <w:p w14:paraId="068C954A">
      <w:pPr>
        <w:adjustRightInd w:val="0"/>
        <w:snapToGrid w:val="0"/>
        <w:spacing w:line="440" w:lineRule="exact"/>
        <w:ind w:firstLine="2160" w:firstLineChars="900"/>
        <w:rPr>
          <w:rFonts w:ascii="宋体" w:hAnsi="宋体" w:eastAsia="宋体" w:cs="宋体"/>
          <w:sz w:val="24"/>
          <w:szCs w:val="24"/>
        </w:rPr>
      </w:pPr>
      <w:r>
        <w:rPr>
          <w:rFonts w:hint="eastAsia" w:ascii="宋体" w:hAnsi="宋体" w:eastAsia="宋体" w:cs="宋体"/>
          <w:sz w:val="24"/>
          <w:szCs w:val="24"/>
        </w:rPr>
        <w:t xml:space="preserve">            </w:t>
      </w:r>
    </w:p>
    <w:p w14:paraId="63106BEC">
      <w:pPr>
        <w:pStyle w:val="133"/>
        <w:numPr>
          <w:ilvl w:val="2"/>
          <w:numId w:val="51"/>
        </w:numPr>
        <w:spacing w:line="440" w:lineRule="exact"/>
        <w:ind w:left="993" w:firstLineChars="0"/>
        <w:rPr>
          <w:rFonts w:ascii="宋体" w:hAnsi="宋体" w:eastAsia="宋体" w:cs="宋体"/>
          <w:sz w:val="24"/>
          <w:szCs w:val="24"/>
        </w:rPr>
      </w:pPr>
      <w:r>
        <w:rPr>
          <w:rFonts w:hint="eastAsia" w:ascii="宋体" w:hAnsi="宋体" w:eastAsia="宋体" w:cs="宋体"/>
          <w:sz w:val="24"/>
          <w:szCs w:val="24"/>
        </w:rPr>
        <w:t>“一览表”和“明细表”仅作为投标方编制投标技术文件的一般格式。其中序号编写应当便于招标方了解分类或分项货物之间的所属关系，如1、1.1、1.2。</w:t>
      </w:r>
    </w:p>
    <w:p w14:paraId="08092590">
      <w:pPr>
        <w:pStyle w:val="133"/>
        <w:numPr>
          <w:ilvl w:val="2"/>
          <w:numId w:val="51"/>
        </w:numPr>
        <w:spacing w:line="440" w:lineRule="exact"/>
        <w:ind w:left="993" w:firstLineChars="0"/>
        <w:rPr>
          <w:rFonts w:ascii="宋体" w:hAnsi="宋体" w:eastAsia="宋体" w:cs="宋体"/>
          <w:sz w:val="24"/>
          <w:szCs w:val="24"/>
        </w:rPr>
      </w:pPr>
      <w:r>
        <w:rPr>
          <w:rFonts w:hint="eastAsia" w:ascii="宋体" w:hAnsi="宋体" w:eastAsia="宋体" w:cs="宋体"/>
          <w:sz w:val="24"/>
          <w:szCs w:val="24"/>
        </w:rPr>
        <w:t>应当尽可能将货物（或生产线）的配置列全、列细，这将有助于投标方胜出。</w:t>
      </w:r>
    </w:p>
    <w:p w14:paraId="61F2BD35">
      <w:pPr>
        <w:pStyle w:val="133"/>
        <w:numPr>
          <w:ilvl w:val="2"/>
          <w:numId w:val="51"/>
        </w:numPr>
        <w:spacing w:line="440" w:lineRule="exact"/>
        <w:ind w:left="993" w:firstLineChars="0"/>
        <w:rPr>
          <w:rFonts w:ascii="宋体" w:hAnsi="宋体" w:eastAsia="宋体" w:cs="宋体"/>
          <w:sz w:val="24"/>
          <w:szCs w:val="24"/>
        </w:rPr>
      </w:pPr>
      <w:r>
        <w:rPr>
          <w:rFonts w:hint="eastAsia" w:ascii="宋体" w:hAnsi="宋体" w:eastAsia="宋体" w:cs="宋体"/>
          <w:sz w:val="24"/>
          <w:szCs w:val="24"/>
        </w:rPr>
        <w:t>本条款表格中的制造商，应当为全称或公认的简称。</w:t>
      </w:r>
    </w:p>
    <w:p w14:paraId="3851876D">
      <w:pPr>
        <w:spacing w:line="440" w:lineRule="exact"/>
        <w:ind w:firstLine="482" w:firstLineChars="200"/>
        <w:outlineLvl w:val="0"/>
        <w:rPr>
          <w:rFonts w:ascii="宋体" w:hAnsi="宋体" w:eastAsia="宋体" w:cs="宋体"/>
          <w:b/>
          <w:sz w:val="24"/>
          <w:szCs w:val="24"/>
        </w:rPr>
      </w:pPr>
      <w:bookmarkStart w:id="69" w:name="_Toc240095886"/>
      <w:bookmarkStart w:id="70" w:name="_Toc240120886"/>
      <w:r>
        <w:rPr>
          <w:rFonts w:hint="eastAsia" w:ascii="宋体" w:hAnsi="宋体" w:eastAsia="宋体" w:cs="宋体"/>
          <w:b/>
          <w:sz w:val="24"/>
          <w:szCs w:val="24"/>
        </w:rPr>
        <w:t>二、验收标准及内容要求</w:t>
      </w:r>
      <w:bookmarkEnd w:id="69"/>
      <w:bookmarkEnd w:id="70"/>
    </w:p>
    <w:p w14:paraId="2AC52D07">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除招标文件明确的验收标准或内容之外，投标方应当在投标文件中提供预验收（必要时）和终验收的标准以及规程；在合同签定之前，经投标方和招标方双方洽谈确认并签署，以作为验收标准执行。</w:t>
      </w:r>
    </w:p>
    <w:p w14:paraId="10E31D67">
      <w:pPr>
        <w:adjustRightInd w:val="0"/>
        <w:snapToGrid w:val="0"/>
        <w:spacing w:line="440" w:lineRule="exact"/>
        <w:ind w:firstLine="480" w:firstLineChars="200"/>
        <w:rPr>
          <w:rFonts w:ascii="宋体" w:hAnsi="宋体" w:eastAsia="宋体" w:cs="宋体"/>
          <w:sz w:val="24"/>
          <w:szCs w:val="24"/>
        </w:rPr>
      </w:pPr>
      <w:r>
        <w:rPr>
          <w:rFonts w:ascii="宋体" w:hAnsi="宋体" w:eastAsia="宋体" w:cs="宋体"/>
          <w:sz w:val="24"/>
          <w:szCs w:val="24"/>
        </w:rPr>
        <w:br w:type="page"/>
      </w:r>
    </w:p>
    <w:p w14:paraId="1F7E4EE4">
      <w:pPr>
        <w:pStyle w:val="52"/>
        <w:numPr>
          <w:ilvl w:val="0"/>
          <w:numId w:val="0"/>
        </w:numPr>
        <w:ind w:firstLine="480" w:firstLineChars="200"/>
        <w:rPr>
          <w:rFonts w:hint="eastAsia" w:ascii="宋体" w:hAnsi="宋体" w:eastAsia="宋体" w:cs="宋体"/>
          <w:sz w:val="24"/>
          <w:szCs w:val="32"/>
        </w:rPr>
      </w:pPr>
    </w:p>
    <w:p w14:paraId="65E1DEAE">
      <w:pPr>
        <w:keepNext/>
        <w:keepLines/>
        <w:spacing w:line="440" w:lineRule="exact"/>
        <w:ind w:firstLine="723" w:firstLineChars="200"/>
        <w:jc w:val="center"/>
        <w:outlineLvl w:val="0"/>
        <w:rPr>
          <w:rFonts w:hint="eastAsia" w:ascii="Times New Roman" w:hAnsi="Times New Roman" w:eastAsia="宋体"/>
          <w:b/>
          <w:bCs/>
          <w:kern w:val="44"/>
          <w:sz w:val="36"/>
          <w:szCs w:val="44"/>
          <w:lang w:val="en-US" w:eastAsia="zh-CN"/>
        </w:rPr>
      </w:pPr>
      <w:bookmarkStart w:id="71" w:name="_Toc238287428"/>
      <w:r>
        <w:rPr>
          <w:rFonts w:hint="eastAsia" w:ascii="Times New Roman" w:hAnsi="Times New Roman" w:eastAsia="宋体"/>
          <w:b/>
          <w:bCs/>
          <w:kern w:val="44"/>
          <w:sz w:val="36"/>
          <w:szCs w:val="44"/>
          <w:lang w:val="en-US" w:eastAsia="zh-CN"/>
        </w:rPr>
        <w:t>第八章  其它要求及说明</w:t>
      </w:r>
      <w:bookmarkEnd w:id="71"/>
    </w:p>
    <w:p w14:paraId="503435FE">
      <w:pPr>
        <w:keepNext/>
        <w:keepLines/>
        <w:spacing w:line="440" w:lineRule="exact"/>
        <w:ind w:firstLine="482" w:firstLineChars="200"/>
        <w:jc w:val="left"/>
        <w:outlineLvl w:val="0"/>
        <w:rPr>
          <w:rFonts w:hint="eastAsia" w:ascii="宋体" w:hAnsi="宋体" w:eastAsia="宋体" w:cs="宋体"/>
          <w:b/>
          <w:bCs/>
          <w:kern w:val="2"/>
          <w:sz w:val="24"/>
          <w:szCs w:val="32"/>
          <w:lang w:val="en-US" w:eastAsia="zh-CN" w:bidi="ar-SA"/>
        </w:rPr>
      </w:pPr>
      <w:bookmarkStart w:id="72" w:name="_Toc238287429"/>
      <w:r>
        <w:rPr>
          <w:rFonts w:hint="eastAsia" w:ascii="宋体" w:hAnsi="宋体" w:eastAsia="宋体" w:cs="宋体"/>
          <w:b/>
          <w:bCs/>
          <w:kern w:val="2"/>
          <w:sz w:val="24"/>
          <w:szCs w:val="32"/>
          <w:lang w:val="en-US" w:eastAsia="zh-CN" w:bidi="ar-SA"/>
        </w:rPr>
        <w:t>一、要求</w:t>
      </w:r>
      <w:bookmarkEnd w:id="72"/>
    </w:p>
    <w:p w14:paraId="68CCC99B">
      <w:pPr>
        <w:spacing w:after="0" w:line="360" w:lineRule="auto"/>
        <w:ind w:firstLine="420" w:firstLineChars="200"/>
        <w:jc w:val="both"/>
        <w:rPr>
          <w:rFonts w:ascii="宋体" w:hAnsi="宋体" w:cs="宋体"/>
          <w:kern w:val="0"/>
          <w14:ligatures w14:val="none"/>
        </w:rPr>
      </w:pPr>
      <w:r>
        <w:rPr>
          <w:rFonts w:hint="eastAsia" w:ascii="宋体" w:hAnsi="宋体" w:cs="宋体"/>
          <w:kern w:val="0"/>
          <w14:ligatures w14:val="none"/>
        </w:rPr>
        <w:t>为保证本技术标书所列采购货物的质量以及先进性、可靠性、经济性和实用性，要求投标人在投标文件中，至少应具备以下资格证明文件或资料：</w:t>
      </w:r>
    </w:p>
    <w:p w14:paraId="290C7DDF">
      <w:pPr>
        <w:pStyle w:val="133"/>
        <w:numPr>
          <w:ilvl w:val="1"/>
          <w:numId w:val="52"/>
        </w:numPr>
        <w:spacing w:after="0" w:line="360" w:lineRule="auto"/>
        <w:ind w:left="426" w:hanging="284" w:firstLineChars="0"/>
        <w:jc w:val="both"/>
        <w:rPr>
          <w:rFonts w:ascii="宋体" w:hAnsi="宋体" w:cs="宋体"/>
          <w14:ligatures w14:val="none"/>
        </w:rPr>
      </w:pPr>
      <w:r>
        <w:rPr>
          <w:rFonts w:hint="eastAsia" w:ascii="宋体" w:hAnsi="宋体" w:cs="宋体"/>
          <w14:ligatures w14:val="none"/>
        </w:rPr>
        <w:t>投标人应是独立法人或得到法人授权的机构。应当在投标文件中提供法人营业执照（复印件）、税务登记证以及组织机构代码证（国际供应商参考该要求提供有效证明文件），并保证其真实性和有效性。</w:t>
      </w:r>
    </w:p>
    <w:p w14:paraId="28034F20">
      <w:pPr>
        <w:pStyle w:val="133"/>
        <w:numPr>
          <w:ilvl w:val="1"/>
          <w:numId w:val="52"/>
        </w:numPr>
        <w:spacing w:after="0" w:line="360" w:lineRule="auto"/>
        <w:ind w:left="426" w:hanging="284" w:firstLineChars="0"/>
        <w:jc w:val="both"/>
        <w:rPr>
          <w:rFonts w:ascii="宋体" w:hAnsi="宋体" w:cs="宋体"/>
          <w14:ligatures w14:val="none"/>
        </w:rPr>
      </w:pPr>
      <w:r>
        <w:rPr>
          <w:rFonts w:hint="eastAsia" w:ascii="宋体" w:hAnsi="宋体" w:cs="宋体"/>
          <w14:ligatures w14:val="none"/>
        </w:rPr>
        <w:t>投标人应当是通过有关资格认证的法人。应当在投标文件中提供有效期内的资格认证证书，如：ISO9001、VDA6.1、QS9000等。</w:t>
      </w:r>
    </w:p>
    <w:p w14:paraId="00878801">
      <w:pPr>
        <w:pStyle w:val="133"/>
        <w:numPr>
          <w:ilvl w:val="1"/>
          <w:numId w:val="52"/>
        </w:numPr>
        <w:spacing w:after="0" w:line="360" w:lineRule="auto"/>
        <w:ind w:left="426" w:hanging="284" w:firstLineChars="0"/>
        <w:jc w:val="both"/>
        <w:rPr>
          <w:rFonts w:ascii="宋体" w:hAnsi="宋体" w:cs="宋体"/>
          <w14:ligatures w14:val="none"/>
        </w:rPr>
      </w:pPr>
      <w:r>
        <w:rPr>
          <w:rFonts w:hint="eastAsia" w:ascii="宋体" w:hAnsi="宋体" w:cs="宋体"/>
          <w14:ligatures w14:val="none"/>
        </w:rPr>
        <w:t>国产设备应附有采购货物（或设备）涉及的由“中国质量认证中心”颁发的《中国国家强制性产品认证证书》（CCC证书）。</w:t>
      </w:r>
    </w:p>
    <w:p w14:paraId="50710E9D">
      <w:pPr>
        <w:pStyle w:val="133"/>
        <w:numPr>
          <w:ilvl w:val="1"/>
          <w:numId w:val="52"/>
        </w:numPr>
        <w:spacing w:after="0" w:line="360" w:lineRule="auto"/>
        <w:ind w:left="426" w:hanging="284" w:firstLineChars="0"/>
        <w:jc w:val="both"/>
        <w:rPr>
          <w:rFonts w:ascii="宋体" w:hAnsi="宋体" w:cs="宋体"/>
          <w14:ligatures w14:val="none"/>
        </w:rPr>
      </w:pPr>
      <w:r>
        <w:rPr>
          <w:rFonts w:hint="eastAsia" w:ascii="宋体" w:hAnsi="宋体" w:cs="宋体"/>
          <w14:ligatures w14:val="none"/>
        </w:rPr>
        <w:t>应附有其它与投标单位、采购货物有关的荣誉证书或资料。</w:t>
      </w:r>
    </w:p>
    <w:p w14:paraId="51F20817">
      <w:pPr>
        <w:pStyle w:val="133"/>
        <w:numPr>
          <w:ilvl w:val="1"/>
          <w:numId w:val="52"/>
        </w:numPr>
        <w:spacing w:after="0" w:line="360" w:lineRule="auto"/>
        <w:ind w:left="426" w:hanging="284" w:firstLineChars="0"/>
        <w:jc w:val="both"/>
        <w:rPr>
          <w:rFonts w:ascii="宋体" w:hAnsi="宋体" w:cs="宋体"/>
          <w14:ligatures w14:val="none"/>
        </w:rPr>
      </w:pPr>
      <w:r>
        <w:rPr>
          <w:rFonts w:hint="eastAsia" w:ascii="宋体" w:hAnsi="宋体" w:cs="宋体"/>
          <w14:ligatures w14:val="none"/>
        </w:rPr>
        <w:t>必须附有投标货物涉及产品要求的、国家或行业管理规定要求的、或者投标人认为能够体现其投标货物合法性及先进性的最高级别的证明材料（投标货物不涉及的除外）：</w:t>
      </w:r>
    </w:p>
    <w:p w14:paraId="7BBBBE65">
      <w:pPr>
        <w:pStyle w:val="133"/>
        <w:numPr>
          <w:ilvl w:val="1"/>
          <w:numId w:val="53"/>
        </w:numPr>
        <w:spacing w:after="0" w:line="360" w:lineRule="auto"/>
        <w:ind w:left="709" w:firstLineChars="0"/>
        <w:jc w:val="both"/>
        <w:rPr>
          <w:rFonts w:ascii="宋体" w:hAnsi="宋体" w:cs="宋体"/>
          <w14:ligatures w14:val="none"/>
        </w:rPr>
      </w:pPr>
      <w:r>
        <w:rPr>
          <w:rFonts w:hint="eastAsia" w:ascii="宋体" w:hAnsi="宋体" w:cs="宋体"/>
          <w14:ligatures w14:val="none"/>
        </w:rPr>
        <w:t>国家相关机构颁发的有效期之内所必需的《生产许可证》；</w:t>
      </w:r>
    </w:p>
    <w:p w14:paraId="5BABE55D">
      <w:pPr>
        <w:pStyle w:val="133"/>
        <w:numPr>
          <w:ilvl w:val="1"/>
          <w:numId w:val="53"/>
        </w:numPr>
        <w:spacing w:after="0" w:line="360" w:lineRule="auto"/>
        <w:ind w:left="709" w:firstLineChars="0"/>
        <w:jc w:val="both"/>
        <w:rPr>
          <w:rFonts w:ascii="宋体" w:hAnsi="宋体" w:cs="宋体"/>
          <w14:ligatures w14:val="none"/>
        </w:rPr>
      </w:pPr>
      <w:r>
        <w:rPr>
          <w:rFonts w:hint="eastAsia" w:ascii="宋体" w:hAnsi="宋体" w:cs="宋体"/>
          <w14:ligatures w14:val="none"/>
        </w:rPr>
        <w:t>产品（或技术）鉴定报告/证书、专利证书或专利许可证书、新技术成果证书等；</w:t>
      </w:r>
    </w:p>
    <w:p w14:paraId="622E75B0">
      <w:pPr>
        <w:pStyle w:val="133"/>
        <w:numPr>
          <w:ilvl w:val="1"/>
          <w:numId w:val="53"/>
        </w:numPr>
        <w:spacing w:after="0" w:line="360" w:lineRule="auto"/>
        <w:ind w:left="709" w:firstLineChars="0"/>
        <w:jc w:val="both"/>
        <w:rPr>
          <w:rFonts w:ascii="宋体" w:hAnsi="宋体" w:cs="宋体"/>
          <w14:ligatures w14:val="none"/>
        </w:rPr>
      </w:pPr>
      <w:r>
        <w:rPr>
          <w:rFonts w:hint="eastAsia" w:ascii="宋体" w:hAnsi="宋体" w:cs="宋体"/>
          <w14:ligatures w14:val="none"/>
        </w:rPr>
        <w:t>产品相关检验、试验报告，如：型式试验检验报告、安全试验检验报告、电弧效应试验报告、噪声检测报告等；</w:t>
      </w:r>
    </w:p>
    <w:p w14:paraId="2B5F606F">
      <w:pPr>
        <w:pStyle w:val="133"/>
        <w:numPr>
          <w:ilvl w:val="1"/>
          <w:numId w:val="53"/>
        </w:numPr>
        <w:spacing w:after="0" w:line="360" w:lineRule="auto"/>
        <w:ind w:left="709" w:firstLineChars="0"/>
        <w:jc w:val="both"/>
        <w:rPr>
          <w:rFonts w:ascii="宋体" w:hAnsi="宋体" w:cs="宋体"/>
          <w14:ligatures w14:val="none"/>
        </w:rPr>
      </w:pPr>
      <w:r>
        <w:rPr>
          <w:rFonts w:hint="eastAsia" w:ascii="宋体" w:hAnsi="宋体" w:cs="宋体"/>
          <w14:ligatures w14:val="none"/>
        </w:rPr>
        <w:t>其它能够证明所供货物的质量水平、技术水平、安全性水平、节能性水平、环保性水平等相关的其它证明文件或资料、报告等；</w:t>
      </w:r>
    </w:p>
    <w:p w14:paraId="2E1F6744">
      <w:pPr>
        <w:pStyle w:val="133"/>
        <w:numPr>
          <w:ilvl w:val="1"/>
          <w:numId w:val="53"/>
        </w:numPr>
        <w:spacing w:after="0" w:line="360" w:lineRule="auto"/>
        <w:ind w:left="709" w:firstLineChars="0"/>
        <w:jc w:val="both"/>
        <w:rPr>
          <w:rFonts w:ascii="宋体" w:hAnsi="宋体" w:cs="宋体"/>
          <w14:ligatures w14:val="none"/>
        </w:rPr>
      </w:pPr>
      <w:r>
        <w:rPr>
          <w:rFonts w:hint="eastAsia" w:ascii="宋体" w:hAnsi="宋体" w:cs="宋体"/>
          <w14:ligatures w14:val="none"/>
        </w:rPr>
        <w:t>该类报告或证明材料对于投标人胜出乃至中标极为重要！</w:t>
      </w:r>
    </w:p>
    <w:p w14:paraId="47C120AC">
      <w:pPr>
        <w:pStyle w:val="133"/>
        <w:numPr>
          <w:ilvl w:val="1"/>
          <w:numId w:val="52"/>
        </w:numPr>
        <w:spacing w:after="0" w:line="360" w:lineRule="auto"/>
        <w:ind w:left="426" w:hanging="284" w:firstLineChars="0"/>
        <w:jc w:val="both"/>
        <w:rPr>
          <w:rFonts w:ascii="宋体" w:hAnsi="宋体" w:cs="宋体"/>
          <w14:ligatures w14:val="none"/>
        </w:rPr>
      </w:pPr>
      <w:r>
        <w:rPr>
          <w:rFonts w:hint="eastAsia" w:ascii="宋体" w:hAnsi="宋体" w:cs="宋体"/>
          <w14:ligatures w14:val="none"/>
        </w:rPr>
        <w:t>必须附有：与本采购货物相同或相似技术规格、型号的而且已经正常使用或通过验收的近三年以上的货物的市场销售业绩清单，清单中应具备：买方单位名称、销售货物的规格型号、数量、（交货）时间、联系人和联系电话（非移动通信号码）等条目内容；投标人应当保证其业绩的真实性，否则将影响投标或中标资格。</w:t>
      </w:r>
    </w:p>
    <w:p w14:paraId="1DC7B4BE">
      <w:pPr>
        <w:keepNext/>
        <w:keepLines/>
        <w:spacing w:line="440" w:lineRule="exact"/>
        <w:ind w:firstLine="482" w:firstLineChars="200"/>
        <w:jc w:val="left"/>
        <w:outlineLvl w:val="0"/>
        <w:rPr>
          <w:rFonts w:hint="eastAsia" w:ascii="宋体" w:hAnsi="宋体" w:eastAsia="宋体" w:cs="宋体"/>
          <w:b/>
          <w:bCs/>
          <w:kern w:val="2"/>
          <w:sz w:val="24"/>
          <w:szCs w:val="32"/>
          <w:lang w:val="en-US" w:eastAsia="zh-CN" w:bidi="ar-SA"/>
        </w:rPr>
      </w:pPr>
      <w:bookmarkStart w:id="73" w:name="_Toc238287430"/>
      <w:r>
        <w:rPr>
          <w:rFonts w:hint="eastAsia" w:ascii="宋体" w:hAnsi="宋体" w:eastAsia="宋体" w:cs="宋体"/>
          <w:b/>
          <w:bCs/>
          <w:kern w:val="2"/>
          <w:sz w:val="24"/>
          <w:szCs w:val="32"/>
          <w:lang w:val="en-US" w:eastAsia="zh-CN" w:bidi="ar-SA"/>
        </w:rPr>
        <w:t>二、其他</w:t>
      </w:r>
      <w:bookmarkEnd w:id="73"/>
    </w:p>
    <w:p w14:paraId="54E29FC1">
      <w:pPr>
        <w:pStyle w:val="133"/>
        <w:numPr>
          <w:ilvl w:val="0"/>
          <w:numId w:val="54"/>
        </w:numPr>
        <w:spacing w:after="0" w:line="360" w:lineRule="auto"/>
        <w:ind w:left="426" w:hanging="284" w:firstLineChars="0"/>
        <w:jc w:val="both"/>
        <w:rPr>
          <w:rFonts w:ascii="宋体" w:hAnsi="宋体" w:cs="宋体"/>
          <w14:ligatures w14:val="none"/>
        </w:rPr>
      </w:pPr>
      <w:r>
        <w:rPr>
          <w:rFonts w:hint="eastAsia" w:ascii="宋体" w:hAnsi="宋体" w:cs="宋体"/>
          <w14:ligatures w14:val="none"/>
        </w:rPr>
        <w:t>投标人可以根据自身的技术、经验等优势以及对招标文件和本技术标书的理解，写明对招标人所采购货物的优化方案或建议意见。投标人的这些努力，招标人表示感谢，并将有助于投标人优先胜出。</w:t>
      </w:r>
    </w:p>
    <w:p w14:paraId="368572D3">
      <w:pPr>
        <w:pStyle w:val="133"/>
        <w:numPr>
          <w:ilvl w:val="0"/>
          <w:numId w:val="54"/>
        </w:numPr>
        <w:spacing w:after="0" w:line="360" w:lineRule="auto"/>
        <w:ind w:left="426" w:hanging="284" w:firstLineChars="0"/>
        <w:jc w:val="both"/>
        <w:rPr>
          <w:rFonts w:ascii="宋体" w:hAnsi="宋体" w:cs="宋体"/>
          <w14:ligatures w14:val="none"/>
        </w:rPr>
      </w:pPr>
      <w:r>
        <w:rPr>
          <w:rFonts w:hint="eastAsia" w:ascii="宋体" w:hAnsi="宋体" w:cs="宋体"/>
          <w14:ligatures w14:val="none"/>
        </w:rPr>
        <w:t>即使有建议意见或建议方案，仍应依据招标文件和本技术标书要求，编写符合要求的投标文件。建议方案或建议意见，应以单独篇章或文件，予以说明和报价。</w:t>
      </w:r>
    </w:p>
    <w:p w14:paraId="17ADA814">
      <w:pPr>
        <w:pStyle w:val="133"/>
        <w:numPr>
          <w:ilvl w:val="0"/>
          <w:numId w:val="54"/>
        </w:numPr>
        <w:spacing w:after="0" w:line="360" w:lineRule="auto"/>
        <w:ind w:left="426" w:hanging="284" w:firstLineChars="0"/>
        <w:jc w:val="both"/>
        <w:rPr>
          <w:rFonts w:ascii="宋体" w:hAnsi="宋体" w:cs="宋体"/>
          <w14:ligatures w14:val="none"/>
        </w:rPr>
      </w:pPr>
      <w:r>
        <w:rPr>
          <w:rFonts w:hint="eastAsia" w:ascii="宋体" w:hAnsi="宋体" w:cs="宋体"/>
          <w14:ligatures w14:val="none"/>
        </w:rPr>
        <w:t>请投标人仔细阅读“采购货物概况”章节内说明，针对允许分投分中的货物，招标人有权利选择其中优秀设备或服务，作为投标人合同供货范围中的指定选用设备或服务（替代投标人分投而未中标部分）。</w:t>
      </w:r>
    </w:p>
    <w:p w14:paraId="16380C21">
      <w:pPr>
        <w:pStyle w:val="133"/>
        <w:numPr>
          <w:ilvl w:val="0"/>
          <w:numId w:val="54"/>
        </w:numPr>
        <w:spacing w:after="0" w:line="360" w:lineRule="auto"/>
        <w:ind w:left="426" w:hanging="284" w:firstLineChars="0"/>
        <w:jc w:val="both"/>
        <w:rPr>
          <w:rFonts w:ascii="宋体" w:hAnsi="宋体" w:cs="宋体"/>
          <w14:ligatures w14:val="none"/>
        </w:rPr>
      </w:pPr>
      <w:r>
        <w:rPr>
          <w:rFonts w:hint="eastAsia" w:ascii="宋体" w:hAnsi="宋体" w:cs="宋体"/>
          <w14:ligatures w14:val="none"/>
        </w:rPr>
        <w:t>招标文件、投标文件、答疑文件、技术交流文件、技术标书等，在采购过程全部为有效文件，如有差异，以对招标人最有利的条款为准。</w:t>
      </w:r>
    </w:p>
    <w:p w14:paraId="008A2A36">
      <w:pPr>
        <w:pStyle w:val="133"/>
        <w:numPr>
          <w:ilvl w:val="0"/>
          <w:numId w:val="54"/>
        </w:numPr>
        <w:spacing w:after="0" w:line="360" w:lineRule="auto"/>
        <w:ind w:left="426" w:hanging="284" w:firstLineChars="0"/>
        <w:jc w:val="both"/>
        <w:rPr>
          <w:rFonts w:ascii="宋体" w:hAnsi="宋体" w:cs="宋体"/>
          <w14:ligatures w14:val="none"/>
        </w:rPr>
      </w:pPr>
      <w:r>
        <w:rPr>
          <w:rFonts w:hint="eastAsia" w:ascii="宋体" w:hAnsi="宋体" w:cs="宋体"/>
          <w14:ligatures w14:val="none"/>
        </w:rPr>
        <w:t>为避免歧义，本技术标书涉及招投标环节的条款，均将潜在的卖方称为投标人、将买方称为招标人；定标后合同签署环节以及后续的合同执行环节条款，招标人称为买方、投标人中的中标方称为卖方。</w:t>
      </w:r>
    </w:p>
    <w:p w14:paraId="7C529C7B">
      <w:pPr>
        <w:pStyle w:val="20"/>
        <w:rPr>
          <w:rFonts w:hAnsi="宋体" w:eastAsia="宋体" w:cs="宋体"/>
          <w:color w:val="000000"/>
          <w:sz w:val="24"/>
          <w:szCs w:val="24"/>
        </w:rPr>
      </w:pPr>
    </w:p>
    <w:p w14:paraId="735A9EDE">
      <w:pPr>
        <w:pStyle w:val="20"/>
        <w:rPr>
          <w:rFonts w:hAnsi="宋体" w:eastAsia="宋体" w:cs="宋体"/>
          <w:color w:val="000000"/>
          <w:sz w:val="24"/>
          <w:szCs w:val="24"/>
        </w:rPr>
      </w:pPr>
    </w:p>
    <w:p w14:paraId="1E9BFEB7">
      <w:pPr>
        <w:pStyle w:val="20"/>
        <w:rPr>
          <w:rFonts w:hAnsi="宋体" w:eastAsia="宋体" w:cs="宋体"/>
          <w:color w:val="000000"/>
          <w:sz w:val="24"/>
          <w:szCs w:val="24"/>
        </w:rPr>
      </w:pPr>
    </w:p>
    <w:p w14:paraId="44A3715C">
      <w:pPr>
        <w:pStyle w:val="20"/>
        <w:rPr>
          <w:rFonts w:hAnsi="宋体" w:eastAsia="宋体" w:cs="宋体"/>
          <w:color w:val="000000"/>
          <w:sz w:val="24"/>
          <w:szCs w:val="24"/>
        </w:rPr>
      </w:pPr>
    </w:p>
    <w:p w14:paraId="3E6DFDB8">
      <w:pPr>
        <w:keepNext/>
        <w:keepLines/>
        <w:jc w:val="center"/>
        <w:outlineLvl w:val="0"/>
        <w:rPr>
          <w:rFonts w:hint="eastAsia" w:ascii="Calibri" w:hAnsi="Calibri" w:eastAsia="宋体" w:cs="Times New Roman"/>
          <w:b/>
          <w:bCs/>
          <w:kern w:val="44"/>
          <w:sz w:val="36"/>
          <w:szCs w:val="44"/>
        </w:rPr>
        <w:sectPr>
          <w:pgSz w:w="11907" w:h="16840"/>
          <w:pgMar w:top="1025" w:right="1418" w:bottom="1418" w:left="1418" w:header="724" w:footer="851" w:gutter="0"/>
          <w:cols w:space="720" w:num="1"/>
          <w:docGrid w:linePitch="290" w:charSpace="-3931"/>
        </w:sectPr>
      </w:pPr>
      <w:bookmarkStart w:id="74" w:name="_Toc234572375"/>
    </w:p>
    <w:bookmarkEnd w:id="74"/>
    <w:p w14:paraId="78E1C948">
      <w:pPr>
        <w:keepNext/>
        <w:keepLines/>
        <w:jc w:val="center"/>
        <w:outlineLvl w:val="0"/>
        <w:rPr>
          <w:rFonts w:ascii="Calibri" w:hAnsi="Calibri" w:eastAsia="宋体" w:cs="Times New Roman"/>
          <w:b/>
          <w:bCs/>
          <w:kern w:val="44"/>
          <w:sz w:val="36"/>
          <w:szCs w:val="44"/>
        </w:rPr>
      </w:pPr>
      <w:bookmarkStart w:id="75" w:name="_Toc240120890"/>
      <w:bookmarkStart w:id="76" w:name="_Toc234572376"/>
      <w:r>
        <w:rPr>
          <w:rFonts w:hint="eastAsia" w:ascii="Calibri" w:hAnsi="Calibri" w:eastAsia="宋体" w:cs="Times New Roman"/>
          <w:b/>
          <w:bCs/>
          <w:kern w:val="44"/>
          <w:sz w:val="36"/>
          <w:szCs w:val="44"/>
        </w:rPr>
        <w:t>第六部分</w:t>
      </w:r>
      <w:r>
        <w:rPr>
          <w:rFonts w:ascii="Calibri" w:hAnsi="Calibri" w:eastAsia="宋体" w:cs="Times New Roman"/>
          <w:b/>
          <w:bCs/>
          <w:kern w:val="44"/>
          <w:sz w:val="36"/>
          <w:szCs w:val="44"/>
        </w:rPr>
        <w:t xml:space="preserve"> </w:t>
      </w:r>
      <w:r>
        <w:rPr>
          <w:rFonts w:hint="eastAsia" w:ascii="Calibri" w:hAnsi="Calibri" w:eastAsia="宋体" w:cs="Times New Roman"/>
          <w:b/>
          <w:bCs/>
          <w:kern w:val="44"/>
          <w:sz w:val="36"/>
          <w:szCs w:val="44"/>
        </w:rPr>
        <w:t>设备采购合同</w:t>
      </w:r>
      <w:bookmarkEnd w:id="75"/>
    </w:p>
    <w:p w14:paraId="08F3B4EA">
      <w:pPr>
        <w:adjustRightInd w:val="0"/>
        <w:snapToGrid w:val="0"/>
        <w:spacing w:line="360" w:lineRule="auto"/>
        <w:jc w:val="left"/>
        <w:rPr>
          <w:rFonts w:ascii="宋体" w:hAnsi="宋体"/>
          <w:sz w:val="20"/>
          <w:szCs w:val="20"/>
        </w:rPr>
      </w:pPr>
      <w:r>
        <w:rPr>
          <w:rFonts w:ascii="宋体" w:hAnsi="宋体"/>
          <w:sz w:val="20"/>
          <w:szCs w:val="20"/>
        </w:rPr>
        <w:t xml:space="preserve">                                      </w:t>
      </w:r>
      <w:r>
        <w:rPr>
          <w:rFonts w:hint="eastAsia" w:ascii="宋体" w:hAnsi="宋体"/>
          <w:sz w:val="20"/>
          <w:szCs w:val="20"/>
        </w:rPr>
        <w:t xml:space="preserve">  </w:t>
      </w:r>
      <w:bookmarkStart w:id="77" w:name="_Toc283814116"/>
    </w:p>
    <w:p w14:paraId="4FEB0472">
      <w:pPr>
        <w:spacing w:line="360" w:lineRule="auto"/>
        <w:jc w:val="center"/>
        <w:rPr>
          <w:rFonts w:ascii="方正小标宋简体" w:hAnsi="方正小标宋简体" w:eastAsia="方正小标宋简体" w:cs="方正小标宋简体"/>
          <w:w w:val="90"/>
          <w:sz w:val="48"/>
          <w:szCs w:val="48"/>
        </w:rPr>
      </w:pPr>
    </w:p>
    <w:p w14:paraId="0616649B">
      <w:pPr>
        <w:spacing w:line="360" w:lineRule="auto"/>
        <w:jc w:val="center"/>
        <w:rPr>
          <w:rFonts w:ascii="方正小标宋简体" w:hAnsi="方正小标宋简体" w:eastAsia="方正小标宋简体" w:cs="方正小标宋简体"/>
          <w:w w:val="90"/>
          <w:sz w:val="48"/>
          <w:szCs w:val="48"/>
        </w:rPr>
      </w:pPr>
    </w:p>
    <w:p w14:paraId="241E43F6">
      <w:pPr>
        <w:spacing w:line="360" w:lineRule="auto"/>
        <w:jc w:val="center"/>
        <w:rPr>
          <w:rFonts w:ascii="方正小标宋简体" w:hAnsi="方正小标宋简体" w:eastAsia="方正小标宋简体" w:cs="方正小标宋简体"/>
          <w:w w:val="90"/>
          <w:sz w:val="48"/>
          <w:szCs w:val="48"/>
        </w:rPr>
      </w:pPr>
    </w:p>
    <w:p w14:paraId="3821E9F1">
      <w:pPr>
        <w:spacing w:line="360" w:lineRule="auto"/>
        <w:jc w:val="center"/>
        <w:rPr>
          <w:rFonts w:ascii="方正小标宋简体" w:hAnsi="方正小标宋简体" w:eastAsia="方正小标宋简体" w:cs="方正小标宋简体"/>
          <w:w w:val="90"/>
          <w:sz w:val="56"/>
          <w:szCs w:val="56"/>
        </w:rPr>
      </w:pPr>
      <w:r>
        <w:rPr>
          <w:rFonts w:hint="eastAsia" w:ascii="方正小标宋简体" w:hAnsi="方正小标宋简体" w:eastAsia="方正小标宋简体" w:cs="方正小标宋简体"/>
          <w:w w:val="90"/>
          <w:sz w:val="56"/>
          <w:szCs w:val="56"/>
        </w:rPr>
        <w:t>设备采购合同</w:t>
      </w:r>
    </w:p>
    <w:p w14:paraId="08189786">
      <w:pPr>
        <w:spacing w:line="360" w:lineRule="auto"/>
        <w:jc w:val="center"/>
        <w:rPr>
          <w:rFonts w:ascii="方正小标宋简体" w:hAnsi="方正小标宋简体" w:eastAsia="方正小标宋简体" w:cs="方正小标宋简体"/>
          <w:w w:val="90"/>
          <w:sz w:val="56"/>
          <w:szCs w:val="56"/>
        </w:rPr>
      </w:pPr>
    </w:p>
    <w:p w14:paraId="7F58487E">
      <w:pPr>
        <w:spacing w:line="360" w:lineRule="auto"/>
        <w:jc w:val="center"/>
        <w:rPr>
          <w:rFonts w:ascii="仿宋_GB2312" w:hAnsi="仿宋_GB2312" w:eastAsia="仿宋_GB2312" w:cs="仿宋_GB2312"/>
          <w:bCs/>
          <w:sz w:val="24"/>
          <w:szCs w:val="24"/>
        </w:rPr>
      </w:pPr>
    </w:p>
    <w:p w14:paraId="78E20C5F">
      <w:pPr>
        <w:spacing w:line="360" w:lineRule="auto"/>
        <w:ind w:firstLine="2160" w:firstLineChars="900"/>
        <w:jc w:val="left"/>
        <w:rPr>
          <w:rFonts w:ascii="仿宋_GB2312" w:hAnsi="仿宋_GB2312" w:eastAsia="仿宋_GB2312" w:cs="仿宋_GB2312"/>
          <w:bCs/>
          <w:sz w:val="24"/>
          <w:szCs w:val="24"/>
        </w:rPr>
      </w:pPr>
      <w:r>
        <w:rPr>
          <w:rFonts w:hint="eastAsia" w:ascii="仿宋_GB2312" w:hAnsi="仿宋_GB2312" w:eastAsia="仿宋_GB2312" w:cs="仿宋_GB2312"/>
          <w:bCs/>
          <w:sz w:val="24"/>
          <w:szCs w:val="24"/>
        </w:rPr>
        <w:t xml:space="preserve">合同项目名称： </w:t>
      </w:r>
      <w:permStart w:id="0" w:edGrp="everyone"/>
      <w:r>
        <w:rPr>
          <w:rFonts w:hint="eastAsia" w:ascii="仿宋_GB2312" w:hAnsi="仿宋_GB2312" w:eastAsia="仿宋_GB2312" w:cs="仿宋_GB2312"/>
          <w:b/>
          <w:sz w:val="24"/>
          <w:szCs w:val="24"/>
          <w:u w:val="single"/>
        </w:rPr>
        <w:t>合同项目名称</w:t>
      </w:r>
      <w:permEnd w:id="0"/>
    </w:p>
    <w:p w14:paraId="1301896F">
      <w:pPr>
        <w:spacing w:line="360" w:lineRule="auto"/>
        <w:ind w:firstLine="2160" w:firstLineChars="900"/>
        <w:jc w:val="left"/>
        <w:rPr>
          <w:rFonts w:ascii="仿宋_GB2312" w:hAnsi="仿宋_GB2312" w:eastAsia="仿宋_GB2312" w:cs="仿宋_GB2312"/>
          <w:bCs/>
          <w:sz w:val="24"/>
          <w:szCs w:val="24"/>
        </w:rPr>
      </w:pPr>
    </w:p>
    <w:p w14:paraId="3D02109C">
      <w:pPr>
        <w:spacing w:line="360" w:lineRule="auto"/>
        <w:ind w:firstLine="2160" w:firstLineChars="900"/>
        <w:jc w:val="left"/>
        <w:rPr>
          <w:rFonts w:ascii="仿宋_GB2312" w:hAnsi="仿宋_GB2312" w:eastAsia="仿宋_GB2312" w:cs="仿宋_GB2312"/>
          <w:b/>
          <w:sz w:val="24"/>
          <w:szCs w:val="24"/>
          <w:u w:val="single"/>
        </w:rPr>
      </w:pPr>
      <w:r>
        <w:rPr>
          <w:rFonts w:hint="eastAsia" w:ascii="仿宋_GB2312" w:hAnsi="仿宋_GB2312" w:eastAsia="仿宋_GB2312" w:cs="仿宋_GB2312"/>
          <w:bCs/>
          <w:sz w:val="24"/>
          <w:szCs w:val="24"/>
        </w:rPr>
        <w:t>甲方（买方）：</w:t>
      </w:r>
      <w:permStart w:id="1" w:edGrp="everyone"/>
      <w:r>
        <w:rPr>
          <w:rFonts w:hint="eastAsia" w:ascii="仿宋_GB2312" w:hAnsi="仿宋_GB2312" w:eastAsia="仿宋_GB2312" w:cs="仿宋_GB2312"/>
          <w:b/>
          <w:sz w:val="24"/>
          <w:szCs w:val="24"/>
          <w:u w:val="single"/>
        </w:rPr>
        <w:t>甲方单位全称</w:t>
      </w:r>
      <w:permEnd w:id="1"/>
    </w:p>
    <w:p w14:paraId="13440DBC">
      <w:pPr>
        <w:spacing w:line="360" w:lineRule="auto"/>
        <w:ind w:firstLine="2168" w:firstLineChars="900"/>
        <w:jc w:val="left"/>
        <w:rPr>
          <w:rFonts w:ascii="仿宋_GB2312" w:hAnsi="仿宋_GB2312" w:eastAsia="仿宋_GB2312" w:cs="仿宋_GB2312"/>
          <w:b/>
          <w:sz w:val="24"/>
          <w:szCs w:val="24"/>
          <w:u w:val="single"/>
        </w:rPr>
      </w:pPr>
    </w:p>
    <w:p w14:paraId="34CFAFB4">
      <w:pPr>
        <w:spacing w:line="360" w:lineRule="auto"/>
        <w:ind w:firstLine="2160" w:firstLineChars="900"/>
        <w:jc w:val="left"/>
        <w:rPr>
          <w:rFonts w:ascii="仿宋_GB2312" w:hAnsi="仿宋_GB2312" w:eastAsia="仿宋_GB2312" w:cs="仿宋_GB2312"/>
          <w:b/>
          <w:sz w:val="24"/>
          <w:szCs w:val="24"/>
          <w:u w:val="single"/>
        </w:rPr>
      </w:pPr>
      <w:r>
        <w:rPr>
          <w:rFonts w:hint="eastAsia" w:ascii="仿宋_GB2312" w:hAnsi="仿宋_GB2312" w:eastAsia="仿宋_GB2312" w:cs="仿宋_GB2312"/>
          <w:bCs/>
          <w:sz w:val="24"/>
          <w:szCs w:val="24"/>
        </w:rPr>
        <w:t>乙方（卖方）：</w:t>
      </w:r>
      <w:permStart w:id="2" w:edGrp="everyone"/>
      <w:r>
        <w:rPr>
          <w:rFonts w:hint="eastAsia" w:ascii="仿宋_GB2312" w:hAnsi="仿宋_GB2312" w:eastAsia="仿宋_GB2312" w:cs="仿宋_GB2312"/>
          <w:b/>
          <w:sz w:val="24"/>
          <w:szCs w:val="24"/>
          <w:u w:val="single"/>
        </w:rPr>
        <w:t>乙方单位全称</w:t>
      </w:r>
      <w:permEnd w:id="2"/>
    </w:p>
    <w:p w14:paraId="1E944E08">
      <w:pPr>
        <w:spacing w:line="360" w:lineRule="auto"/>
        <w:ind w:firstLine="2168" w:firstLineChars="900"/>
        <w:jc w:val="center"/>
        <w:rPr>
          <w:rFonts w:ascii="仿宋_GB2312" w:hAnsi="仿宋_GB2312" w:eastAsia="仿宋_GB2312" w:cs="仿宋_GB2312"/>
          <w:b/>
          <w:sz w:val="24"/>
          <w:szCs w:val="24"/>
          <w:u w:val="single"/>
        </w:rPr>
      </w:pPr>
    </w:p>
    <w:p w14:paraId="3A8240E1">
      <w:pPr>
        <w:spacing w:line="360" w:lineRule="auto"/>
        <w:ind w:firstLine="2168" w:firstLineChars="900"/>
        <w:jc w:val="center"/>
        <w:rPr>
          <w:rFonts w:ascii="仿宋_GB2312" w:hAnsi="仿宋_GB2312" w:eastAsia="仿宋_GB2312" w:cs="仿宋_GB2312"/>
          <w:b/>
          <w:sz w:val="24"/>
          <w:szCs w:val="24"/>
          <w:u w:val="single"/>
        </w:rPr>
      </w:pPr>
    </w:p>
    <w:p w14:paraId="31FFC584">
      <w:pPr>
        <w:spacing w:line="360" w:lineRule="auto"/>
        <w:ind w:firstLine="2160" w:firstLineChars="900"/>
        <w:jc w:val="left"/>
        <w:rPr>
          <w:rFonts w:ascii="仿宋_GB2312" w:hAnsi="仿宋_GB2312" w:eastAsia="仿宋_GB2312" w:cs="仿宋_GB2312"/>
          <w:b/>
          <w:sz w:val="24"/>
          <w:szCs w:val="24"/>
          <w:u w:val="single"/>
        </w:rPr>
      </w:pPr>
      <w:r>
        <w:rPr>
          <w:rFonts w:hint="eastAsia" w:ascii="仿宋_GB2312" w:hAnsi="仿宋_GB2312" w:eastAsia="仿宋_GB2312" w:cs="仿宋_GB2312"/>
          <w:bCs/>
          <w:sz w:val="24"/>
          <w:szCs w:val="24"/>
        </w:rPr>
        <w:t>合同签订地点：</w:t>
      </w:r>
      <w:permStart w:id="3" w:edGrp="everyone"/>
      <w:r>
        <w:rPr>
          <w:rFonts w:hint="eastAsia" w:ascii="仿宋_GB2312" w:hAnsi="仿宋_GB2312" w:eastAsia="仿宋_GB2312" w:cs="仿宋_GB2312"/>
          <w:b/>
          <w:sz w:val="24"/>
          <w:szCs w:val="24"/>
          <w:u w:val="single"/>
        </w:rPr>
        <w:t>填写甲方所在县级行政区划，如“山东省济南市高新区/章丘区”等</w:t>
      </w:r>
      <w:permEnd w:id="3"/>
    </w:p>
    <w:p w14:paraId="3C492142">
      <w:pPr>
        <w:spacing w:line="360" w:lineRule="auto"/>
        <w:ind w:firstLine="2160" w:firstLineChars="900"/>
        <w:jc w:val="left"/>
        <w:rPr>
          <w:rFonts w:ascii="仿宋_GB2312" w:hAnsi="仿宋_GB2312" w:eastAsia="仿宋_GB2312" w:cs="仿宋_GB2312"/>
          <w:bCs/>
          <w:sz w:val="24"/>
          <w:szCs w:val="24"/>
        </w:rPr>
      </w:pPr>
    </w:p>
    <w:p w14:paraId="38154C16">
      <w:pPr>
        <w:spacing w:line="360" w:lineRule="auto"/>
        <w:ind w:firstLine="2160" w:firstLineChars="900"/>
        <w:jc w:val="left"/>
        <w:rPr>
          <w:rFonts w:ascii="仿宋_GB2312" w:hAnsi="仿宋_GB2312" w:eastAsia="仿宋_GB2312" w:cs="仿宋_GB2312"/>
          <w:b/>
          <w:sz w:val="24"/>
          <w:szCs w:val="24"/>
          <w:u w:val="single"/>
        </w:rPr>
      </w:pPr>
      <w:r>
        <w:rPr>
          <w:rFonts w:hint="eastAsia" w:ascii="仿宋_GB2312" w:hAnsi="仿宋_GB2312" w:eastAsia="仿宋_GB2312" w:cs="仿宋_GB2312"/>
          <w:bCs/>
          <w:sz w:val="24"/>
          <w:szCs w:val="24"/>
        </w:rPr>
        <w:t>合同签订时间：</w:t>
      </w:r>
      <w:permStart w:id="4" w:edGrp="everyone"/>
      <w:r>
        <w:rPr>
          <w:rFonts w:hint="eastAsia" w:ascii="仿宋_GB2312" w:hAnsi="仿宋_GB2312" w:eastAsia="仿宋_GB2312" w:cs="仿宋_GB2312"/>
          <w:b/>
          <w:sz w:val="24"/>
          <w:szCs w:val="24"/>
          <w:u w:val="single"/>
        </w:rPr>
        <w:t>按****年**月**日形式据实填写</w:t>
      </w:r>
    </w:p>
    <w:permEnd w:id="4"/>
    <w:p w14:paraId="17E2558D">
      <w:pPr>
        <w:spacing w:line="360" w:lineRule="auto"/>
        <w:ind w:firstLine="3564" w:firstLineChars="900"/>
        <w:jc w:val="left"/>
        <w:rPr>
          <w:rFonts w:ascii="方正小标宋简体" w:hAnsi="方正小标宋简体" w:eastAsia="方正小标宋简体" w:cs="方正小标宋简体"/>
          <w:w w:val="90"/>
          <w:sz w:val="44"/>
          <w:szCs w:val="44"/>
        </w:rPr>
      </w:pPr>
      <w:r>
        <w:rPr>
          <w:rFonts w:ascii="方正小标宋简体" w:hAnsi="方正小标宋简体" w:eastAsia="方正小标宋简体" w:cs="方正小标宋简体"/>
          <w:w w:val="90"/>
          <w:sz w:val="44"/>
          <w:szCs w:val="44"/>
        </w:rPr>
        <w:br w:type="page"/>
      </w:r>
    </w:p>
    <w:p w14:paraId="45E582D8">
      <w:pPr>
        <w:spacing w:line="360" w:lineRule="auto"/>
        <w:ind w:firstLine="3564" w:firstLineChars="900"/>
        <w:jc w:val="left"/>
        <w:rPr>
          <w:rFonts w:ascii="方正小标宋简体" w:hAnsi="方正小标宋简体" w:eastAsia="方正小标宋简体" w:cs="方正小标宋简体"/>
          <w:w w:val="90"/>
          <w:sz w:val="44"/>
          <w:szCs w:val="44"/>
        </w:rPr>
      </w:pPr>
      <w:r>
        <w:rPr>
          <w:rFonts w:hint="eastAsia" w:ascii="方正小标宋简体" w:hAnsi="方正小标宋简体" w:eastAsia="方正小标宋简体" w:cs="方正小标宋简体"/>
          <w:w w:val="90"/>
          <w:sz w:val="44"/>
          <w:szCs w:val="44"/>
        </w:rPr>
        <w:t>设备采购合同</w:t>
      </w:r>
    </w:p>
    <w:p w14:paraId="10D9821F">
      <w:pPr>
        <w:spacing w:line="360" w:lineRule="auto"/>
        <w:jc w:val="center"/>
        <w:rPr>
          <w:rFonts w:ascii="方正小标宋简体" w:hAnsi="方正小标宋简体" w:eastAsia="方正小标宋简体" w:cs="方正小标宋简体"/>
          <w:w w:val="90"/>
          <w:sz w:val="44"/>
          <w:szCs w:val="44"/>
        </w:rPr>
      </w:pPr>
      <w:r>
        <w:rPr>
          <w:rFonts w:hint="eastAsia" w:ascii="方正小标宋简体" w:hAnsi="方正小标宋简体" w:eastAsia="方正小标宋简体" w:cs="方正小标宋简体"/>
          <w:w w:val="90"/>
          <w:sz w:val="44"/>
          <w:szCs w:val="44"/>
        </w:rPr>
        <w:t>专用条款</w:t>
      </w:r>
    </w:p>
    <w:p w14:paraId="03619716">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鉴于，买方向卖方购买</w:t>
      </w:r>
      <w:permStart w:id="5" w:edGrp="everyone"/>
      <w:r>
        <w:rPr>
          <w:rFonts w:hint="eastAsia" w:ascii="仿宋_GB2312" w:hAnsi="仿宋_GB2312" w:eastAsia="仿宋_GB2312" w:cs="仿宋_GB2312"/>
          <w:b/>
          <w:bCs/>
          <w:sz w:val="24"/>
          <w:szCs w:val="24"/>
          <w:u w:val="single"/>
        </w:rPr>
        <w:t>设备名称概括</w:t>
      </w:r>
      <w:permEnd w:id="5"/>
      <w:r>
        <w:rPr>
          <w:rFonts w:hint="eastAsia" w:ascii="仿宋_GB2312" w:hAnsi="仿宋_GB2312" w:eastAsia="仿宋_GB2312" w:cs="仿宋_GB2312"/>
          <w:sz w:val="24"/>
          <w:szCs w:val="24"/>
          <w:u w:val="single"/>
        </w:rPr>
        <w:t>等</w:t>
      </w:r>
      <w:r>
        <w:rPr>
          <w:rFonts w:hint="eastAsia" w:ascii="仿宋_GB2312" w:hAnsi="仿宋_GB2312" w:eastAsia="仿宋_GB2312" w:cs="仿宋_GB2312"/>
          <w:sz w:val="24"/>
          <w:szCs w:val="24"/>
        </w:rPr>
        <w:t>，就该设备的设计、制造、运输、定点卸货、安装或指导安装、调试、验收、培训及售后服务等有关问题，在自愿协商的基础上达成本合同。</w:t>
      </w:r>
    </w:p>
    <w:p w14:paraId="51EDE6D5">
      <w:pPr>
        <w:pStyle w:val="2"/>
        <w:ind w:firstLine="480" w:firstLineChars="200"/>
        <w:jc w:val="both"/>
        <w:rPr>
          <w:rFonts w:ascii="黑体" w:hAnsi="黑体" w:eastAsia="黑体" w:cs="黑体"/>
          <w:b w:val="0"/>
          <w:sz w:val="24"/>
          <w:szCs w:val="24"/>
        </w:rPr>
      </w:pPr>
      <w:bookmarkStart w:id="78" w:name="_Toc240120891"/>
      <w:r>
        <w:rPr>
          <w:rFonts w:hint="eastAsia" w:ascii="黑体" w:hAnsi="黑体" w:eastAsia="黑体" w:cs="黑体"/>
          <w:b w:val="0"/>
          <w:sz w:val="24"/>
          <w:szCs w:val="24"/>
        </w:rPr>
        <w:t>1.合同设备标的</w:t>
      </w:r>
      <w:bookmarkEnd w:id="78"/>
    </w:p>
    <w:p w14:paraId="2EBD49EE">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1.1合同总价：为共同完成</w:t>
      </w:r>
      <w:permStart w:id="6" w:edGrp="everyone"/>
      <w:r>
        <w:rPr>
          <w:rFonts w:hint="eastAsia" w:ascii="仿宋_GB2312" w:hAnsi="仿宋_GB2312" w:eastAsia="仿宋_GB2312" w:cs="仿宋_GB2312"/>
          <w:b/>
          <w:bCs/>
          <w:sz w:val="24"/>
          <w:szCs w:val="24"/>
          <w:u w:val="single"/>
        </w:rPr>
        <w:t>合同项目名称</w:t>
      </w:r>
      <w:permEnd w:id="6"/>
      <w:r>
        <w:rPr>
          <w:rFonts w:hint="eastAsia" w:ascii="仿宋_GB2312" w:hAnsi="仿宋_GB2312" w:eastAsia="仿宋_GB2312" w:cs="仿宋_GB2312"/>
          <w:sz w:val="24"/>
          <w:szCs w:val="24"/>
        </w:rPr>
        <w:t>，买方向卖方购买设备一宗，详见附件《设备清单明细表》，本合同不含税总价为</w:t>
      </w:r>
      <w:permStart w:id="7" w:edGrp="everyone"/>
      <w:r>
        <w:rPr>
          <w:rFonts w:hint="eastAsia" w:ascii="仿宋_GB2312" w:hAnsi="仿宋_GB2312" w:eastAsia="仿宋_GB2312" w:cs="仿宋_GB2312"/>
          <w:b/>
          <w:bCs/>
          <w:sz w:val="24"/>
          <w:szCs w:val="24"/>
          <w:u w:val="single"/>
        </w:rPr>
        <w:t>不含税总价小写，数值，小数点后保留两位</w:t>
      </w:r>
      <w:permEnd w:id="7"/>
      <w:r>
        <w:rPr>
          <w:rFonts w:hint="eastAsia" w:ascii="仿宋_GB2312" w:hAnsi="仿宋_GB2312" w:eastAsia="仿宋_GB2312" w:cs="仿宋_GB2312"/>
          <w:sz w:val="24"/>
          <w:szCs w:val="24"/>
        </w:rPr>
        <w:t>元，税额</w:t>
      </w:r>
      <w:permStart w:id="8" w:edGrp="everyone"/>
      <w:r>
        <w:rPr>
          <w:rFonts w:hint="eastAsia" w:ascii="仿宋_GB2312" w:hAnsi="仿宋_GB2312" w:eastAsia="仿宋_GB2312" w:cs="仿宋_GB2312"/>
          <w:b/>
          <w:bCs/>
          <w:sz w:val="24"/>
          <w:szCs w:val="24"/>
          <w:u w:val="single"/>
        </w:rPr>
        <w:t>合计税额小写，数值，小数点后保留两位</w:t>
      </w:r>
      <w:permEnd w:id="8"/>
      <w:r>
        <w:rPr>
          <w:rFonts w:hint="eastAsia" w:ascii="仿宋_GB2312" w:hAnsi="仿宋_GB2312" w:eastAsia="仿宋_GB2312" w:cs="仿宋_GB2312"/>
          <w:sz w:val="24"/>
          <w:szCs w:val="24"/>
        </w:rPr>
        <w:t>元，含税总价</w:t>
      </w:r>
      <w:permStart w:id="9" w:edGrp="everyone"/>
      <w:r>
        <w:rPr>
          <w:rFonts w:hint="eastAsia" w:ascii="仿宋_GB2312" w:hAnsi="仿宋_GB2312" w:eastAsia="仿宋_GB2312" w:cs="仿宋_GB2312"/>
          <w:b/>
          <w:bCs/>
          <w:sz w:val="24"/>
          <w:szCs w:val="24"/>
          <w:u w:val="single"/>
        </w:rPr>
        <w:t>含税总价小写，数值，小数点后保留两位</w:t>
      </w:r>
      <w:permEnd w:id="9"/>
      <w:r>
        <w:rPr>
          <w:rFonts w:hint="eastAsia" w:ascii="仿宋_GB2312" w:hAnsi="仿宋_GB2312" w:eastAsia="仿宋_GB2312" w:cs="仿宋_GB2312"/>
          <w:sz w:val="24"/>
          <w:szCs w:val="24"/>
        </w:rPr>
        <w:t>元（大写：</w:t>
      </w:r>
      <w:permStart w:id="10" w:edGrp="everyone"/>
      <w:r>
        <w:rPr>
          <w:rFonts w:hint="eastAsia" w:ascii="仿宋_GB2312" w:hAnsi="仿宋_GB2312" w:eastAsia="仿宋_GB2312" w:cs="仿宋_GB2312"/>
          <w:b/>
          <w:bCs/>
          <w:sz w:val="24"/>
          <w:szCs w:val="24"/>
          <w:u w:val="single"/>
        </w:rPr>
        <w:t>含税总价大写</w:t>
      </w:r>
      <w:permEnd w:id="10"/>
      <w:r>
        <w:rPr>
          <w:rFonts w:hint="eastAsia" w:ascii="仿宋_GB2312" w:hAnsi="仿宋_GB2312" w:eastAsia="仿宋_GB2312" w:cs="仿宋_GB2312"/>
          <w:sz w:val="24"/>
          <w:szCs w:val="24"/>
        </w:rPr>
        <w:t>）。</w:t>
      </w:r>
    </w:p>
    <w:p w14:paraId="2EC9ED0E">
      <w:pPr>
        <w:spacing w:line="360" w:lineRule="auto"/>
        <w:ind w:firstLine="480" w:firstLineChars="200"/>
        <w:rPr>
          <w:rFonts w:ascii="方正小标宋简体" w:hAnsi="宋体" w:eastAsia="仿宋_GB2312"/>
          <w:sz w:val="24"/>
          <w:szCs w:val="24"/>
          <w:u w:val="thick"/>
        </w:rPr>
      </w:pPr>
      <w:r>
        <w:rPr>
          <w:rFonts w:hint="eastAsia" w:ascii="仿宋_GB2312" w:eastAsia="仿宋_GB2312" w:hAnsiTheme="minorEastAsia" w:cstheme="minorEastAsia"/>
          <w:sz w:val="24"/>
          <w:szCs w:val="24"/>
        </w:rPr>
        <w:t>1.2交货方式</w:t>
      </w:r>
      <w:r>
        <w:rPr>
          <w:rFonts w:hint="eastAsia" w:ascii="仿宋_GB2312" w:eastAsia="仿宋_GB2312" w:hAnsiTheme="minorEastAsia" w:cstheme="minorEastAsia"/>
          <w:bCs/>
          <w:sz w:val="24"/>
          <w:szCs w:val="24"/>
        </w:rPr>
        <w:t>：</w:t>
      </w:r>
      <w:permStart w:id="11" w:edGrp="everyone"/>
      <w:r>
        <w:rPr>
          <w:rFonts w:hint="eastAsia" w:ascii="仿宋_GB2312" w:hAnsi="宋体" w:eastAsia="仿宋_GB2312"/>
          <w:b/>
          <w:bCs/>
          <w:sz w:val="24"/>
          <w:szCs w:val="24"/>
          <w:u w:val="single"/>
        </w:rPr>
        <w:t>据实选择，可填写“交钥匙方式”“指定地点交货”“自提”任一方式，其他情况请据实填写</w:t>
      </w:r>
      <w:permEnd w:id="11"/>
      <w:r>
        <w:rPr>
          <w:rFonts w:hint="eastAsia" w:ascii="仿宋_GB2312" w:hAnsi="宋体" w:eastAsia="仿宋_GB2312"/>
          <w:b/>
          <w:bCs/>
          <w:sz w:val="24"/>
          <w:szCs w:val="24"/>
          <w:u w:val="single"/>
        </w:rPr>
        <w:t>。</w:t>
      </w:r>
    </w:p>
    <w:p w14:paraId="1397F167">
      <w:pPr>
        <w:spacing w:line="360" w:lineRule="auto"/>
        <w:ind w:firstLine="480" w:firstLineChars="200"/>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1.3交货地点：</w:t>
      </w:r>
      <w:permStart w:id="12" w:edGrp="everyone"/>
      <w:r>
        <w:rPr>
          <w:rFonts w:hint="eastAsia" w:ascii="仿宋_GB2312" w:eastAsia="仿宋_GB2312" w:hAnsiTheme="minorEastAsia" w:cstheme="minorEastAsia"/>
          <w:b/>
          <w:bCs/>
          <w:sz w:val="24"/>
          <w:szCs w:val="24"/>
          <w:u w:val="single"/>
        </w:rPr>
        <w:t>交货详细地址信息，除列明省市县/区外，应填写至不致产生歧义的具体位置指向</w:t>
      </w:r>
      <w:permEnd w:id="12"/>
      <w:r>
        <w:rPr>
          <w:rFonts w:hint="eastAsia" w:ascii="仿宋_GB2312" w:eastAsia="仿宋_GB2312" w:hAnsiTheme="minorEastAsia" w:cstheme="minorEastAsia"/>
          <w:b/>
          <w:bCs/>
          <w:sz w:val="24"/>
          <w:szCs w:val="24"/>
          <w:u w:val="single"/>
        </w:rPr>
        <w:t>。</w:t>
      </w:r>
      <w:r>
        <w:rPr>
          <w:rFonts w:hint="eastAsia" w:ascii="仿宋_GB2312" w:eastAsia="仿宋_GB2312" w:hAnsiTheme="minorEastAsia" w:cstheme="minorEastAsia"/>
          <w:sz w:val="24"/>
          <w:szCs w:val="24"/>
        </w:rPr>
        <w:t xml:space="preserve">    </w:t>
      </w:r>
    </w:p>
    <w:p w14:paraId="4714C28D">
      <w:pPr>
        <w:spacing w:line="360" w:lineRule="auto"/>
        <w:ind w:firstLine="480" w:firstLineChars="200"/>
        <w:rPr>
          <w:rFonts w:ascii="方正小标宋简体" w:hAnsi="宋体" w:eastAsia="仿宋_GB2312"/>
          <w:sz w:val="24"/>
          <w:szCs w:val="24"/>
          <w:u w:val="thick"/>
        </w:rPr>
      </w:pPr>
      <w:r>
        <w:rPr>
          <w:rFonts w:hint="eastAsia" w:ascii="仿宋_GB2312" w:eastAsia="仿宋_GB2312" w:hAnsiTheme="minorEastAsia" w:cstheme="minorEastAsia"/>
          <w:sz w:val="24"/>
          <w:szCs w:val="24"/>
        </w:rPr>
        <w:t>1.4到货时间：</w:t>
      </w:r>
      <w:permStart w:id="13" w:edGrp="everyone"/>
      <w:r>
        <w:rPr>
          <w:rFonts w:hint="eastAsia" w:ascii="仿宋_GB2312" w:eastAsia="仿宋_GB2312" w:hAnsiTheme="minorEastAsia" w:cstheme="minorEastAsia"/>
          <w:b/>
          <w:bCs/>
          <w:sz w:val="24"/>
          <w:szCs w:val="24"/>
          <w:u w:val="single"/>
        </w:rPr>
        <w:t>填写具体年月日。存在分批次到货情形的，填写“详见特殊条款约定”，须于专用条款第4条特殊约定条款特别约定</w:t>
      </w:r>
      <w:permEnd w:id="13"/>
      <w:r>
        <w:rPr>
          <w:rFonts w:hint="eastAsia" w:ascii="仿宋_GB2312" w:eastAsia="仿宋_GB2312" w:hAnsiTheme="minorEastAsia" w:cstheme="minorEastAsia"/>
          <w:b/>
          <w:bCs/>
          <w:sz w:val="24"/>
          <w:szCs w:val="24"/>
          <w:u w:val="single"/>
        </w:rPr>
        <w:t>。</w:t>
      </w:r>
    </w:p>
    <w:p w14:paraId="027875AA">
      <w:pPr>
        <w:pStyle w:val="14"/>
        <w:spacing w:line="360" w:lineRule="auto"/>
        <w:ind w:left="-2" w:leftChars="-1" w:firstLine="424" w:firstLineChars="177"/>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1.5</w:t>
      </w:r>
      <w:r>
        <w:rPr>
          <w:rFonts w:ascii="仿宋_GB2312" w:eastAsia="仿宋_GB2312" w:hAnsiTheme="minorEastAsia" w:cstheme="minorEastAsia"/>
          <w:sz w:val="24"/>
          <w:szCs w:val="24"/>
        </w:rPr>
        <w:t xml:space="preserve"> </w:t>
      </w:r>
      <w:r>
        <w:rPr>
          <w:rFonts w:hint="eastAsia" w:ascii="仿宋_GB2312" w:eastAsia="仿宋_GB2312" w:hAnsiTheme="minorEastAsia" w:cstheme="minorEastAsia"/>
          <w:sz w:val="24"/>
          <w:szCs w:val="24"/>
        </w:rPr>
        <w:t>安装调试时长：</w:t>
      </w:r>
      <w:r>
        <w:rPr>
          <w:rFonts w:ascii="仿宋_GB2312" w:eastAsia="仿宋_GB2312" w:hAnsiTheme="minorEastAsia" w:cstheme="minorEastAsia"/>
          <w:sz w:val="24"/>
          <w:szCs w:val="24"/>
        </w:rPr>
        <w:t>卖方须在到货后</w:t>
      </w:r>
      <w:permStart w:id="14" w:edGrp="everyone"/>
      <w:r>
        <w:rPr>
          <w:rFonts w:hint="eastAsia" w:ascii="仿宋_GB2312" w:eastAsia="仿宋_GB2312" w:hAnsiTheme="minorEastAsia" w:cstheme="minorEastAsia"/>
          <w:b/>
          <w:bCs/>
          <w:sz w:val="24"/>
          <w:szCs w:val="24"/>
          <w:u w:val="single"/>
        </w:rPr>
        <w:t>填写时长，单位“日历日”。存在分批次安装调试情形的，填写“详见特殊条款约定”，须于专用条款第4条特殊约定条款特别约定</w:t>
      </w:r>
      <w:permEnd w:id="14"/>
      <w:r>
        <w:rPr>
          <w:rFonts w:hint="eastAsia" w:ascii="仿宋_GB2312" w:eastAsia="仿宋_GB2312" w:hAnsiTheme="minorEastAsia" w:cstheme="minorEastAsia"/>
          <w:sz w:val="24"/>
          <w:szCs w:val="24"/>
        </w:rPr>
        <w:t>个日历日内完成设备安装，安装完成后</w:t>
      </w:r>
      <w:permStart w:id="15" w:edGrp="everyone"/>
      <w:r>
        <w:rPr>
          <w:rFonts w:hint="eastAsia" w:ascii="仿宋_GB2312" w:eastAsia="仿宋_GB2312" w:hAnsiTheme="minorEastAsia" w:cstheme="minorEastAsia"/>
          <w:b/>
          <w:bCs/>
          <w:sz w:val="24"/>
          <w:szCs w:val="24"/>
          <w:u w:val="single"/>
        </w:rPr>
        <w:t>填写时长，单位“日历日”。存在分批次调试情形的，填写“详见特殊条款约定”，须于专用条款第4条特殊约定条款特别约定</w:t>
      </w:r>
      <w:permEnd w:id="15"/>
      <w:r>
        <w:rPr>
          <w:rFonts w:hint="eastAsia" w:ascii="仿宋_GB2312" w:eastAsia="仿宋_GB2312" w:hAnsiTheme="minorEastAsia" w:cstheme="minorEastAsia"/>
          <w:sz w:val="24"/>
          <w:szCs w:val="24"/>
        </w:rPr>
        <w:t>日历日内完成设备调试。</w:t>
      </w:r>
    </w:p>
    <w:p w14:paraId="6246B773">
      <w:pPr>
        <w:spacing w:line="360" w:lineRule="auto"/>
        <w:ind w:firstLine="480" w:firstLineChars="200"/>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1.6调试消耗产品数量：</w:t>
      </w:r>
      <w:r>
        <w:rPr>
          <w:rFonts w:ascii="仿宋_GB2312" w:eastAsia="仿宋_GB2312" w:hAnsiTheme="minorEastAsia" w:cstheme="minorEastAsia"/>
          <w:sz w:val="24"/>
          <w:szCs w:val="24"/>
        </w:rPr>
        <w:t>若设备安装、调试过程中需使用买方产品的，买方提供调试所用产品数量</w:t>
      </w:r>
      <w:permStart w:id="16" w:edGrp="everyone"/>
      <w:r>
        <w:rPr>
          <w:rFonts w:hint="eastAsia" w:ascii="仿宋_GB2312" w:eastAsia="仿宋_GB2312" w:hAnsiTheme="minorEastAsia" w:cstheme="minorEastAsia"/>
          <w:b/>
          <w:bCs/>
          <w:sz w:val="24"/>
          <w:szCs w:val="24"/>
          <w:u w:val="single"/>
        </w:rPr>
        <w:t>甲方提供调试产品的件数，不需要的，此处填写“0”</w:t>
      </w:r>
      <w:permEnd w:id="16"/>
      <w:r>
        <w:rPr>
          <w:rFonts w:ascii="仿宋_GB2312" w:eastAsia="仿宋_GB2312" w:hAnsiTheme="minorEastAsia" w:cstheme="minorEastAsia"/>
          <w:sz w:val="24"/>
          <w:szCs w:val="24"/>
        </w:rPr>
        <w:t>件，超出此数量部分由卖方提供，由此产生的相关费用由卖方承担。</w:t>
      </w:r>
    </w:p>
    <w:p w14:paraId="4DF89590">
      <w:pPr>
        <w:spacing w:line="360" w:lineRule="auto"/>
        <w:ind w:firstLine="480" w:firstLineChars="200"/>
        <w:rPr>
          <w:rFonts w:ascii="仿宋_GB2312" w:hAnsi="黑体" w:eastAsia="仿宋_GB2312" w:cstheme="minorEastAsia"/>
          <w:sz w:val="24"/>
          <w:szCs w:val="24"/>
        </w:rPr>
      </w:pPr>
      <w:r>
        <w:rPr>
          <w:rFonts w:hint="eastAsia" w:ascii="仿宋_GB2312" w:hAnsi="黑体" w:eastAsia="仿宋_GB2312" w:cstheme="minorEastAsia"/>
          <w:sz w:val="24"/>
          <w:szCs w:val="24"/>
        </w:rPr>
        <w:t>1.7设备质量保证期：自最终验收报告签署之日（存在分批次到货安装调试情形的，以验收报告签署日期最晚者为准）起</w:t>
      </w:r>
      <w:permStart w:id="17" w:edGrp="everyone"/>
      <w:r>
        <w:rPr>
          <w:rFonts w:hint="eastAsia" w:ascii="仿宋_GB2312" w:eastAsia="仿宋_GB2312" w:hAnsiTheme="minorEastAsia" w:cstheme="minorEastAsia"/>
          <w:b/>
          <w:bCs/>
          <w:sz w:val="24"/>
          <w:szCs w:val="24"/>
          <w:u w:val="single"/>
        </w:rPr>
        <w:t>卖方承诺的质保期月数。存在分批次设备质保期约定分批次到期情形的，填写“详见特殊条款约定”，须于专用条款第4条特殊约定条款特别约定</w:t>
      </w:r>
      <w:permEnd w:id="17"/>
      <w:r>
        <w:rPr>
          <w:rFonts w:hint="eastAsia" w:ascii="仿宋_GB2312" w:eastAsia="仿宋_GB2312" w:hAnsiTheme="minorEastAsia" w:cstheme="minorEastAsia"/>
          <w:sz w:val="24"/>
          <w:szCs w:val="24"/>
        </w:rPr>
        <w:t>个月</w:t>
      </w:r>
      <w:r>
        <w:rPr>
          <w:rFonts w:hint="eastAsia" w:ascii="仿宋_GB2312" w:hAnsi="黑体" w:eastAsia="仿宋_GB2312" w:cstheme="minorEastAsia"/>
          <w:sz w:val="24"/>
          <w:szCs w:val="24"/>
        </w:rPr>
        <w:t>。</w:t>
      </w:r>
    </w:p>
    <w:p w14:paraId="548E9D89">
      <w:pPr>
        <w:pStyle w:val="2"/>
        <w:ind w:firstLine="480" w:firstLineChars="200"/>
        <w:jc w:val="both"/>
        <w:rPr>
          <w:rFonts w:ascii="黑体" w:hAnsi="黑体" w:eastAsia="黑体" w:cs="黑体"/>
          <w:b w:val="0"/>
          <w:sz w:val="24"/>
          <w:szCs w:val="24"/>
        </w:rPr>
      </w:pPr>
      <w:bookmarkStart w:id="79" w:name="_Toc240120892"/>
      <w:r>
        <w:rPr>
          <w:rFonts w:hint="eastAsia" w:ascii="黑体" w:hAnsi="黑体" w:eastAsia="黑体" w:cs="黑体"/>
          <w:b w:val="0"/>
          <w:sz w:val="24"/>
          <w:szCs w:val="24"/>
        </w:rPr>
        <w:t>2.结算付款约定</w:t>
      </w:r>
      <w:bookmarkEnd w:id="79"/>
    </w:p>
    <w:p w14:paraId="7E3E8401">
      <w:pPr>
        <w:spacing w:line="360" w:lineRule="auto"/>
        <w:ind w:firstLine="480" w:firstLineChars="200"/>
        <w:rPr>
          <w:rFonts w:ascii="仿宋_GB2312" w:hAnsi="黑体" w:eastAsia="仿宋_GB2312" w:cstheme="minorEastAsia"/>
          <w:b/>
          <w:bCs/>
          <w:sz w:val="24"/>
          <w:szCs w:val="24"/>
          <w:u w:val="single"/>
        </w:rPr>
      </w:pPr>
      <w:r>
        <w:rPr>
          <w:rFonts w:hint="eastAsia" w:ascii="仿宋_GB2312" w:hAnsi="黑体" w:eastAsia="仿宋_GB2312" w:cstheme="minorEastAsia"/>
          <w:sz w:val="24"/>
          <w:szCs w:val="24"/>
        </w:rPr>
        <w:t>2.1结算方式：</w:t>
      </w:r>
      <w:permStart w:id="18" w:edGrp="everyone"/>
      <w:r>
        <w:rPr>
          <w:rFonts w:hint="eastAsia" w:ascii="仿宋_GB2312" w:hAnsi="黑体" w:eastAsia="仿宋_GB2312" w:cstheme="minorEastAsia"/>
          <w:b/>
          <w:bCs/>
          <w:sz w:val="24"/>
          <w:szCs w:val="24"/>
          <w:u w:val="single"/>
        </w:rPr>
        <w:t>填写“</w:t>
      </w:r>
      <w:r>
        <w:rPr>
          <w:rFonts w:hint="eastAsia" w:ascii="仿宋_GB2312" w:hAnsi="宋体" w:eastAsia="仿宋_GB2312"/>
          <w:b/>
          <w:bCs/>
          <w:sz w:val="24"/>
          <w:szCs w:val="24"/>
          <w:u w:val="single"/>
        </w:rPr>
        <w:t>半年期商业汇票（包括银行承兑汇票和商业承兑汇票）</w:t>
      </w:r>
      <w:r>
        <w:rPr>
          <w:rFonts w:hint="eastAsia" w:ascii="仿宋_GB2312" w:hAnsi="黑体" w:eastAsia="仿宋_GB2312" w:cstheme="minorEastAsia"/>
          <w:b/>
          <w:bCs/>
          <w:sz w:val="24"/>
          <w:szCs w:val="24"/>
          <w:u w:val="single"/>
        </w:rPr>
        <w:t>”</w:t>
      </w:r>
      <w:r>
        <w:rPr>
          <w:rFonts w:hint="eastAsia" w:ascii="仿宋_GB2312" w:hAnsi="宋体" w:eastAsia="仿宋_GB2312"/>
          <w:b/>
          <w:bCs/>
          <w:sz w:val="24"/>
          <w:szCs w:val="24"/>
          <w:u w:val="single"/>
        </w:rPr>
        <w:t>“转账”“财司内转”三种方式</w:t>
      </w:r>
      <w:r>
        <w:rPr>
          <w:rFonts w:hint="eastAsia" w:ascii="仿宋_GB2312" w:hAnsi="黑体" w:eastAsia="仿宋_GB2312" w:cstheme="minorEastAsia"/>
          <w:b/>
          <w:bCs/>
          <w:sz w:val="24"/>
          <w:szCs w:val="24"/>
          <w:u w:val="single"/>
        </w:rPr>
        <w:t>任一种</w:t>
      </w:r>
      <w:permEnd w:id="18"/>
      <w:r>
        <w:rPr>
          <w:rFonts w:hint="eastAsia" w:ascii="仿宋_GB2312" w:hAnsi="黑体" w:eastAsia="仿宋_GB2312" w:cstheme="minorEastAsia"/>
          <w:b/>
          <w:bCs/>
          <w:sz w:val="24"/>
          <w:szCs w:val="24"/>
          <w:u w:val="single"/>
        </w:rPr>
        <w:t>。</w:t>
      </w:r>
    </w:p>
    <w:p w14:paraId="3F5B2881">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2.2结算币种：本合同使用</w:t>
      </w:r>
      <w:permStart w:id="19" w:edGrp="everyone"/>
      <w:r>
        <w:rPr>
          <w:rFonts w:hint="eastAsia" w:ascii="仿宋_GB2312" w:hAnsi="仿宋_GB2312" w:eastAsia="仿宋_GB2312" w:cs="仿宋_GB2312"/>
          <w:b/>
          <w:bCs/>
          <w:sz w:val="24"/>
          <w:szCs w:val="24"/>
          <w:u w:val="single"/>
        </w:rPr>
        <w:t>币种</w:t>
      </w:r>
      <w:permEnd w:id="19"/>
      <w:r>
        <w:rPr>
          <w:rFonts w:hint="eastAsia" w:ascii="仿宋_GB2312" w:hAnsi="仿宋_GB2312" w:eastAsia="仿宋_GB2312" w:cs="仿宋_GB2312"/>
          <w:sz w:val="24"/>
          <w:szCs w:val="24"/>
        </w:rPr>
        <w:t>进行结算。</w:t>
      </w:r>
    </w:p>
    <w:p w14:paraId="272DA65F">
      <w:pPr>
        <w:spacing w:line="360" w:lineRule="auto"/>
        <w:ind w:firstLine="480" w:firstLineChars="200"/>
        <w:rPr>
          <w:rFonts w:ascii="仿宋_GB2312" w:hAnsi="黑体" w:eastAsia="仿宋_GB2312" w:cstheme="minorEastAsia"/>
          <w:sz w:val="24"/>
          <w:szCs w:val="24"/>
        </w:rPr>
      </w:pPr>
      <w:r>
        <w:rPr>
          <w:rFonts w:hint="eastAsia" w:ascii="仿宋_GB2312" w:hAnsi="黑体" w:eastAsia="仿宋_GB2312" w:cstheme="minorEastAsia"/>
          <w:sz w:val="24"/>
          <w:szCs w:val="24"/>
        </w:rPr>
        <w:t>2.3合同价款支付：</w:t>
      </w:r>
    </w:p>
    <w:p w14:paraId="1D544542">
      <w:pPr>
        <w:spacing w:line="360" w:lineRule="auto"/>
        <w:ind w:firstLine="480" w:firstLineChars="200"/>
        <w:rPr>
          <w:rFonts w:ascii="仿宋_GB2312" w:hAnsi="黑体" w:eastAsia="仿宋_GB2312" w:cstheme="minorEastAsia"/>
          <w:sz w:val="24"/>
          <w:szCs w:val="24"/>
        </w:rPr>
      </w:pPr>
      <w:r>
        <w:rPr>
          <w:rFonts w:hint="eastAsia" w:ascii="仿宋_GB2312" w:hAnsi="黑体" w:eastAsia="仿宋_GB2312" w:cstheme="minorEastAsia"/>
          <w:sz w:val="24"/>
          <w:szCs w:val="24"/>
        </w:rPr>
        <w:t>2.3.1</w:t>
      </w:r>
      <w:permStart w:id="20" w:edGrp="everyone"/>
      <w:r>
        <w:rPr>
          <w:rFonts w:hint="eastAsia" w:ascii="仿宋_GB2312" w:hAnsi="黑体" w:eastAsia="仿宋_GB2312" w:cstheme="minorEastAsia"/>
          <w:b/>
          <w:bCs/>
          <w:sz w:val="24"/>
          <w:szCs w:val="24"/>
          <w:u w:val="single"/>
        </w:rPr>
        <w:t>填写第一笔付款的满足要件，如“合同生效且设计图完成会签后”。若存在价款支付的发票及财务审核条件与本条格式条款存有变动调整的，须在</w:t>
      </w:r>
      <w:r>
        <w:rPr>
          <w:rFonts w:hint="eastAsia" w:ascii="仿宋_GB2312" w:eastAsia="仿宋_GB2312" w:hAnsiTheme="minorEastAsia" w:cstheme="minorEastAsia"/>
          <w:b/>
          <w:bCs/>
          <w:sz w:val="24"/>
          <w:szCs w:val="24"/>
          <w:u w:val="single"/>
        </w:rPr>
        <w:t>专用条款第4条</w:t>
      </w:r>
      <w:r>
        <w:rPr>
          <w:rFonts w:hint="eastAsia" w:ascii="仿宋_GB2312" w:hAnsi="黑体" w:eastAsia="仿宋_GB2312" w:cstheme="minorEastAsia"/>
          <w:b/>
          <w:bCs/>
          <w:sz w:val="24"/>
          <w:szCs w:val="24"/>
          <w:u w:val="single"/>
        </w:rPr>
        <w:t>特殊约定条款中特别约定</w:t>
      </w:r>
      <w:permEnd w:id="20"/>
      <w:r>
        <w:rPr>
          <w:rFonts w:hint="eastAsia" w:ascii="仿宋_GB2312" w:hAnsi="黑体" w:eastAsia="仿宋_GB2312" w:cstheme="minorEastAsia"/>
          <w:sz w:val="24"/>
          <w:szCs w:val="24"/>
        </w:rPr>
        <w:t xml:space="preserve">, </w:t>
      </w:r>
      <w:r>
        <w:rPr>
          <w:rFonts w:hint="eastAsia" w:ascii="仿宋_GB2312" w:hAnsi="黑体" w:eastAsia="仿宋_GB2312" w:cstheme="minorEastAsia"/>
          <w:sz w:val="24"/>
          <w:szCs w:val="24"/>
          <w:highlight w:val="yellow"/>
        </w:rPr>
        <w:t>买方收到合同相应金额的增值税专用发票及完整报账材料后</w:t>
      </w:r>
      <w:r>
        <w:rPr>
          <w:rFonts w:ascii="仿宋_GB2312" w:hAnsi="黑体" w:eastAsia="仿宋_GB2312" w:cstheme="minorEastAsia"/>
          <w:sz w:val="24"/>
          <w:szCs w:val="24"/>
          <w:highlight w:val="yellow"/>
        </w:rPr>
        <w:t>提交报账流程，财务审核通过</w:t>
      </w:r>
      <w:r>
        <w:rPr>
          <w:rFonts w:hint="eastAsia" w:ascii="仿宋_GB2312" w:hAnsi="黑体" w:eastAsia="仿宋_GB2312" w:cstheme="minorEastAsia"/>
          <w:sz w:val="24"/>
          <w:szCs w:val="24"/>
          <w:highlight w:val="yellow"/>
        </w:rPr>
        <w:t>后</w:t>
      </w:r>
      <w:r>
        <w:rPr>
          <w:rFonts w:hint="eastAsia" w:ascii="仿宋_GB2312" w:hAnsi="黑体" w:eastAsia="仿宋_GB2312" w:cstheme="minorEastAsia"/>
          <w:sz w:val="24"/>
          <w:szCs w:val="24"/>
        </w:rPr>
        <w:t>支付金额为合同含税总价款</w:t>
      </w:r>
      <w:permStart w:id="21" w:edGrp="everyone"/>
      <w:r>
        <w:rPr>
          <w:rFonts w:hint="eastAsia" w:ascii="仿宋_GB2312" w:hAnsi="黑体" w:eastAsia="仿宋_GB2312" w:cstheme="minorEastAsia"/>
          <w:b/>
          <w:bCs/>
          <w:sz w:val="24"/>
          <w:szCs w:val="24"/>
          <w:u w:val="single"/>
        </w:rPr>
        <w:t>第一笔付款的比例，数值</w:t>
      </w:r>
      <w:permEnd w:id="21"/>
      <w:r>
        <w:rPr>
          <w:rFonts w:hint="eastAsia" w:ascii="仿宋_GB2312" w:hAnsi="黑体" w:eastAsia="仿宋_GB2312" w:cstheme="minorEastAsia"/>
          <w:sz w:val="24"/>
          <w:szCs w:val="24"/>
        </w:rPr>
        <w:t>%即</w:t>
      </w:r>
      <w:permStart w:id="22" w:edGrp="everyone"/>
      <w:r>
        <w:rPr>
          <w:rFonts w:hint="eastAsia" w:ascii="仿宋_GB2312" w:hAnsi="黑体" w:eastAsia="仿宋_GB2312" w:cstheme="minorEastAsia"/>
          <w:b/>
          <w:bCs/>
          <w:sz w:val="24"/>
          <w:szCs w:val="24"/>
          <w:u w:val="single"/>
        </w:rPr>
        <w:t>第一笔付款金额</w:t>
      </w:r>
      <w:permEnd w:id="22"/>
      <w:r>
        <w:rPr>
          <w:rFonts w:hint="eastAsia" w:ascii="仿宋_GB2312" w:hAnsi="黑体" w:eastAsia="仿宋_GB2312" w:cstheme="minorEastAsia"/>
          <w:sz w:val="24"/>
          <w:szCs w:val="24"/>
        </w:rPr>
        <w:t>元</w:t>
      </w:r>
      <w:r>
        <w:rPr>
          <w:rFonts w:ascii="仿宋_GB2312" w:hAnsi="黑体" w:eastAsia="仿宋_GB2312" w:cstheme="minorEastAsia"/>
          <w:sz w:val="24"/>
          <w:szCs w:val="24"/>
        </w:rPr>
        <w:t>，付款条件为发票挂账后【SAP付款条件，例：立即到期、30天到期等】</w:t>
      </w:r>
      <w:r>
        <w:rPr>
          <w:rFonts w:hint="eastAsia" w:ascii="仿宋_GB2312" w:hAnsi="黑体" w:eastAsia="仿宋_GB2312" w:cstheme="minorEastAsia"/>
          <w:sz w:val="24"/>
          <w:szCs w:val="24"/>
        </w:rPr>
        <w:t>。</w:t>
      </w:r>
    </w:p>
    <w:p w14:paraId="44F1B80A">
      <w:pPr>
        <w:spacing w:line="360" w:lineRule="auto"/>
        <w:ind w:firstLine="480" w:firstLineChars="200"/>
        <w:rPr>
          <w:rFonts w:ascii="仿宋_GB2312" w:hAnsi="黑体" w:eastAsia="仿宋_GB2312" w:cstheme="minorEastAsia"/>
          <w:sz w:val="24"/>
          <w:szCs w:val="24"/>
        </w:rPr>
      </w:pPr>
      <w:r>
        <w:rPr>
          <w:rFonts w:hint="eastAsia" w:ascii="仿宋_GB2312" w:hAnsi="黑体" w:eastAsia="仿宋_GB2312" w:cstheme="minorEastAsia"/>
          <w:sz w:val="24"/>
          <w:szCs w:val="24"/>
        </w:rPr>
        <w:t>2.3.2</w:t>
      </w:r>
      <w:permStart w:id="23" w:edGrp="everyone"/>
      <w:r>
        <w:rPr>
          <w:rFonts w:hint="eastAsia" w:ascii="仿宋_GB2312" w:hAnsi="黑体" w:eastAsia="仿宋_GB2312" w:cstheme="minorEastAsia"/>
          <w:b/>
          <w:bCs/>
          <w:sz w:val="24"/>
          <w:szCs w:val="24"/>
          <w:u w:val="single"/>
        </w:rPr>
        <w:t>填写第二笔付款的满足要件，如“设备全部到齐无质量问题”。若存在价款支付的发票及财务审核条件与本条格式条款存有变动调整的，须在</w:t>
      </w:r>
      <w:r>
        <w:rPr>
          <w:rFonts w:hint="eastAsia" w:ascii="仿宋_GB2312" w:eastAsia="仿宋_GB2312" w:hAnsiTheme="minorEastAsia" w:cstheme="minorEastAsia"/>
          <w:b/>
          <w:bCs/>
          <w:sz w:val="24"/>
          <w:szCs w:val="24"/>
          <w:u w:val="single"/>
        </w:rPr>
        <w:t>专用条款第4条</w:t>
      </w:r>
      <w:r>
        <w:rPr>
          <w:rFonts w:hint="eastAsia" w:ascii="仿宋_GB2312" w:hAnsi="黑体" w:eastAsia="仿宋_GB2312" w:cstheme="minorEastAsia"/>
          <w:b/>
          <w:bCs/>
          <w:sz w:val="24"/>
          <w:szCs w:val="24"/>
          <w:u w:val="single"/>
        </w:rPr>
        <w:t>特殊约定条款中特别约定</w:t>
      </w:r>
      <w:permEnd w:id="23"/>
      <w:r>
        <w:rPr>
          <w:rFonts w:hint="eastAsia" w:ascii="仿宋_GB2312" w:hAnsi="黑体" w:eastAsia="仿宋_GB2312" w:cstheme="minorEastAsia"/>
          <w:sz w:val="24"/>
          <w:szCs w:val="24"/>
        </w:rPr>
        <w:t>，</w:t>
      </w:r>
      <w:r>
        <w:rPr>
          <w:rFonts w:hint="eastAsia" w:ascii="仿宋_GB2312" w:hAnsi="黑体" w:eastAsia="仿宋_GB2312" w:cstheme="minorEastAsia"/>
          <w:sz w:val="24"/>
          <w:szCs w:val="24"/>
          <w:highlight w:val="yellow"/>
        </w:rPr>
        <w:t>买方收到合同相应金额的增值税专用发票及完整报账材料后</w:t>
      </w:r>
      <w:r>
        <w:rPr>
          <w:rFonts w:ascii="仿宋_GB2312" w:hAnsi="黑体" w:eastAsia="仿宋_GB2312" w:cstheme="minorEastAsia"/>
          <w:sz w:val="24"/>
          <w:szCs w:val="24"/>
          <w:highlight w:val="yellow"/>
        </w:rPr>
        <w:t>提交报账流程，财务审核通过</w:t>
      </w:r>
      <w:r>
        <w:rPr>
          <w:rFonts w:hint="eastAsia" w:ascii="仿宋_GB2312" w:hAnsi="黑体" w:eastAsia="仿宋_GB2312" w:cstheme="minorEastAsia"/>
          <w:sz w:val="24"/>
          <w:szCs w:val="24"/>
          <w:highlight w:val="yellow"/>
        </w:rPr>
        <w:t>后</w:t>
      </w:r>
      <w:r>
        <w:rPr>
          <w:rFonts w:hint="eastAsia" w:ascii="仿宋_GB2312" w:hAnsi="黑体" w:eastAsia="仿宋_GB2312" w:cstheme="minorEastAsia"/>
          <w:sz w:val="24"/>
          <w:szCs w:val="24"/>
        </w:rPr>
        <w:t>支付金额为合同含税总价款</w:t>
      </w:r>
      <w:permStart w:id="24" w:edGrp="everyone"/>
      <w:r>
        <w:rPr>
          <w:rFonts w:hint="eastAsia" w:ascii="仿宋_GB2312" w:hAnsi="黑体" w:eastAsia="仿宋_GB2312" w:cstheme="minorEastAsia"/>
          <w:b/>
          <w:bCs/>
          <w:sz w:val="24"/>
          <w:szCs w:val="24"/>
          <w:u w:val="single"/>
        </w:rPr>
        <w:t>第二笔付款的比例，数值</w:t>
      </w:r>
      <w:permEnd w:id="24"/>
      <w:r>
        <w:rPr>
          <w:rFonts w:hint="eastAsia" w:ascii="仿宋_GB2312" w:hAnsi="黑体" w:eastAsia="仿宋_GB2312" w:cstheme="minorEastAsia"/>
          <w:sz w:val="24"/>
          <w:szCs w:val="24"/>
        </w:rPr>
        <w:t>%即</w:t>
      </w:r>
      <w:permStart w:id="25" w:edGrp="everyone"/>
      <w:r>
        <w:rPr>
          <w:rFonts w:hint="eastAsia" w:ascii="仿宋_GB2312" w:hAnsi="黑体" w:eastAsia="仿宋_GB2312" w:cstheme="minorEastAsia"/>
          <w:b/>
          <w:bCs/>
          <w:sz w:val="24"/>
          <w:szCs w:val="24"/>
          <w:u w:val="single"/>
        </w:rPr>
        <w:t>第二笔付款金额</w:t>
      </w:r>
      <w:permEnd w:id="25"/>
      <w:r>
        <w:rPr>
          <w:rFonts w:hint="eastAsia" w:ascii="仿宋_GB2312" w:hAnsi="黑体" w:eastAsia="仿宋_GB2312" w:cstheme="minorEastAsia"/>
          <w:sz w:val="24"/>
          <w:szCs w:val="24"/>
        </w:rPr>
        <w:t>元</w:t>
      </w:r>
      <w:r>
        <w:rPr>
          <w:rFonts w:ascii="仿宋_GB2312" w:hAnsi="黑体" w:eastAsia="仿宋_GB2312" w:cstheme="minorEastAsia"/>
          <w:sz w:val="24"/>
          <w:szCs w:val="24"/>
        </w:rPr>
        <w:t>，付款条件为发票挂账后【SAP付款条件，例：立即到期、30天到期等】</w:t>
      </w:r>
      <w:r>
        <w:rPr>
          <w:rFonts w:hint="eastAsia" w:ascii="仿宋_GB2312" w:hAnsi="黑体" w:eastAsia="仿宋_GB2312" w:cstheme="minorEastAsia"/>
          <w:sz w:val="24"/>
          <w:szCs w:val="24"/>
        </w:rPr>
        <w:t>。</w:t>
      </w:r>
    </w:p>
    <w:p w14:paraId="082E20EB">
      <w:pPr>
        <w:spacing w:line="360" w:lineRule="auto"/>
        <w:ind w:firstLine="480" w:firstLineChars="200"/>
        <w:rPr>
          <w:rFonts w:ascii="仿宋_GB2312" w:hAnsi="黑体" w:eastAsia="仿宋_GB2312" w:cstheme="minorEastAsia"/>
          <w:sz w:val="24"/>
          <w:szCs w:val="24"/>
        </w:rPr>
      </w:pPr>
      <w:r>
        <w:rPr>
          <w:rFonts w:hint="eastAsia" w:ascii="仿宋_GB2312" w:hAnsi="黑体" w:eastAsia="仿宋_GB2312" w:cstheme="minorEastAsia"/>
          <w:sz w:val="24"/>
          <w:szCs w:val="24"/>
        </w:rPr>
        <w:t>2.3.3</w:t>
      </w:r>
      <w:permStart w:id="26" w:edGrp="everyone"/>
      <w:r>
        <w:rPr>
          <w:rFonts w:hint="eastAsia" w:ascii="仿宋_GB2312" w:hAnsi="黑体" w:eastAsia="仿宋_GB2312" w:cstheme="minorEastAsia"/>
          <w:b/>
          <w:bCs/>
          <w:sz w:val="24"/>
          <w:szCs w:val="24"/>
          <w:u w:val="single"/>
        </w:rPr>
        <w:t>填写第三笔付款的满足要件，如“设备全部到齐无质量问题，经安装、调试最终验收合格后”。若存在价款支付的发票及财务审核条件与本条格式条款存有变动调整的，须在</w:t>
      </w:r>
      <w:r>
        <w:rPr>
          <w:rFonts w:hint="eastAsia" w:ascii="仿宋_GB2312" w:eastAsia="仿宋_GB2312" w:hAnsiTheme="minorEastAsia" w:cstheme="minorEastAsia"/>
          <w:b/>
          <w:bCs/>
          <w:sz w:val="24"/>
          <w:szCs w:val="24"/>
          <w:u w:val="single"/>
        </w:rPr>
        <w:t>专用条款第4条</w:t>
      </w:r>
      <w:r>
        <w:rPr>
          <w:rFonts w:hint="eastAsia" w:ascii="仿宋_GB2312" w:hAnsi="黑体" w:eastAsia="仿宋_GB2312" w:cstheme="minorEastAsia"/>
          <w:b/>
          <w:bCs/>
          <w:sz w:val="24"/>
          <w:szCs w:val="24"/>
          <w:u w:val="single"/>
        </w:rPr>
        <w:t>特殊约定条款中特别约定</w:t>
      </w:r>
      <w:permEnd w:id="26"/>
      <w:r>
        <w:rPr>
          <w:rFonts w:hint="eastAsia" w:ascii="仿宋_GB2312" w:hAnsi="黑体" w:eastAsia="仿宋_GB2312" w:cstheme="minorEastAsia"/>
          <w:sz w:val="24"/>
          <w:szCs w:val="24"/>
        </w:rPr>
        <w:t>，</w:t>
      </w:r>
      <w:r>
        <w:rPr>
          <w:rFonts w:hint="eastAsia" w:ascii="仿宋_GB2312" w:hAnsi="黑体" w:eastAsia="仿宋_GB2312" w:cstheme="minorEastAsia"/>
          <w:sz w:val="24"/>
          <w:szCs w:val="24"/>
          <w:highlight w:val="yellow"/>
        </w:rPr>
        <w:t>买方收到合同全额增值税专用发票及完整报账材料后</w:t>
      </w:r>
      <w:r>
        <w:rPr>
          <w:rFonts w:ascii="仿宋_GB2312" w:hAnsi="黑体" w:eastAsia="仿宋_GB2312" w:cstheme="minorEastAsia"/>
          <w:sz w:val="24"/>
          <w:szCs w:val="24"/>
          <w:highlight w:val="yellow"/>
        </w:rPr>
        <w:t>提交报账流程，财务审核通过</w:t>
      </w:r>
      <w:r>
        <w:rPr>
          <w:rFonts w:hint="eastAsia" w:ascii="仿宋_GB2312" w:hAnsi="黑体" w:eastAsia="仿宋_GB2312" w:cstheme="minorEastAsia"/>
          <w:sz w:val="24"/>
          <w:szCs w:val="24"/>
          <w:highlight w:val="yellow"/>
        </w:rPr>
        <w:t>后</w:t>
      </w:r>
      <w:r>
        <w:rPr>
          <w:rFonts w:hint="eastAsia" w:ascii="仿宋_GB2312" w:hAnsi="黑体" w:eastAsia="仿宋_GB2312" w:cstheme="minorEastAsia"/>
          <w:sz w:val="24"/>
          <w:szCs w:val="24"/>
        </w:rPr>
        <w:t>支付金额为合同含税总价款</w:t>
      </w:r>
      <w:permStart w:id="27" w:edGrp="everyone"/>
      <w:r>
        <w:rPr>
          <w:rFonts w:hint="eastAsia" w:ascii="仿宋_GB2312" w:hAnsi="黑体" w:eastAsia="仿宋_GB2312" w:cstheme="minorEastAsia"/>
          <w:b/>
          <w:bCs/>
          <w:sz w:val="24"/>
          <w:szCs w:val="24"/>
          <w:u w:val="single"/>
        </w:rPr>
        <w:t>第三笔付款的比例，数值</w:t>
      </w:r>
      <w:permEnd w:id="27"/>
      <w:r>
        <w:rPr>
          <w:rFonts w:hint="eastAsia" w:ascii="仿宋_GB2312" w:hAnsi="黑体" w:eastAsia="仿宋_GB2312" w:cstheme="minorEastAsia"/>
          <w:sz w:val="24"/>
          <w:szCs w:val="24"/>
        </w:rPr>
        <w:t>%即</w:t>
      </w:r>
      <w:permStart w:id="28" w:edGrp="everyone"/>
      <w:r>
        <w:rPr>
          <w:rFonts w:hint="eastAsia" w:ascii="仿宋_GB2312" w:hAnsi="黑体" w:eastAsia="仿宋_GB2312" w:cstheme="minorEastAsia"/>
          <w:b/>
          <w:bCs/>
          <w:sz w:val="24"/>
          <w:szCs w:val="24"/>
          <w:u w:val="single"/>
        </w:rPr>
        <w:t>第三笔付款金额</w:t>
      </w:r>
      <w:permEnd w:id="28"/>
      <w:r>
        <w:rPr>
          <w:rFonts w:hint="eastAsia" w:ascii="仿宋_GB2312" w:hAnsi="黑体" w:eastAsia="仿宋_GB2312" w:cstheme="minorEastAsia"/>
          <w:sz w:val="24"/>
          <w:szCs w:val="24"/>
        </w:rPr>
        <w:t>元</w:t>
      </w:r>
      <w:r>
        <w:rPr>
          <w:rFonts w:ascii="仿宋_GB2312" w:hAnsi="黑体" w:eastAsia="仿宋_GB2312" w:cstheme="minorEastAsia"/>
          <w:sz w:val="24"/>
          <w:szCs w:val="24"/>
        </w:rPr>
        <w:t>，付款条件为发票挂账后【SAP付款条件，例：立即到期、30天到期等】</w:t>
      </w:r>
      <w:r>
        <w:rPr>
          <w:rFonts w:hint="eastAsia" w:ascii="仿宋_GB2312" w:hAnsi="黑体" w:eastAsia="仿宋_GB2312" w:cstheme="minorEastAsia"/>
          <w:sz w:val="24"/>
          <w:szCs w:val="24"/>
        </w:rPr>
        <w:t>。</w:t>
      </w:r>
    </w:p>
    <w:p w14:paraId="6CB17D35">
      <w:pPr>
        <w:spacing w:line="360" w:lineRule="auto"/>
        <w:ind w:firstLine="480" w:firstLineChars="200"/>
        <w:rPr>
          <w:rFonts w:ascii="仿宋_GB2312" w:hAnsi="黑体" w:eastAsia="仿宋_GB2312" w:cstheme="minorEastAsia"/>
          <w:sz w:val="24"/>
          <w:szCs w:val="24"/>
        </w:rPr>
      </w:pPr>
      <w:r>
        <w:rPr>
          <w:rFonts w:hint="eastAsia" w:ascii="仿宋_GB2312" w:hAnsi="黑体" w:eastAsia="仿宋_GB2312" w:cstheme="minorEastAsia"/>
          <w:sz w:val="24"/>
          <w:szCs w:val="24"/>
        </w:rPr>
        <w:t>2.3.4合同含税总价款的</w:t>
      </w:r>
      <w:permStart w:id="29" w:edGrp="everyone"/>
      <w:r>
        <w:rPr>
          <w:rFonts w:hint="eastAsia" w:ascii="仿宋_GB2312" w:hAnsi="黑体" w:eastAsia="仿宋_GB2312" w:cstheme="minorEastAsia"/>
          <w:b/>
          <w:bCs/>
          <w:sz w:val="24"/>
          <w:szCs w:val="24"/>
          <w:u w:val="single"/>
        </w:rPr>
        <w:t>第四笔付款的比例，数值</w:t>
      </w:r>
      <w:permEnd w:id="29"/>
      <w:r>
        <w:rPr>
          <w:rFonts w:hint="eastAsia" w:ascii="仿宋_GB2312" w:hAnsi="黑体" w:eastAsia="仿宋_GB2312" w:cstheme="minorEastAsia"/>
          <w:sz w:val="24"/>
          <w:szCs w:val="24"/>
        </w:rPr>
        <w:t>%即</w:t>
      </w:r>
      <w:permStart w:id="30" w:edGrp="everyone"/>
      <w:r>
        <w:rPr>
          <w:rFonts w:hint="eastAsia" w:ascii="仿宋_GB2312" w:hAnsi="黑体" w:eastAsia="仿宋_GB2312" w:cstheme="minorEastAsia"/>
          <w:b/>
          <w:bCs/>
          <w:sz w:val="24"/>
          <w:szCs w:val="24"/>
          <w:u w:val="single"/>
        </w:rPr>
        <w:t>第四笔付款金额</w:t>
      </w:r>
      <w:permEnd w:id="30"/>
      <w:r>
        <w:rPr>
          <w:rFonts w:hint="eastAsia" w:ascii="仿宋_GB2312" w:hAnsi="黑体" w:eastAsia="仿宋_GB2312" w:cstheme="minorEastAsia"/>
          <w:sz w:val="24"/>
          <w:szCs w:val="24"/>
        </w:rPr>
        <w:t>元作为本合同约定设备的质量保证金，质量保证金在质量保证期内不计利息。待合同设备验收合格后【按月数填写支付质量保证金的时长】个月，卖方向买方提交质量保证金的收款凭证及设备使用单位的使用情况说明，经买方财务审核无误后支付，</w:t>
      </w:r>
      <w:r>
        <w:rPr>
          <w:rFonts w:ascii="仿宋_GB2312" w:hAnsi="黑体" w:eastAsia="仿宋_GB2312" w:cstheme="minorEastAsia"/>
          <w:sz w:val="24"/>
          <w:szCs w:val="24"/>
        </w:rPr>
        <w:t>付款条件为发票挂账后【SAP付款条件，例：立即到期、30天到期等】</w:t>
      </w:r>
      <w:r>
        <w:rPr>
          <w:rFonts w:hint="eastAsia" w:ascii="仿宋_GB2312" w:hAnsi="黑体" w:eastAsia="仿宋_GB2312" w:cstheme="minorEastAsia"/>
          <w:sz w:val="24"/>
          <w:szCs w:val="24"/>
        </w:rPr>
        <w:t>。如有质量问题，质量保证金予以相应扣除。</w:t>
      </w:r>
    </w:p>
    <w:p w14:paraId="701D500A">
      <w:pPr>
        <w:spacing w:line="360" w:lineRule="auto"/>
        <w:ind w:firstLine="432" w:firstLineChars="200"/>
        <w:rPr>
          <w:rFonts w:ascii="仿宋_GB2312" w:hAnsi="仿宋_GB2312" w:eastAsia="仿宋_GB2312" w:cs="仿宋_GB2312"/>
          <w:w w:val="90"/>
          <w:sz w:val="24"/>
          <w:szCs w:val="24"/>
        </w:rPr>
      </w:pPr>
      <w:r>
        <w:rPr>
          <w:rFonts w:hint="eastAsia" w:ascii="仿宋_GB2312" w:hAnsi="仿宋_GB2312" w:eastAsia="仿宋_GB2312" w:cs="仿宋_GB2312"/>
          <w:w w:val="90"/>
          <w:sz w:val="24"/>
          <w:szCs w:val="24"/>
        </w:rPr>
        <w:t>2.4甲乙双方基本信息</w:t>
      </w:r>
    </w:p>
    <w:tbl>
      <w:tblPr>
        <w:tblStyle w:val="4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1"/>
        <w:gridCol w:w="3905"/>
        <w:gridCol w:w="3691"/>
      </w:tblGrid>
      <w:tr w14:paraId="4DC1B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90" w:type="dxa"/>
            <w:vAlign w:val="bottom"/>
          </w:tcPr>
          <w:p w14:paraId="2F947E27">
            <w:pPr>
              <w:spacing w:line="360" w:lineRule="auto"/>
              <w:jc w:val="center"/>
              <w:rPr>
                <w:rFonts w:ascii="仿宋_GB2312" w:hAnsi="仿宋_GB2312" w:eastAsia="仿宋_GB2312" w:cs="仿宋_GB2312"/>
                <w:w w:val="90"/>
                <w:sz w:val="24"/>
                <w:szCs w:val="24"/>
              </w:rPr>
            </w:pPr>
            <w:r>
              <w:rPr>
                <w:rFonts w:hint="eastAsia" w:ascii="仿宋_GB2312" w:hAnsi="仿宋_GB2312" w:eastAsia="仿宋_GB2312" w:cs="仿宋_GB2312"/>
                <w:w w:val="90"/>
                <w:sz w:val="24"/>
                <w:szCs w:val="24"/>
              </w:rPr>
              <w:t>信息名目</w:t>
            </w:r>
          </w:p>
        </w:tc>
        <w:tc>
          <w:tcPr>
            <w:tcW w:w="3905" w:type="dxa"/>
            <w:vAlign w:val="bottom"/>
          </w:tcPr>
          <w:p w14:paraId="6EB87502">
            <w:pPr>
              <w:spacing w:line="360" w:lineRule="auto"/>
              <w:jc w:val="center"/>
              <w:rPr>
                <w:rFonts w:ascii="仿宋_GB2312" w:hAnsi="仿宋_GB2312" w:eastAsia="仿宋_GB2312" w:cs="仿宋_GB2312"/>
                <w:w w:val="90"/>
                <w:sz w:val="24"/>
                <w:szCs w:val="24"/>
              </w:rPr>
            </w:pPr>
            <w:r>
              <w:rPr>
                <w:rFonts w:hint="eastAsia" w:ascii="仿宋_GB2312" w:hAnsi="仿宋_GB2312" w:eastAsia="仿宋_GB2312" w:cs="仿宋_GB2312"/>
                <w:w w:val="90"/>
                <w:sz w:val="24"/>
                <w:szCs w:val="24"/>
              </w:rPr>
              <w:t>甲方基本信息</w:t>
            </w:r>
          </w:p>
        </w:tc>
        <w:tc>
          <w:tcPr>
            <w:tcW w:w="3691" w:type="dxa"/>
            <w:vAlign w:val="bottom"/>
          </w:tcPr>
          <w:p w14:paraId="356DBB93">
            <w:pPr>
              <w:spacing w:line="360" w:lineRule="auto"/>
              <w:jc w:val="center"/>
              <w:rPr>
                <w:rFonts w:ascii="仿宋_GB2312" w:hAnsi="仿宋_GB2312" w:eastAsia="仿宋_GB2312" w:cs="仿宋_GB2312"/>
                <w:w w:val="90"/>
                <w:sz w:val="24"/>
                <w:szCs w:val="24"/>
              </w:rPr>
            </w:pPr>
            <w:r>
              <w:rPr>
                <w:rFonts w:hint="eastAsia" w:ascii="仿宋_GB2312" w:hAnsi="仿宋_GB2312" w:eastAsia="仿宋_GB2312" w:cs="仿宋_GB2312"/>
                <w:w w:val="90"/>
                <w:sz w:val="24"/>
                <w:szCs w:val="24"/>
              </w:rPr>
              <w:t>乙方基本信息</w:t>
            </w:r>
          </w:p>
        </w:tc>
      </w:tr>
      <w:tr w14:paraId="20660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90" w:type="dxa"/>
            <w:vAlign w:val="bottom"/>
          </w:tcPr>
          <w:p w14:paraId="1B485B46">
            <w:pPr>
              <w:spacing w:line="360" w:lineRule="auto"/>
              <w:jc w:val="center"/>
              <w:rPr>
                <w:rFonts w:ascii="仿宋_GB2312" w:hAnsi="仿宋_GB2312" w:eastAsia="仿宋_GB2312" w:cs="仿宋_GB2312"/>
                <w:w w:val="90"/>
                <w:sz w:val="24"/>
                <w:szCs w:val="24"/>
              </w:rPr>
            </w:pPr>
            <w:r>
              <w:rPr>
                <w:rFonts w:hint="eastAsia" w:ascii="仿宋_GB2312" w:hAnsi="仿宋_GB2312" w:eastAsia="仿宋_GB2312" w:cs="仿宋_GB2312"/>
                <w:w w:val="90"/>
                <w:sz w:val="24"/>
                <w:szCs w:val="24"/>
              </w:rPr>
              <w:t>企业名称</w:t>
            </w:r>
          </w:p>
        </w:tc>
        <w:tc>
          <w:tcPr>
            <w:tcW w:w="3905" w:type="dxa"/>
            <w:vAlign w:val="bottom"/>
          </w:tcPr>
          <w:p w14:paraId="41E2435A">
            <w:pPr>
              <w:spacing w:line="360" w:lineRule="auto"/>
              <w:jc w:val="center"/>
              <w:rPr>
                <w:rFonts w:ascii="仿宋_GB2312" w:hAnsi="仿宋_GB2312" w:eastAsia="仿宋_GB2312" w:cs="仿宋_GB2312"/>
                <w:w w:val="90"/>
                <w:sz w:val="24"/>
                <w:szCs w:val="24"/>
              </w:rPr>
            </w:pPr>
            <w:permStart w:id="31" w:edGrp="everyone"/>
            <w:r>
              <w:rPr>
                <w:rFonts w:hint="eastAsia" w:ascii="仿宋_GB2312" w:hAnsi="仿宋_GB2312" w:eastAsia="仿宋_GB2312" w:cs="仿宋_GB2312"/>
                <w:b/>
                <w:bCs/>
                <w:w w:val="90"/>
                <w:sz w:val="24"/>
                <w:szCs w:val="24"/>
                <w:u w:val="single"/>
              </w:rPr>
              <w:t>甲方单位全称</w:t>
            </w:r>
            <w:permEnd w:id="31"/>
          </w:p>
        </w:tc>
        <w:tc>
          <w:tcPr>
            <w:tcW w:w="3691" w:type="dxa"/>
            <w:vAlign w:val="bottom"/>
          </w:tcPr>
          <w:p w14:paraId="203EB302">
            <w:pPr>
              <w:spacing w:line="360" w:lineRule="auto"/>
              <w:jc w:val="center"/>
              <w:rPr>
                <w:rFonts w:ascii="仿宋_GB2312" w:hAnsi="仿宋_GB2312" w:eastAsia="仿宋_GB2312" w:cs="仿宋_GB2312"/>
                <w:w w:val="90"/>
                <w:sz w:val="24"/>
                <w:szCs w:val="24"/>
              </w:rPr>
            </w:pPr>
            <w:permStart w:id="32" w:edGrp="everyone"/>
            <w:r>
              <w:rPr>
                <w:rFonts w:hint="eastAsia" w:ascii="仿宋_GB2312" w:hAnsi="仿宋_GB2312" w:eastAsia="仿宋_GB2312" w:cs="仿宋_GB2312"/>
                <w:b/>
                <w:bCs/>
                <w:w w:val="90"/>
                <w:sz w:val="24"/>
                <w:szCs w:val="24"/>
                <w:u w:val="single"/>
              </w:rPr>
              <w:t>乙方单位全称</w:t>
            </w:r>
            <w:permEnd w:id="32"/>
          </w:p>
        </w:tc>
      </w:tr>
      <w:tr w14:paraId="201A4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90" w:type="dxa"/>
            <w:vAlign w:val="bottom"/>
          </w:tcPr>
          <w:p w14:paraId="05742476">
            <w:pPr>
              <w:spacing w:line="360" w:lineRule="auto"/>
              <w:jc w:val="center"/>
              <w:rPr>
                <w:rFonts w:ascii="仿宋_GB2312" w:hAnsi="仿宋_GB2312" w:eastAsia="仿宋_GB2312" w:cs="仿宋_GB2312"/>
                <w:w w:val="90"/>
                <w:sz w:val="24"/>
                <w:szCs w:val="24"/>
              </w:rPr>
            </w:pPr>
            <w:r>
              <w:rPr>
                <w:rFonts w:hint="eastAsia" w:ascii="仿宋_GB2312" w:hAnsi="仿宋_GB2312" w:eastAsia="仿宋_GB2312" w:cs="仿宋_GB2312"/>
                <w:w w:val="90"/>
                <w:sz w:val="24"/>
                <w:szCs w:val="24"/>
              </w:rPr>
              <w:t>注册地址</w:t>
            </w:r>
          </w:p>
        </w:tc>
        <w:tc>
          <w:tcPr>
            <w:tcW w:w="3905" w:type="dxa"/>
            <w:vAlign w:val="bottom"/>
          </w:tcPr>
          <w:p w14:paraId="53A78614">
            <w:pPr>
              <w:spacing w:line="360" w:lineRule="auto"/>
              <w:jc w:val="center"/>
              <w:rPr>
                <w:rFonts w:ascii="仿宋_GB2312" w:hAnsi="仿宋_GB2312" w:eastAsia="仿宋_GB2312" w:cs="仿宋_GB2312"/>
                <w:w w:val="90"/>
                <w:sz w:val="24"/>
                <w:szCs w:val="24"/>
              </w:rPr>
            </w:pPr>
            <w:permStart w:id="33" w:edGrp="everyone"/>
            <w:r>
              <w:rPr>
                <w:rFonts w:hint="eastAsia" w:ascii="仿宋_GB2312" w:hAnsi="仿宋_GB2312" w:eastAsia="仿宋_GB2312" w:cs="仿宋_GB2312"/>
                <w:b/>
                <w:bCs/>
                <w:w w:val="90"/>
                <w:sz w:val="24"/>
                <w:szCs w:val="24"/>
                <w:u w:val="single"/>
              </w:rPr>
              <w:t>甲方注册地址，营业执照住所地</w:t>
            </w:r>
            <w:permEnd w:id="33"/>
          </w:p>
        </w:tc>
        <w:tc>
          <w:tcPr>
            <w:tcW w:w="3691" w:type="dxa"/>
            <w:vAlign w:val="bottom"/>
          </w:tcPr>
          <w:p w14:paraId="5CCF847B">
            <w:pPr>
              <w:spacing w:line="360" w:lineRule="auto"/>
              <w:jc w:val="center"/>
              <w:rPr>
                <w:rFonts w:ascii="仿宋_GB2312" w:hAnsi="仿宋_GB2312" w:eastAsia="仿宋_GB2312" w:cs="仿宋_GB2312"/>
                <w:w w:val="90"/>
                <w:sz w:val="24"/>
                <w:szCs w:val="24"/>
              </w:rPr>
            </w:pPr>
            <w:permStart w:id="34" w:edGrp="everyone"/>
            <w:r>
              <w:rPr>
                <w:rFonts w:hint="eastAsia" w:ascii="仿宋_GB2312" w:hAnsi="仿宋_GB2312" w:eastAsia="仿宋_GB2312" w:cs="仿宋_GB2312"/>
                <w:b/>
                <w:bCs/>
                <w:w w:val="90"/>
                <w:sz w:val="24"/>
                <w:szCs w:val="24"/>
                <w:u w:val="single"/>
              </w:rPr>
              <w:t>乙方注册地址，营业执照住所地</w:t>
            </w:r>
            <w:permEnd w:id="34"/>
          </w:p>
        </w:tc>
      </w:tr>
      <w:tr w14:paraId="7A12B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90" w:type="dxa"/>
            <w:vAlign w:val="bottom"/>
          </w:tcPr>
          <w:p w14:paraId="2C0915E7">
            <w:pPr>
              <w:spacing w:line="360" w:lineRule="auto"/>
              <w:jc w:val="center"/>
              <w:rPr>
                <w:rFonts w:ascii="仿宋_GB2312" w:hAnsi="仿宋_GB2312" w:eastAsia="仿宋_GB2312" w:cs="仿宋_GB2312"/>
                <w:w w:val="90"/>
                <w:sz w:val="24"/>
                <w:szCs w:val="24"/>
              </w:rPr>
            </w:pPr>
            <w:r>
              <w:rPr>
                <w:rFonts w:hint="eastAsia" w:ascii="仿宋_GB2312" w:hAnsi="仿宋_GB2312" w:eastAsia="仿宋_GB2312" w:cs="仿宋_GB2312"/>
                <w:w w:val="90"/>
                <w:sz w:val="24"/>
                <w:szCs w:val="24"/>
              </w:rPr>
              <w:t>通讯地址</w:t>
            </w:r>
          </w:p>
        </w:tc>
        <w:tc>
          <w:tcPr>
            <w:tcW w:w="3905" w:type="dxa"/>
            <w:vAlign w:val="bottom"/>
          </w:tcPr>
          <w:p w14:paraId="739A0007">
            <w:pPr>
              <w:spacing w:line="360" w:lineRule="auto"/>
              <w:jc w:val="center"/>
              <w:rPr>
                <w:rFonts w:ascii="仿宋_GB2312" w:hAnsi="仿宋_GB2312" w:eastAsia="仿宋_GB2312" w:cs="仿宋_GB2312"/>
                <w:w w:val="90"/>
                <w:sz w:val="24"/>
                <w:szCs w:val="24"/>
              </w:rPr>
            </w:pPr>
            <w:permStart w:id="35" w:edGrp="everyone"/>
            <w:r>
              <w:rPr>
                <w:rFonts w:hint="eastAsia" w:ascii="仿宋_GB2312" w:hAnsi="仿宋_GB2312" w:eastAsia="仿宋_GB2312" w:cs="仿宋_GB2312"/>
                <w:b/>
                <w:bCs/>
                <w:w w:val="90"/>
                <w:sz w:val="24"/>
                <w:szCs w:val="24"/>
                <w:u w:val="single"/>
              </w:rPr>
              <w:t>甲方通讯地址，实际联系地址</w:t>
            </w:r>
            <w:permEnd w:id="35"/>
          </w:p>
        </w:tc>
        <w:tc>
          <w:tcPr>
            <w:tcW w:w="3691" w:type="dxa"/>
            <w:vAlign w:val="bottom"/>
          </w:tcPr>
          <w:p w14:paraId="760006D3">
            <w:pPr>
              <w:spacing w:line="360" w:lineRule="auto"/>
              <w:jc w:val="center"/>
              <w:rPr>
                <w:rFonts w:ascii="仿宋_GB2312" w:hAnsi="仿宋_GB2312" w:eastAsia="仿宋_GB2312" w:cs="仿宋_GB2312"/>
                <w:w w:val="90"/>
                <w:sz w:val="24"/>
                <w:szCs w:val="24"/>
              </w:rPr>
            </w:pPr>
            <w:permStart w:id="36" w:edGrp="everyone"/>
            <w:r>
              <w:rPr>
                <w:rFonts w:hint="eastAsia" w:ascii="仿宋_GB2312" w:hAnsi="仿宋_GB2312" w:eastAsia="仿宋_GB2312" w:cs="仿宋_GB2312"/>
                <w:b/>
                <w:bCs/>
                <w:w w:val="90"/>
                <w:sz w:val="24"/>
                <w:szCs w:val="24"/>
                <w:u w:val="single"/>
              </w:rPr>
              <w:t>乙方通讯地址，实际联系地址</w:t>
            </w:r>
            <w:permEnd w:id="36"/>
          </w:p>
        </w:tc>
      </w:tr>
      <w:tr w14:paraId="679A1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90" w:type="dxa"/>
            <w:vAlign w:val="bottom"/>
          </w:tcPr>
          <w:p w14:paraId="3B0DE48D">
            <w:pPr>
              <w:spacing w:line="360" w:lineRule="auto"/>
              <w:jc w:val="center"/>
              <w:rPr>
                <w:rFonts w:ascii="仿宋_GB2312" w:hAnsi="仿宋_GB2312" w:eastAsia="仿宋_GB2312" w:cs="仿宋_GB2312"/>
                <w:w w:val="90"/>
                <w:sz w:val="24"/>
                <w:szCs w:val="24"/>
              </w:rPr>
            </w:pPr>
            <w:r>
              <w:rPr>
                <w:rFonts w:hint="eastAsia" w:ascii="仿宋_GB2312" w:hAnsi="仿宋_GB2312" w:eastAsia="仿宋_GB2312" w:cs="仿宋_GB2312"/>
                <w:w w:val="90"/>
                <w:sz w:val="24"/>
                <w:szCs w:val="24"/>
              </w:rPr>
              <w:t>法定代表人</w:t>
            </w:r>
          </w:p>
        </w:tc>
        <w:tc>
          <w:tcPr>
            <w:tcW w:w="3905" w:type="dxa"/>
            <w:vAlign w:val="bottom"/>
          </w:tcPr>
          <w:p w14:paraId="1F05D343">
            <w:pPr>
              <w:spacing w:line="360" w:lineRule="auto"/>
              <w:jc w:val="center"/>
              <w:rPr>
                <w:rFonts w:ascii="仿宋_GB2312" w:hAnsi="仿宋_GB2312" w:eastAsia="仿宋_GB2312" w:cs="仿宋_GB2312"/>
                <w:w w:val="90"/>
                <w:sz w:val="24"/>
                <w:szCs w:val="24"/>
              </w:rPr>
            </w:pPr>
            <w:permStart w:id="37" w:edGrp="everyone"/>
            <w:r>
              <w:rPr>
                <w:rFonts w:hint="eastAsia" w:ascii="仿宋_GB2312" w:hAnsi="仿宋_GB2312" w:eastAsia="仿宋_GB2312" w:cs="仿宋_GB2312"/>
                <w:b/>
                <w:bCs/>
                <w:w w:val="90"/>
                <w:sz w:val="24"/>
                <w:szCs w:val="24"/>
                <w:u w:val="single"/>
              </w:rPr>
              <w:t>甲方法定代表人姓名</w:t>
            </w:r>
            <w:permEnd w:id="37"/>
          </w:p>
        </w:tc>
        <w:tc>
          <w:tcPr>
            <w:tcW w:w="3691" w:type="dxa"/>
            <w:vAlign w:val="bottom"/>
          </w:tcPr>
          <w:p w14:paraId="3D86633E">
            <w:pPr>
              <w:spacing w:line="360" w:lineRule="auto"/>
              <w:jc w:val="center"/>
              <w:rPr>
                <w:rFonts w:ascii="仿宋_GB2312" w:hAnsi="仿宋_GB2312" w:eastAsia="仿宋_GB2312" w:cs="仿宋_GB2312"/>
                <w:w w:val="90"/>
                <w:sz w:val="24"/>
                <w:szCs w:val="24"/>
              </w:rPr>
            </w:pPr>
            <w:permStart w:id="38" w:edGrp="everyone"/>
            <w:r>
              <w:rPr>
                <w:rFonts w:hint="eastAsia" w:ascii="仿宋_GB2312" w:hAnsi="仿宋_GB2312" w:eastAsia="仿宋_GB2312" w:cs="仿宋_GB2312"/>
                <w:b/>
                <w:bCs/>
                <w:w w:val="90"/>
                <w:sz w:val="24"/>
                <w:szCs w:val="24"/>
                <w:u w:val="single"/>
              </w:rPr>
              <w:t>乙方法定代表人姓名</w:t>
            </w:r>
            <w:permEnd w:id="38"/>
          </w:p>
        </w:tc>
      </w:tr>
      <w:tr w14:paraId="2B7B4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90" w:type="dxa"/>
            <w:vAlign w:val="bottom"/>
          </w:tcPr>
          <w:p w14:paraId="1DF05245">
            <w:pPr>
              <w:spacing w:line="360" w:lineRule="auto"/>
              <w:jc w:val="center"/>
              <w:rPr>
                <w:rFonts w:ascii="仿宋_GB2312" w:hAnsi="仿宋_GB2312" w:eastAsia="仿宋_GB2312" w:cs="仿宋_GB2312"/>
                <w:w w:val="90"/>
                <w:sz w:val="24"/>
                <w:szCs w:val="24"/>
              </w:rPr>
            </w:pPr>
            <w:r>
              <w:rPr>
                <w:rFonts w:hint="eastAsia" w:ascii="仿宋_GB2312" w:hAnsi="仿宋_GB2312" w:eastAsia="仿宋_GB2312" w:cs="仿宋_GB2312"/>
                <w:w w:val="90"/>
                <w:sz w:val="24"/>
                <w:szCs w:val="24"/>
              </w:rPr>
              <w:t>授权代表</w:t>
            </w:r>
          </w:p>
        </w:tc>
        <w:tc>
          <w:tcPr>
            <w:tcW w:w="3905" w:type="dxa"/>
            <w:vAlign w:val="bottom"/>
          </w:tcPr>
          <w:p w14:paraId="2790E76D">
            <w:pPr>
              <w:spacing w:line="360" w:lineRule="auto"/>
              <w:jc w:val="center"/>
              <w:rPr>
                <w:rFonts w:ascii="仿宋_GB2312" w:hAnsi="仿宋_GB2312" w:eastAsia="仿宋_GB2312" w:cs="仿宋_GB2312"/>
                <w:w w:val="90"/>
                <w:sz w:val="24"/>
                <w:szCs w:val="24"/>
              </w:rPr>
            </w:pPr>
            <w:permStart w:id="39" w:edGrp="everyone"/>
            <w:r>
              <w:rPr>
                <w:rFonts w:hint="eastAsia" w:ascii="仿宋_GB2312" w:hAnsi="仿宋_GB2312" w:eastAsia="仿宋_GB2312" w:cs="仿宋_GB2312"/>
                <w:b/>
                <w:bCs/>
                <w:w w:val="90"/>
                <w:sz w:val="24"/>
                <w:szCs w:val="24"/>
                <w:u w:val="single"/>
              </w:rPr>
              <w:t>甲方授权代表姓名</w:t>
            </w:r>
            <w:permEnd w:id="39"/>
          </w:p>
        </w:tc>
        <w:tc>
          <w:tcPr>
            <w:tcW w:w="3691" w:type="dxa"/>
            <w:vAlign w:val="bottom"/>
          </w:tcPr>
          <w:p w14:paraId="7D0B0993">
            <w:pPr>
              <w:spacing w:line="360" w:lineRule="auto"/>
              <w:jc w:val="center"/>
              <w:rPr>
                <w:rFonts w:ascii="仿宋_GB2312" w:hAnsi="仿宋_GB2312" w:eastAsia="仿宋_GB2312" w:cs="仿宋_GB2312"/>
                <w:w w:val="90"/>
                <w:sz w:val="24"/>
                <w:szCs w:val="24"/>
              </w:rPr>
            </w:pPr>
            <w:permStart w:id="40" w:edGrp="everyone"/>
            <w:r>
              <w:rPr>
                <w:rFonts w:hint="eastAsia" w:ascii="仿宋_GB2312" w:hAnsi="仿宋_GB2312" w:eastAsia="仿宋_GB2312" w:cs="仿宋_GB2312"/>
                <w:b/>
                <w:bCs/>
                <w:w w:val="90"/>
                <w:sz w:val="24"/>
                <w:szCs w:val="24"/>
                <w:u w:val="single"/>
              </w:rPr>
              <w:t>乙方授权代表姓名</w:t>
            </w:r>
            <w:permEnd w:id="40"/>
          </w:p>
        </w:tc>
      </w:tr>
      <w:tr w14:paraId="11993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90" w:type="dxa"/>
            <w:vAlign w:val="bottom"/>
          </w:tcPr>
          <w:p w14:paraId="33BDED7D">
            <w:pPr>
              <w:spacing w:line="360" w:lineRule="auto"/>
              <w:jc w:val="center"/>
              <w:rPr>
                <w:rFonts w:ascii="仿宋_GB2312" w:hAnsi="仿宋_GB2312" w:eastAsia="仿宋_GB2312" w:cs="仿宋_GB2312"/>
                <w:w w:val="90"/>
                <w:sz w:val="24"/>
                <w:szCs w:val="24"/>
              </w:rPr>
            </w:pPr>
            <w:r>
              <w:rPr>
                <w:rFonts w:hint="eastAsia" w:ascii="仿宋_GB2312" w:hAnsi="仿宋_GB2312" w:eastAsia="仿宋_GB2312" w:cs="仿宋_GB2312"/>
                <w:w w:val="90"/>
                <w:sz w:val="24"/>
                <w:szCs w:val="24"/>
              </w:rPr>
              <w:t>联系电话</w:t>
            </w:r>
          </w:p>
        </w:tc>
        <w:tc>
          <w:tcPr>
            <w:tcW w:w="3905" w:type="dxa"/>
            <w:vAlign w:val="bottom"/>
          </w:tcPr>
          <w:p w14:paraId="184CA20A">
            <w:pPr>
              <w:spacing w:line="360" w:lineRule="auto"/>
              <w:jc w:val="center"/>
              <w:rPr>
                <w:rFonts w:ascii="仿宋_GB2312" w:hAnsi="仿宋_GB2312" w:eastAsia="仿宋_GB2312" w:cs="仿宋_GB2312"/>
                <w:w w:val="90"/>
                <w:sz w:val="24"/>
                <w:szCs w:val="24"/>
              </w:rPr>
            </w:pPr>
            <w:permStart w:id="41" w:edGrp="everyone"/>
            <w:r>
              <w:rPr>
                <w:rFonts w:hint="eastAsia" w:ascii="仿宋_GB2312" w:hAnsi="仿宋_GB2312" w:eastAsia="仿宋_GB2312" w:cs="仿宋_GB2312"/>
                <w:b/>
                <w:bCs/>
                <w:w w:val="90"/>
                <w:sz w:val="24"/>
                <w:szCs w:val="24"/>
                <w:u w:val="single"/>
              </w:rPr>
              <w:t>甲方授权代表手机号码</w:t>
            </w:r>
            <w:permEnd w:id="41"/>
          </w:p>
        </w:tc>
        <w:tc>
          <w:tcPr>
            <w:tcW w:w="3691" w:type="dxa"/>
            <w:vAlign w:val="bottom"/>
          </w:tcPr>
          <w:p w14:paraId="4EF11400">
            <w:pPr>
              <w:spacing w:line="360" w:lineRule="auto"/>
              <w:jc w:val="center"/>
              <w:rPr>
                <w:rFonts w:ascii="仿宋_GB2312" w:hAnsi="仿宋_GB2312" w:eastAsia="仿宋_GB2312" w:cs="仿宋_GB2312"/>
                <w:w w:val="90"/>
                <w:sz w:val="24"/>
                <w:szCs w:val="24"/>
              </w:rPr>
            </w:pPr>
            <w:permStart w:id="42" w:edGrp="everyone"/>
            <w:r>
              <w:rPr>
                <w:rFonts w:hint="eastAsia" w:ascii="仿宋_GB2312" w:hAnsi="仿宋_GB2312" w:eastAsia="仿宋_GB2312" w:cs="仿宋_GB2312"/>
                <w:b/>
                <w:bCs/>
                <w:w w:val="90"/>
                <w:sz w:val="24"/>
                <w:szCs w:val="24"/>
                <w:u w:val="single"/>
              </w:rPr>
              <w:t>乙方授权代表手机号码</w:t>
            </w:r>
            <w:permEnd w:id="42"/>
          </w:p>
        </w:tc>
      </w:tr>
      <w:tr w14:paraId="01EDB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90" w:type="dxa"/>
            <w:vAlign w:val="bottom"/>
          </w:tcPr>
          <w:p w14:paraId="3CF791CD">
            <w:pPr>
              <w:spacing w:line="360" w:lineRule="auto"/>
              <w:jc w:val="center"/>
              <w:rPr>
                <w:rFonts w:ascii="仿宋_GB2312" w:hAnsi="仿宋_GB2312" w:eastAsia="仿宋_GB2312" w:cs="仿宋_GB2312"/>
                <w:w w:val="90"/>
                <w:sz w:val="24"/>
                <w:szCs w:val="24"/>
              </w:rPr>
            </w:pPr>
            <w:r>
              <w:rPr>
                <w:rFonts w:hint="eastAsia" w:ascii="仿宋_GB2312" w:hAnsi="仿宋_GB2312" w:eastAsia="仿宋_GB2312" w:cs="仿宋_GB2312"/>
                <w:w w:val="90"/>
                <w:sz w:val="24"/>
                <w:szCs w:val="24"/>
              </w:rPr>
              <w:t>联系邮箱</w:t>
            </w:r>
          </w:p>
        </w:tc>
        <w:tc>
          <w:tcPr>
            <w:tcW w:w="3905" w:type="dxa"/>
            <w:vAlign w:val="bottom"/>
          </w:tcPr>
          <w:p w14:paraId="00A12FCE">
            <w:pPr>
              <w:spacing w:line="360" w:lineRule="auto"/>
              <w:jc w:val="center"/>
              <w:rPr>
                <w:rFonts w:ascii="仿宋_GB2312" w:hAnsi="仿宋_GB2312" w:eastAsia="仿宋_GB2312" w:cs="仿宋_GB2312"/>
                <w:w w:val="90"/>
                <w:sz w:val="24"/>
                <w:szCs w:val="24"/>
              </w:rPr>
            </w:pPr>
            <w:permStart w:id="43" w:edGrp="everyone"/>
            <w:r>
              <w:rPr>
                <w:rFonts w:hint="eastAsia" w:ascii="仿宋_GB2312" w:hAnsi="仿宋_GB2312" w:eastAsia="仿宋_GB2312" w:cs="仿宋_GB2312"/>
                <w:b/>
                <w:bCs/>
                <w:w w:val="90"/>
                <w:sz w:val="24"/>
                <w:szCs w:val="24"/>
                <w:u w:val="single"/>
              </w:rPr>
              <w:t>甲方授权代表联系邮箱（非必填）</w:t>
            </w:r>
            <w:permEnd w:id="43"/>
          </w:p>
        </w:tc>
        <w:tc>
          <w:tcPr>
            <w:tcW w:w="3691" w:type="dxa"/>
            <w:vAlign w:val="bottom"/>
          </w:tcPr>
          <w:p w14:paraId="42B3AC81">
            <w:pPr>
              <w:spacing w:line="360" w:lineRule="auto"/>
              <w:jc w:val="center"/>
              <w:rPr>
                <w:rFonts w:ascii="仿宋_GB2312" w:hAnsi="仿宋_GB2312" w:eastAsia="仿宋_GB2312" w:cs="仿宋_GB2312"/>
                <w:w w:val="90"/>
                <w:sz w:val="24"/>
                <w:szCs w:val="24"/>
              </w:rPr>
            </w:pPr>
            <w:permStart w:id="44" w:edGrp="everyone"/>
            <w:r>
              <w:rPr>
                <w:rFonts w:hint="eastAsia" w:ascii="仿宋_GB2312" w:hAnsi="仿宋_GB2312" w:eastAsia="仿宋_GB2312" w:cs="仿宋_GB2312"/>
                <w:b/>
                <w:bCs/>
                <w:w w:val="90"/>
                <w:sz w:val="24"/>
                <w:szCs w:val="24"/>
                <w:u w:val="single"/>
              </w:rPr>
              <w:t>乙方授权代表联系邮箱（非必填）</w:t>
            </w:r>
            <w:permEnd w:id="44"/>
          </w:p>
        </w:tc>
      </w:tr>
      <w:tr w14:paraId="59DA3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90" w:type="dxa"/>
            <w:vAlign w:val="bottom"/>
          </w:tcPr>
          <w:p w14:paraId="170529A8">
            <w:pPr>
              <w:spacing w:line="360" w:lineRule="auto"/>
              <w:jc w:val="center"/>
              <w:rPr>
                <w:rFonts w:ascii="仿宋_GB2312" w:hAnsi="仿宋_GB2312" w:eastAsia="仿宋_GB2312" w:cs="仿宋_GB2312"/>
                <w:w w:val="90"/>
                <w:sz w:val="24"/>
                <w:szCs w:val="24"/>
              </w:rPr>
            </w:pPr>
            <w:r>
              <w:rPr>
                <w:rFonts w:hint="eastAsia" w:ascii="仿宋_GB2312" w:hAnsi="仿宋_GB2312" w:eastAsia="仿宋_GB2312" w:cs="仿宋_GB2312"/>
                <w:w w:val="90"/>
                <w:sz w:val="24"/>
                <w:szCs w:val="24"/>
              </w:rPr>
              <w:t>开户银行</w:t>
            </w:r>
          </w:p>
        </w:tc>
        <w:tc>
          <w:tcPr>
            <w:tcW w:w="3905" w:type="dxa"/>
            <w:vAlign w:val="bottom"/>
          </w:tcPr>
          <w:p w14:paraId="3C1BD5D8">
            <w:pPr>
              <w:spacing w:line="360" w:lineRule="auto"/>
              <w:jc w:val="center"/>
              <w:rPr>
                <w:rFonts w:ascii="仿宋_GB2312" w:hAnsi="仿宋_GB2312" w:eastAsia="仿宋_GB2312" w:cs="仿宋_GB2312"/>
                <w:w w:val="90"/>
                <w:sz w:val="24"/>
                <w:szCs w:val="24"/>
              </w:rPr>
            </w:pPr>
            <w:permStart w:id="45" w:edGrp="everyone"/>
            <w:r>
              <w:rPr>
                <w:rFonts w:hint="eastAsia" w:ascii="仿宋_GB2312" w:hAnsi="仿宋_GB2312" w:eastAsia="仿宋_GB2312" w:cs="仿宋_GB2312"/>
                <w:b/>
                <w:bCs/>
                <w:w w:val="90"/>
                <w:sz w:val="24"/>
                <w:szCs w:val="24"/>
                <w:u w:val="single"/>
              </w:rPr>
              <w:t>甲方开户银行规范全称（非必填）</w:t>
            </w:r>
            <w:permEnd w:id="45"/>
          </w:p>
        </w:tc>
        <w:tc>
          <w:tcPr>
            <w:tcW w:w="3691" w:type="dxa"/>
            <w:vAlign w:val="bottom"/>
          </w:tcPr>
          <w:p w14:paraId="12E798B6">
            <w:pPr>
              <w:spacing w:line="360" w:lineRule="auto"/>
              <w:jc w:val="center"/>
              <w:rPr>
                <w:rFonts w:ascii="仿宋_GB2312" w:hAnsi="仿宋_GB2312" w:eastAsia="仿宋_GB2312" w:cs="仿宋_GB2312"/>
                <w:w w:val="90"/>
                <w:sz w:val="24"/>
                <w:szCs w:val="24"/>
              </w:rPr>
            </w:pPr>
            <w:permStart w:id="46" w:edGrp="everyone"/>
            <w:r>
              <w:rPr>
                <w:rFonts w:hint="eastAsia" w:ascii="仿宋_GB2312" w:hAnsi="仿宋_GB2312" w:eastAsia="仿宋_GB2312" w:cs="仿宋_GB2312"/>
                <w:b/>
                <w:bCs/>
                <w:w w:val="90"/>
                <w:sz w:val="24"/>
                <w:szCs w:val="24"/>
                <w:u w:val="single"/>
              </w:rPr>
              <w:t>乙方开户银行规范全称</w:t>
            </w:r>
            <w:permEnd w:id="46"/>
          </w:p>
        </w:tc>
      </w:tr>
      <w:tr w14:paraId="71DAC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90" w:type="dxa"/>
            <w:vAlign w:val="bottom"/>
          </w:tcPr>
          <w:p w14:paraId="2498EFC7">
            <w:pPr>
              <w:spacing w:line="360" w:lineRule="auto"/>
              <w:jc w:val="center"/>
              <w:rPr>
                <w:rFonts w:ascii="仿宋_GB2312" w:hAnsi="仿宋_GB2312" w:eastAsia="仿宋_GB2312" w:cs="仿宋_GB2312"/>
                <w:w w:val="90"/>
                <w:sz w:val="24"/>
                <w:szCs w:val="24"/>
              </w:rPr>
            </w:pPr>
            <w:r>
              <w:rPr>
                <w:rFonts w:hint="eastAsia" w:ascii="仿宋_GB2312" w:hAnsi="仿宋_GB2312" w:eastAsia="仿宋_GB2312" w:cs="仿宋_GB2312"/>
                <w:w w:val="90"/>
                <w:sz w:val="24"/>
                <w:szCs w:val="24"/>
              </w:rPr>
              <w:t>开户行联行号</w:t>
            </w:r>
          </w:p>
        </w:tc>
        <w:tc>
          <w:tcPr>
            <w:tcW w:w="3905" w:type="dxa"/>
            <w:vAlign w:val="bottom"/>
          </w:tcPr>
          <w:p w14:paraId="1A337086">
            <w:pPr>
              <w:spacing w:line="360" w:lineRule="auto"/>
              <w:jc w:val="center"/>
              <w:rPr>
                <w:rFonts w:ascii="仿宋_GB2312" w:hAnsi="仿宋_GB2312" w:eastAsia="仿宋_GB2312" w:cs="仿宋_GB2312"/>
                <w:w w:val="90"/>
                <w:sz w:val="24"/>
                <w:szCs w:val="24"/>
              </w:rPr>
            </w:pPr>
            <w:permStart w:id="47" w:edGrp="everyone"/>
            <w:r>
              <w:rPr>
                <w:rFonts w:hint="eastAsia" w:ascii="仿宋_GB2312" w:hAnsi="仿宋_GB2312" w:eastAsia="仿宋_GB2312" w:cs="仿宋_GB2312"/>
                <w:b/>
                <w:bCs/>
                <w:w w:val="90"/>
                <w:sz w:val="24"/>
                <w:szCs w:val="24"/>
                <w:u w:val="single"/>
              </w:rPr>
              <w:t>甲方开户银行联行号（非必填）</w:t>
            </w:r>
            <w:permEnd w:id="47"/>
          </w:p>
        </w:tc>
        <w:tc>
          <w:tcPr>
            <w:tcW w:w="3691" w:type="dxa"/>
            <w:vAlign w:val="bottom"/>
          </w:tcPr>
          <w:p w14:paraId="4270863E">
            <w:pPr>
              <w:spacing w:line="360" w:lineRule="auto"/>
              <w:jc w:val="center"/>
              <w:rPr>
                <w:rFonts w:ascii="仿宋_GB2312" w:hAnsi="仿宋_GB2312" w:eastAsia="仿宋_GB2312" w:cs="仿宋_GB2312"/>
                <w:w w:val="90"/>
                <w:sz w:val="24"/>
                <w:szCs w:val="24"/>
              </w:rPr>
            </w:pPr>
            <w:permStart w:id="48" w:edGrp="everyone"/>
            <w:r>
              <w:rPr>
                <w:rFonts w:hint="eastAsia" w:ascii="仿宋_GB2312" w:hAnsi="仿宋_GB2312" w:eastAsia="仿宋_GB2312" w:cs="仿宋_GB2312"/>
                <w:b/>
                <w:bCs/>
                <w:w w:val="90"/>
                <w:sz w:val="24"/>
                <w:szCs w:val="24"/>
                <w:u w:val="single"/>
              </w:rPr>
              <w:t>乙方开户银行联行号</w:t>
            </w:r>
            <w:permEnd w:id="48"/>
          </w:p>
        </w:tc>
      </w:tr>
      <w:tr w14:paraId="644AF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90" w:type="dxa"/>
            <w:vAlign w:val="bottom"/>
          </w:tcPr>
          <w:p w14:paraId="72662FB9">
            <w:pPr>
              <w:spacing w:line="360" w:lineRule="auto"/>
              <w:jc w:val="center"/>
              <w:rPr>
                <w:rFonts w:ascii="仿宋_GB2312" w:hAnsi="仿宋_GB2312" w:eastAsia="仿宋_GB2312" w:cs="仿宋_GB2312"/>
                <w:w w:val="90"/>
                <w:sz w:val="24"/>
                <w:szCs w:val="24"/>
              </w:rPr>
            </w:pPr>
            <w:r>
              <w:rPr>
                <w:rFonts w:hint="eastAsia" w:ascii="仿宋_GB2312" w:hAnsi="仿宋_GB2312" w:eastAsia="仿宋_GB2312" w:cs="仿宋_GB2312"/>
                <w:w w:val="90"/>
                <w:sz w:val="24"/>
                <w:szCs w:val="24"/>
              </w:rPr>
              <w:t>开户账号</w:t>
            </w:r>
          </w:p>
        </w:tc>
        <w:tc>
          <w:tcPr>
            <w:tcW w:w="3905" w:type="dxa"/>
            <w:vAlign w:val="bottom"/>
          </w:tcPr>
          <w:p w14:paraId="5541BA93">
            <w:pPr>
              <w:spacing w:line="360" w:lineRule="auto"/>
              <w:jc w:val="center"/>
              <w:rPr>
                <w:rFonts w:ascii="仿宋_GB2312" w:hAnsi="仿宋_GB2312" w:eastAsia="仿宋_GB2312" w:cs="仿宋_GB2312"/>
                <w:w w:val="90"/>
                <w:sz w:val="24"/>
                <w:szCs w:val="24"/>
              </w:rPr>
            </w:pPr>
            <w:permStart w:id="49" w:edGrp="everyone"/>
            <w:r>
              <w:rPr>
                <w:rFonts w:hint="eastAsia" w:ascii="仿宋_GB2312" w:hAnsi="仿宋_GB2312" w:eastAsia="仿宋_GB2312" w:cs="仿宋_GB2312"/>
                <w:b/>
                <w:bCs/>
                <w:w w:val="90"/>
                <w:sz w:val="24"/>
                <w:szCs w:val="24"/>
                <w:u w:val="single"/>
              </w:rPr>
              <w:t>甲方银行账号（非必填）</w:t>
            </w:r>
            <w:permEnd w:id="49"/>
          </w:p>
        </w:tc>
        <w:tc>
          <w:tcPr>
            <w:tcW w:w="3691" w:type="dxa"/>
            <w:vAlign w:val="bottom"/>
          </w:tcPr>
          <w:p w14:paraId="559F88AB">
            <w:pPr>
              <w:spacing w:line="360" w:lineRule="auto"/>
              <w:jc w:val="center"/>
              <w:rPr>
                <w:rFonts w:ascii="仿宋_GB2312" w:hAnsi="仿宋_GB2312" w:eastAsia="仿宋_GB2312" w:cs="仿宋_GB2312"/>
                <w:w w:val="90"/>
                <w:sz w:val="24"/>
                <w:szCs w:val="24"/>
              </w:rPr>
            </w:pPr>
            <w:permStart w:id="50" w:edGrp="everyone"/>
            <w:r>
              <w:rPr>
                <w:rFonts w:hint="eastAsia" w:ascii="仿宋_GB2312" w:hAnsi="仿宋_GB2312" w:eastAsia="仿宋_GB2312" w:cs="仿宋_GB2312"/>
                <w:b/>
                <w:bCs/>
                <w:w w:val="90"/>
                <w:sz w:val="24"/>
                <w:szCs w:val="24"/>
                <w:u w:val="single"/>
              </w:rPr>
              <w:t>乙方银行账号</w:t>
            </w:r>
            <w:permEnd w:id="50"/>
          </w:p>
        </w:tc>
      </w:tr>
      <w:tr w14:paraId="2EFDE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90" w:type="dxa"/>
            <w:vAlign w:val="bottom"/>
          </w:tcPr>
          <w:p w14:paraId="2C071B49">
            <w:pPr>
              <w:spacing w:line="360" w:lineRule="auto"/>
              <w:jc w:val="center"/>
              <w:rPr>
                <w:rFonts w:ascii="仿宋_GB2312" w:hAnsi="仿宋_GB2312" w:eastAsia="仿宋_GB2312" w:cs="仿宋_GB2312"/>
                <w:w w:val="90"/>
                <w:sz w:val="24"/>
                <w:szCs w:val="24"/>
              </w:rPr>
            </w:pPr>
            <w:r>
              <w:rPr>
                <w:rFonts w:hint="eastAsia" w:ascii="仿宋_GB2312" w:hAnsi="仿宋_GB2312" w:eastAsia="仿宋_GB2312" w:cs="仿宋_GB2312"/>
                <w:w w:val="90"/>
                <w:sz w:val="24"/>
                <w:szCs w:val="24"/>
              </w:rPr>
              <w:t>其他信息</w:t>
            </w:r>
          </w:p>
        </w:tc>
        <w:tc>
          <w:tcPr>
            <w:tcW w:w="3905" w:type="dxa"/>
            <w:vAlign w:val="bottom"/>
          </w:tcPr>
          <w:p w14:paraId="27AE85CE">
            <w:pPr>
              <w:spacing w:line="360" w:lineRule="auto"/>
              <w:jc w:val="center"/>
              <w:rPr>
                <w:rFonts w:ascii="仿宋_GB2312" w:hAnsi="仿宋_GB2312" w:eastAsia="仿宋_GB2312" w:cs="仿宋_GB2312"/>
                <w:w w:val="90"/>
                <w:sz w:val="24"/>
                <w:szCs w:val="24"/>
              </w:rPr>
            </w:pPr>
            <w:permStart w:id="51" w:edGrp="everyone"/>
            <w:r>
              <w:rPr>
                <w:rFonts w:hint="eastAsia" w:ascii="仿宋_GB2312" w:hAnsi="仿宋_GB2312" w:eastAsia="仿宋_GB2312" w:cs="仿宋_GB2312"/>
                <w:b/>
                <w:bCs/>
                <w:w w:val="90"/>
                <w:sz w:val="24"/>
                <w:szCs w:val="24"/>
                <w:u w:val="single"/>
              </w:rPr>
              <w:t>甲方其他需列明企业信息（非必填）</w:t>
            </w:r>
            <w:permEnd w:id="51"/>
          </w:p>
        </w:tc>
        <w:tc>
          <w:tcPr>
            <w:tcW w:w="3691" w:type="dxa"/>
            <w:vAlign w:val="bottom"/>
          </w:tcPr>
          <w:p w14:paraId="6D4FF1D8">
            <w:pPr>
              <w:spacing w:line="360" w:lineRule="auto"/>
              <w:jc w:val="center"/>
              <w:rPr>
                <w:rFonts w:ascii="仿宋_GB2312" w:hAnsi="仿宋_GB2312" w:eastAsia="仿宋_GB2312" w:cs="仿宋_GB2312"/>
                <w:w w:val="90"/>
                <w:sz w:val="24"/>
                <w:szCs w:val="24"/>
              </w:rPr>
            </w:pPr>
            <w:permStart w:id="52" w:edGrp="everyone"/>
            <w:r>
              <w:rPr>
                <w:rFonts w:hint="eastAsia" w:ascii="仿宋_GB2312" w:hAnsi="仿宋_GB2312" w:eastAsia="仿宋_GB2312" w:cs="仿宋_GB2312"/>
                <w:b/>
                <w:bCs/>
                <w:w w:val="90"/>
                <w:sz w:val="24"/>
                <w:szCs w:val="24"/>
                <w:u w:val="single"/>
              </w:rPr>
              <w:t>乙方其他需列明企业信息（非必填）</w:t>
            </w:r>
            <w:permEnd w:id="52"/>
          </w:p>
        </w:tc>
      </w:tr>
    </w:tbl>
    <w:p w14:paraId="5E6C5579">
      <w:pPr>
        <w:spacing w:line="360" w:lineRule="auto"/>
        <w:ind w:firstLine="432" w:firstLineChars="200"/>
        <w:rPr>
          <w:rFonts w:ascii="仿宋_GB2312" w:hAnsi="仿宋_GB2312" w:eastAsia="仿宋_GB2312" w:cs="仿宋_GB2312"/>
          <w:w w:val="90"/>
          <w:sz w:val="24"/>
          <w:szCs w:val="24"/>
        </w:rPr>
      </w:pPr>
      <w:r>
        <w:rPr>
          <w:rFonts w:hint="eastAsia" w:ascii="仿宋_GB2312" w:hAnsi="仿宋_GB2312" w:eastAsia="仿宋_GB2312" w:cs="仿宋_GB2312"/>
          <w:w w:val="90"/>
          <w:sz w:val="24"/>
          <w:szCs w:val="24"/>
        </w:rPr>
        <w:t>合同履行过程中，如甲乙双方基本信息发生变更，应及时以书面形式告知对方并就付款账户信息变更签署相关补充协议。</w:t>
      </w:r>
    </w:p>
    <w:p w14:paraId="7D17F37F">
      <w:pPr>
        <w:tabs>
          <w:tab w:val="left" w:pos="0"/>
          <w:tab w:val="left" w:pos="9060"/>
        </w:tabs>
        <w:spacing w:line="360" w:lineRule="auto"/>
        <w:ind w:firstLine="480"/>
        <w:rPr>
          <w:rFonts w:eastAsia="Calibri"/>
          <w:sz w:val="36"/>
        </w:rPr>
      </w:pPr>
      <w:r>
        <w:rPr>
          <w:rFonts w:ascii="黑体" w:hAnsi="黑体" w:eastAsia="黑体"/>
          <w:sz w:val="24"/>
        </w:rPr>
        <w:t>3.生效条款</w:t>
      </w:r>
    </w:p>
    <w:p w14:paraId="1AE54899">
      <w:pPr>
        <w:spacing w:line="360" w:lineRule="auto"/>
        <w:ind w:firstLine="480"/>
      </w:pPr>
      <w:r>
        <w:rPr>
          <w:rFonts w:ascii="仿宋_GB2312" w:hAnsi="仿宋_GB2312" w:eastAsia="仿宋_GB2312"/>
          <w:sz w:val="24"/>
        </w:rPr>
        <w:t>3.1本合同经双方签署后生效。</w:t>
      </w:r>
    </w:p>
    <w:p w14:paraId="691ED9FD">
      <w:pPr>
        <w:spacing w:line="360" w:lineRule="auto"/>
        <w:ind w:firstLine="480"/>
      </w:pPr>
      <w:r>
        <w:rPr>
          <w:rFonts w:ascii="仿宋_GB2312" w:hAnsi="仿宋_GB2312" w:eastAsia="仿宋_GB2312"/>
          <w:sz w:val="24"/>
        </w:rPr>
        <w:t>3.2本合同一式四份，甲乙双方各执两份，具有同等法律效力。</w:t>
      </w:r>
    </w:p>
    <w:p w14:paraId="5F9DB8E4">
      <w:pPr>
        <w:tabs>
          <w:tab w:val="left" w:pos="0"/>
          <w:tab w:val="left" w:pos="9060"/>
        </w:tabs>
        <w:spacing w:line="360" w:lineRule="auto"/>
        <w:ind w:firstLine="480"/>
        <w:rPr>
          <w:rFonts w:eastAsia="Calibri"/>
          <w:sz w:val="36"/>
        </w:rPr>
      </w:pPr>
      <w:r>
        <w:rPr>
          <w:rFonts w:ascii="黑体" w:hAnsi="黑体" w:eastAsia="黑体"/>
          <w:sz w:val="24"/>
        </w:rPr>
        <w:t>4.特殊约定</w:t>
      </w:r>
    </w:p>
    <w:p w14:paraId="40CAF7F1">
      <w:pPr>
        <w:spacing w:line="360" w:lineRule="auto"/>
        <w:ind w:firstLine="437"/>
      </w:pPr>
      <w:permStart w:id="53" w:edGrp="everyone"/>
      <w:r>
        <w:rPr>
          <w:rFonts w:ascii="仿宋_GB2312" w:hAnsi="仿宋_GB2312" w:eastAsia="仿宋_GB2312"/>
          <w:b/>
          <w:w w:val="90"/>
          <w:sz w:val="24"/>
          <w:u w:val="single"/>
        </w:rPr>
        <w:t>特殊约定事项，据实填写：4.1</w:t>
      </w:r>
      <w:r>
        <w:rPr>
          <w:rFonts w:ascii="Calibri" w:hAnsi="Calibri" w:eastAsia="仿宋_GB2312" w:cs="Calibri"/>
          <w:b/>
          <w:w w:val="90"/>
          <w:sz w:val="24"/>
          <w:u w:val="single"/>
        </w:rPr>
        <w:t>               </w:t>
      </w:r>
      <w:r>
        <w:rPr>
          <w:rFonts w:ascii="仿宋_GB2312" w:hAnsi="仿宋_GB2312" w:eastAsia="仿宋_GB2312"/>
          <w:b/>
          <w:w w:val="90"/>
          <w:sz w:val="24"/>
          <w:u w:val="single"/>
        </w:rPr>
        <w:t xml:space="preserve"> </w:t>
      </w:r>
      <w:r>
        <w:rPr>
          <w:rFonts w:ascii="仿宋_GB2312" w:hAnsi="仿宋_GB2312" w:eastAsia="仿宋_GB2312"/>
          <w:b/>
          <w:w w:val="90"/>
          <w:sz w:val="24"/>
        </w:rPr>
        <w:t>;4.2</w:t>
      </w:r>
      <w:r>
        <w:rPr>
          <w:rFonts w:ascii="Calibri" w:hAnsi="Calibri" w:eastAsia="仿宋_GB2312" w:cs="Calibri"/>
          <w:b/>
          <w:w w:val="90"/>
          <w:sz w:val="24"/>
          <w:u w:val="single"/>
        </w:rPr>
        <w:t>             </w:t>
      </w:r>
      <w:r>
        <w:rPr>
          <w:rFonts w:ascii="仿宋_GB2312" w:hAnsi="仿宋_GB2312" w:eastAsia="仿宋_GB2312"/>
          <w:b/>
          <w:w w:val="90"/>
          <w:sz w:val="24"/>
          <w:u w:val="single"/>
        </w:rPr>
        <w:t xml:space="preserve"> </w:t>
      </w:r>
      <w:r>
        <w:rPr>
          <w:rFonts w:ascii="仿宋_GB2312" w:hAnsi="仿宋_GB2312" w:eastAsia="仿宋_GB2312"/>
          <w:b/>
          <w:w w:val="90"/>
          <w:sz w:val="24"/>
        </w:rPr>
        <w:t>;……。若无，</w:t>
      </w:r>
      <w:r>
        <w:rPr>
          <w:rFonts w:ascii="仿宋_GB2312" w:hAnsi="仿宋_GB2312" w:eastAsia="仿宋_GB2312"/>
          <w:b/>
          <w:sz w:val="24"/>
          <w:u w:val="single"/>
        </w:rPr>
        <w:t>填写“无”。专用条款、通用条款中需进行修改的部分应在此处予以体现。</w:t>
      </w:r>
      <w:permEnd w:id="53"/>
    </w:p>
    <w:p w14:paraId="4596AEB8">
      <w:pPr>
        <w:spacing w:line="360" w:lineRule="auto"/>
        <w:ind w:firstLine="480" w:firstLineChars="200"/>
        <w:rPr>
          <w:rFonts w:ascii="仿宋_GB2312" w:hAnsi="黑体" w:eastAsia="仿宋_GB2312" w:cstheme="minorEastAsia"/>
          <w:sz w:val="24"/>
          <w:szCs w:val="24"/>
        </w:rPr>
      </w:pPr>
    </w:p>
    <w:p w14:paraId="3776EC72">
      <w:pPr>
        <w:widowControl/>
        <w:adjustRightInd w:val="0"/>
        <w:snapToGrid w:val="0"/>
        <w:spacing w:line="360" w:lineRule="auto"/>
        <w:ind w:firstLine="480" w:firstLineChars="200"/>
        <w:jc w:val="left"/>
        <w:rPr>
          <w:rFonts w:ascii="仿宋_GB2312" w:hAnsi="宋体" w:eastAsia="仿宋_GB2312"/>
          <w:snapToGrid w:val="0"/>
          <w:kern w:val="0"/>
          <w:sz w:val="24"/>
          <w:szCs w:val="24"/>
          <w:lang w:eastAsia="zh-Hans"/>
        </w:rPr>
      </w:pPr>
    </w:p>
    <w:p w14:paraId="68599260">
      <w:pPr>
        <w:widowControl/>
        <w:adjustRightInd w:val="0"/>
        <w:snapToGrid w:val="0"/>
        <w:spacing w:line="360" w:lineRule="auto"/>
        <w:ind w:firstLine="480" w:firstLineChars="200"/>
        <w:jc w:val="left"/>
        <w:rPr>
          <w:rFonts w:ascii="仿宋_GB2312" w:hAnsi="宋体" w:eastAsia="仿宋_GB2312"/>
          <w:snapToGrid w:val="0"/>
          <w:kern w:val="0"/>
          <w:sz w:val="24"/>
          <w:szCs w:val="24"/>
        </w:rPr>
      </w:pPr>
      <w:r>
        <w:rPr>
          <w:rFonts w:hint="eastAsia" w:ascii="仿宋_GB2312" w:hAnsi="宋体" w:eastAsia="仿宋_GB2312"/>
          <w:snapToGrid w:val="0"/>
          <w:kern w:val="0"/>
          <w:sz w:val="24"/>
          <w:szCs w:val="24"/>
          <w:lang w:eastAsia="zh-Hans"/>
        </w:rPr>
        <w:t>甲方</w:t>
      </w:r>
      <w:r>
        <w:rPr>
          <w:rFonts w:hint="eastAsia" w:ascii="仿宋_GB2312" w:hAnsi="宋体" w:eastAsia="仿宋_GB2312"/>
          <w:snapToGrid w:val="0"/>
          <w:kern w:val="0"/>
          <w:sz w:val="24"/>
          <w:szCs w:val="24"/>
        </w:rPr>
        <w:t>（盖章）</w:t>
      </w:r>
      <w:r>
        <w:rPr>
          <w:rFonts w:hint="eastAsia" w:ascii="仿宋_GB2312" w:hAnsi="宋体" w:eastAsia="仿宋_GB2312"/>
          <w:snapToGrid w:val="0"/>
          <w:kern w:val="0"/>
          <w:sz w:val="24"/>
          <w:szCs w:val="24"/>
          <w:lang w:eastAsia="zh-Hans"/>
        </w:rPr>
        <w:t>：</w:t>
      </w:r>
      <w:permStart w:id="54" w:edGrp="everyone"/>
      <w:r>
        <w:rPr>
          <w:rFonts w:hint="eastAsia" w:ascii="仿宋_GB2312" w:hAnsi="宋体" w:eastAsia="仿宋_GB2312"/>
          <w:b/>
          <w:bCs/>
          <w:snapToGrid w:val="0"/>
          <w:kern w:val="0"/>
          <w:sz w:val="24"/>
          <w:szCs w:val="24"/>
          <w:u w:val="single"/>
        </w:rPr>
        <w:t>甲方单位全称</w:t>
      </w:r>
      <w:permEnd w:id="54"/>
    </w:p>
    <w:p w14:paraId="4F515938">
      <w:pPr>
        <w:widowControl/>
        <w:adjustRightInd w:val="0"/>
        <w:snapToGrid w:val="0"/>
        <w:spacing w:line="360" w:lineRule="auto"/>
        <w:ind w:firstLine="480" w:firstLineChars="200"/>
        <w:jc w:val="left"/>
        <w:rPr>
          <w:rFonts w:ascii="仿宋_GB2312" w:hAnsi="宋体" w:eastAsia="仿宋_GB2312"/>
          <w:snapToGrid w:val="0"/>
          <w:color w:val="000000"/>
          <w:kern w:val="0"/>
          <w:sz w:val="24"/>
          <w:szCs w:val="24"/>
        </w:rPr>
      </w:pPr>
    </w:p>
    <w:p w14:paraId="7ED8AC35">
      <w:pPr>
        <w:widowControl/>
        <w:adjustRightInd w:val="0"/>
        <w:snapToGrid w:val="0"/>
        <w:spacing w:line="360" w:lineRule="auto"/>
        <w:ind w:firstLine="480" w:firstLineChars="200"/>
        <w:jc w:val="left"/>
        <w:rPr>
          <w:rFonts w:ascii="仿宋_GB2312" w:hAnsi="宋体" w:eastAsia="仿宋_GB2312"/>
          <w:snapToGrid w:val="0"/>
          <w:color w:val="000000"/>
          <w:kern w:val="0"/>
          <w:sz w:val="24"/>
          <w:szCs w:val="24"/>
          <w:lang w:eastAsia="zh-Hans"/>
        </w:rPr>
      </w:pPr>
      <w:r>
        <w:rPr>
          <w:rFonts w:hint="eastAsia" w:ascii="仿宋_GB2312" w:hAnsi="宋体" w:eastAsia="仿宋_GB2312"/>
          <w:snapToGrid w:val="0"/>
          <w:color w:val="000000"/>
          <w:kern w:val="0"/>
          <w:sz w:val="24"/>
          <w:szCs w:val="24"/>
        </w:rPr>
        <w:t>甲方代表</w:t>
      </w:r>
      <w:r>
        <w:rPr>
          <w:rFonts w:hint="eastAsia" w:ascii="仿宋_GB2312" w:hAnsi="宋体" w:eastAsia="仿宋_GB2312"/>
          <w:snapToGrid w:val="0"/>
          <w:color w:val="000000"/>
          <w:kern w:val="0"/>
          <w:sz w:val="24"/>
          <w:szCs w:val="24"/>
          <w:lang w:eastAsia="zh-Hans"/>
        </w:rPr>
        <w:t xml:space="preserve">（签字）：     </w:t>
      </w:r>
    </w:p>
    <w:p w14:paraId="5953588D">
      <w:pPr>
        <w:widowControl/>
        <w:adjustRightInd w:val="0"/>
        <w:snapToGrid w:val="0"/>
        <w:spacing w:line="360" w:lineRule="auto"/>
        <w:ind w:firstLine="480" w:firstLineChars="200"/>
        <w:jc w:val="left"/>
        <w:rPr>
          <w:rFonts w:ascii="仿宋_GB2312" w:hAnsi="宋体" w:eastAsia="仿宋_GB2312"/>
          <w:snapToGrid w:val="0"/>
          <w:color w:val="000000"/>
          <w:kern w:val="0"/>
          <w:sz w:val="24"/>
          <w:szCs w:val="24"/>
          <w:lang w:eastAsia="zh-Hans"/>
        </w:rPr>
      </w:pPr>
    </w:p>
    <w:p w14:paraId="6D78F741">
      <w:pPr>
        <w:widowControl/>
        <w:adjustRightInd w:val="0"/>
        <w:snapToGrid w:val="0"/>
        <w:spacing w:line="360" w:lineRule="auto"/>
        <w:ind w:firstLine="480" w:firstLineChars="200"/>
        <w:jc w:val="left"/>
        <w:rPr>
          <w:rFonts w:ascii="仿宋_GB2312" w:hAnsi="宋体" w:eastAsia="仿宋_GB2312"/>
          <w:snapToGrid w:val="0"/>
          <w:color w:val="000000"/>
          <w:kern w:val="0"/>
          <w:sz w:val="24"/>
          <w:szCs w:val="24"/>
          <w:lang w:eastAsia="zh-Hans"/>
        </w:rPr>
      </w:pPr>
      <w:r>
        <w:rPr>
          <w:rFonts w:hint="eastAsia" w:ascii="仿宋_GB2312" w:hAnsi="宋体" w:eastAsia="仿宋_GB2312"/>
          <w:snapToGrid w:val="0"/>
          <w:color w:val="000000"/>
          <w:kern w:val="0"/>
          <w:sz w:val="24"/>
          <w:szCs w:val="24"/>
          <w:lang w:eastAsia="zh-Hans"/>
        </w:rPr>
        <w:t xml:space="preserve">    </w:t>
      </w:r>
      <w:r>
        <w:rPr>
          <w:rFonts w:hint="eastAsia" w:ascii="仿宋_GB2312" w:hAnsi="宋体" w:eastAsia="仿宋_GB2312"/>
          <w:snapToGrid w:val="0"/>
          <w:kern w:val="0"/>
          <w:sz w:val="24"/>
          <w:szCs w:val="24"/>
          <w:lang w:eastAsia="zh-Hans"/>
        </w:rPr>
        <w:t xml:space="preserve">       </w:t>
      </w:r>
      <w:r>
        <w:rPr>
          <w:rFonts w:hint="eastAsia" w:ascii="仿宋_GB2312" w:hAnsi="宋体" w:eastAsia="仿宋_GB2312"/>
          <w:snapToGrid w:val="0"/>
          <w:color w:val="000000"/>
          <w:kern w:val="0"/>
          <w:sz w:val="24"/>
          <w:szCs w:val="24"/>
          <w:lang w:eastAsia="zh-Hans"/>
        </w:rPr>
        <w:t xml:space="preserve"> </w:t>
      </w:r>
    </w:p>
    <w:p w14:paraId="54B2773E">
      <w:pPr>
        <w:widowControl/>
        <w:adjustRightInd w:val="0"/>
        <w:snapToGrid w:val="0"/>
        <w:spacing w:line="360" w:lineRule="auto"/>
        <w:ind w:firstLine="480" w:firstLineChars="200"/>
        <w:jc w:val="left"/>
        <w:rPr>
          <w:rFonts w:ascii="仿宋_GB2312" w:hAnsi="宋体" w:eastAsia="仿宋_GB2312"/>
          <w:snapToGrid w:val="0"/>
          <w:kern w:val="0"/>
          <w:sz w:val="24"/>
          <w:szCs w:val="24"/>
        </w:rPr>
      </w:pPr>
      <w:r>
        <w:rPr>
          <w:rFonts w:hint="eastAsia" w:ascii="仿宋_GB2312" w:hAnsi="宋体" w:eastAsia="仿宋_GB2312"/>
          <w:snapToGrid w:val="0"/>
          <w:color w:val="000000"/>
          <w:kern w:val="0"/>
          <w:sz w:val="24"/>
          <w:szCs w:val="24"/>
          <w:lang w:eastAsia="zh-Hans"/>
        </w:rPr>
        <w:t xml:space="preserve">                        </w:t>
      </w:r>
      <w:r>
        <w:rPr>
          <w:rFonts w:hint="eastAsia" w:ascii="仿宋_GB2312" w:hAnsi="宋体" w:eastAsia="仿宋_GB2312"/>
          <w:snapToGrid w:val="0"/>
          <w:kern w:val="0"/>
          <w:sz w:val="24"/>
          <w:szCs w:val="24"/>
          <w:lang w:eastAsia="zh-Hans"/>
        </w:rPr>
        <w:t xml:space="preserve">        </w:t>
      </w:r>
    </w:p>
    <w:p w14:paraId="5D955E76">
      <w:pPr>
        <w:widowControl/>
        <w:adjustRightInd w:val="0"/>
        <w:snapToGrid w:val="0"/>
        <w:spacing w:line="360" w:lineRule="auto"/>
        <w:ind w:firstLine="480" w:firstLineChars="200"/>
        <w:jc w:val="left"/>
        <w:rPr>
          <w:rFonts w:ascii="仿宋_GB2312" w:hAnsi="仿宋_GB2312" w:eastAsia="仿宋_GB2312" w:cs="仿宋_GB2312"/>
          <w:b/>
          <w:sz w:val="24"/>
          <w:szCs w:val="24"/>
          <w:u w:val="single"/>
        </w:rPr>
      </w:pPr>
      <w:r>
        <w:rPr>
          <w:rFonts w:hint="eastAsia" w:ascii="仿宋_GB2312" w:hAnsi="宋体" w:eastAsia="仿宋_GB2312"/>
          <w:snapToGrid w:val="0"/>
          <w:kern w:val="0"/>
          <w:sz w:val="24"/>
          <w:szCs w:val="24"/>
        </w:rPr>
        <w:t>乙</w:t>
      </w:r>
      <w:r>
        <w:rPr>
          <w:rFonts w:hint="eastAsia" w:ascii="仿宋_GB2312" w:hAnsi="宋体" w:eastAsia="仿宋_GB2312"/>
          <w:snapToGrid w:val="0"/>
          <w:kern w:val="0"/>
          <w:sz w:val="24"/>
          <w:szCs w:val="24"/>
          <w:lang w:eastAsia="zh-Hans"/>
        </w:rPr>
        <w:t>方</w:t>
      </w:r>
      <w:r>
        <w:rPr>
          <w:rFonts w:hint="eastAsia" w:ascii="仿宋_GB2312" w:hAnsi="宋体" w:eastAsia="仿宋_GB2312"/>
          <w:snapToGrid w:val="0"/>
          <w:kern w:val="0"/>
          <w:sz w:val="24"/>
          <w:szCs w:val="24"/>
        </w:rPr>
        <w:t>（盖章）</w:t>
      </w:r>
      <w:r>
        <w:rPr>
          <w:rFonts w:hint="eastAsia" w:ascii="仿宋_GB2312" w:hAnsi="宋体" w:eastAsia="仿宋_GB2312"/>
          <w:snapToGrid w:val="0"/>
          <w:kern w:val="0"/>
          <w:sz w:val="24"/>
          <w:szCs w:val="24"/>
          <w:lang w:eastAsia="zh-Hans"/>
        </w:rPr>
        <w:t>：</w:t>
      </w:r>
      <w:permStart w:id="55" w:edGrp="everyone"/>
      <w:r>
        <w:rPr>
          <w:rFonts w:hint="eastAsia" w:ascii="仿宋_GB2312" w:hAnsi="仿宋_GB2312" w:eastAsia="仿宋_GB2312" w:cs="仿宋_GB2312"/>
          <w:b/>
          <w:bCs/>
          <w:sz w:val="24"/>
          <w:szCs w:val="24"/>
          <w:u w:val="single"/>
        </w:rPr>
        <w:t>乙方单位全称</w:t>
      </w:r>
      <w:permEnd w:id="55"/>
    </w:p>
    <w:p w14:paraId="4655C602">
      <w:pPr>
        <w:ind w:firstLine="480" w:firstLineChars="200"/>
        <w:rPr>
          <w:rFonts w:ascii="仿宋_GB2312" w:hAnsi="宋体" w:eastAsia="仿宋_GB2312"/>
          <w:snapToGrid w:val="0"/>
          <w:color w:val="000000"/>
          <w:kern w:val="0"/>
          <w:sz w:val="24"/>
          <w:szCs w:val="24"/>
        </w:rPr>
      </w:pPr>
    </w:p>
    <w:p w14:paraId="2AABFDFC">
      <w:pPr>
        <w:ind w:firstLine="480" w:firstLineChars="200"/>
        <w:rPr>
          <w:rFonts w:ascii="仿宋_GB2312" w:hAnsi="宋体" w:eastAsia="仿宋_GB2312"/>
          <w:snapToGrid w:val="0"/>
          <w:color w:val="000000"/>
          <w:kern w:val="0"/>
          <w:sz w:val="24"/>
          <w:szCs w:val="24"/>
          <w:lang w:eastAsia="zh-Hans"/>
        </w:rPr>
      </w:pPr>
      <w:r>
        <w:rPr>
          <w:rFonts w:hint="eastAsia" w:ascii="仿宋_GB2312" w:hAnsi="宋体" w:eastAsia="仿宋_GB2312"/>
          <w:snapToGrid w:val="0"/>
          <w:color w:val="000000"/>
          <w:kern w:val="0"/>
          <w:sz w:val="24"/>
          <w:szCs w:val="24"/>
        </w:rPr>
        <w:t>乙方代表</w:t>
      </w:r>
      <w:r>
        <w:rPr>
          <w:rFonts w:hint="eastAsia" w:ascii="仿宋_GB2312" w:hAnsi="宋体" w:eastAsia="仿宋_GB2312"/>
          <w:snapToGrid w:val="0"/>
          <w:color w:val="000000"/>
          <w:kern w:val="0"/>
          <w:sz w:val="24"/>
          <w:szCs w:val="24"/>
          <w:lang w:eastAsia="zh-Hans"/>
        </w:rPr>
        <w:t>（签字）：</w:t>
      </w:r>
      <w:r>
        <w:rPr>
          <w:rFonts w:ascii="仿宋_GB2312" w:hAnsi="宋体" w:eastAsia="仿宋_GB2312"/>
          <w:snapToGrid w:val="0"/>
          <w:color w:val="000000"/>
          <w:kern w:val="0"/>
          <w:sz w:val="24"/>
          <w:szCs w:val="24"/>
          <w:lang w:eastAsia="zh-Hans"/>
        </w:rPr>
        <w:br w:type="page"/>
      </w:r>
    </w:p>
    <w:p w14:paraId="233B7C33">
      <w:pPr>
        <w:jc w:val="center"/>
        <w:rPr>
          <w:rFonts w:ascii="方正小标宋简体" w:hAnsi="方正小标宋简体" w:eastAsia="方正小标宋简体" w:cs="方正小标宋简体"/>
          <w:w w:val="90"/>
          <w:sz w:val="44"/>
          <w:szCs w:val="44"/>
        </w:rPr>
      </w:pPr>
      <w:r>
        <w:rPr>
          <w:rFonts w:hint="eastAsia" w:ascii="方正小标宋简体" w:hAnsi="方正小标宋简体" w:eastAsia="方正小标宋简体" w:cs="方正小标宋简体"/>
          <w:w w:val="90"/>
          <w:sz w:val="44"/>
          <w:szCs w:val="44"/>
        </w:rPr>
        <w:t>设备采购合同</w:t>
      </w:r>
    </w:p>
    <w:p w14:paraId="3C18673A">
      <w:pPr>
        <w:spacing w:line="360" w:lineRule="auto"/>
        <w:jc w:val="center"/>
        <w:rPr>
          <w:rFonts w:ascii="方正小标宋简体" w:hAnsi="方正小标宋简体" w:eastAsia="方正小标宋简体" w:cs="方正小标宋简体"/>
          <w:w w:val="90"/>
          <w:sz w:val="44"/>
          <w:szCs w:val="44"/>
        </w:rPr>
      </w:pPr>
      <w:r>
        <w:rPr>
          <w:rFonts w:hint="eastAsia" w:ascii="方正小标宋简体" w:hAnsi="方正小标宋简体" w:eastAsia="方正小标宋简体" w:cs="方正小标宋简体"/>
          <w:w w:val="90"/>
          <w:sz w:val="44"/>
          <w:szCs w:val="44"/>
        </w:rPr>
        <w:t>通用条款</w:t>
      </w:r>
    </w:p>
    <w:p w14:paraId="0F3CE67A">
      <w:pPr>
        <w:pStyle w:val="2"/>
        <w:ind w:firstLine="480" w:firstLineChars="200"/>
        <w:jc w:val="both"/>
        <w:rPr>
          <w:rFonts w:ascii="黑体" w:hAnsi="黑体" w:eastAsia="黑体" w:cs="黑体"/>
          <w:b w:val="0"/>
          <w:sz w:val="24"/>
          <w:szCs w:val="24"/>
        </w:rPr>
      </w:pPr>
      <w:bookmarkStart w:id="80" w:name="_Toc240120893"/>
      <w:r>
        <w:rPr>
          <w:rFonts w:hint="eastAsia" w:ascii="黑体" w:hAnsi="黑体" w:eastAsia="黑体" w:cs="黑体"/>
          <w:b w:val="0"/>
          <w:sz w:val="24"/>
          <w:szCs w:val="24"/>
        </w:rPr>
        <w:t>1 合同设备</w:t>
      </w:r>
      <w:bookmarkEnd w:id="80"/>
    </w:p>
    <w:p w14:paraId="2E6297F5">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1.1本合同约定设备的技术规格详见</w:t>
      </w:r>
      <w:r>
        <w:rPr>
          <w:rFonts w:hint="eastAsia" w:ascii="仿宋_GB2312" w:hAnsi="仿宋_GB2312" w:eastAsia="仿宋_GB2312" w:cs="仿宋_GB2312"/>
          <w:sz w:val="24"/>
          <w:szCs w:val="24"/>
          <w:highlight w:val="yellow"/>
        </w:rPr>
        <w:t>附件《</w:t>
      </w:r>
      <w:r>
        <w:rPr>
          <w:rFonts w:hint="eastAsia" w:ascii="仿宋_GB2312" w:hAnsi="仿宋_GB2312" w:eastAsia="仿宋_GB2312" w:cs="仿宋_GB2312"/>
          <w:sz w:val="24"/>
          <w:szCs w:val="24"/>
        </w:rPr>
        <w:t>技术协议书》。</w:t>
      </w:r>
    </w:p>
    <w:p w14:paraId="176C7057">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1.2本合同约定设备的技术规格及性能标准应与《技术协议书》中规定的相应标准一致。若《技术协议书》无相应规定或未签署《技术协议书》，设备的技术规格及性能标准则应符合相应的国家标准、其原产地国家有关部门最新颁布的相应正式标准、买方招标文件及卖方一切书面承诺中要求的技术标准。</w:t>
      </w:r>
    </w:p>
    <w:p w14:paraId="361E8762">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1.3在设备所有权转移到买方之前，有关设备的保险由卖方负责办理并承担保险费用。</w:t>
      </w:r>
    </w:p>
    <w:p w14:paraId="4C3C82E8">
      <w:pPr>
        <w:pStyle w:val="2"/>
        <w:ind w:firstLine="480" w:firstLineChars="200"/>
        <w:jc w:val="both"/>
        <w:rPr>
          <w:rFonts w:ascii="黑体" w:hAnsi="黑体" w:eastAsia="黑体" w:cs="黑体"/>
          <w:b w:val="0"/>
          <w:sz w:val="24"/>
          <w:szCs w:val="24"/>
        </w:rPr>
      </w:pPr>
      <w:bookmarkStart w:id="81" w:name="_Toc240120894"/>
      <w:r>
        <w:rPr>
          <w:rFonts w:hint="eastAsia" w:ascii="黑体" w:hAnsi="黑体" w:eastAsia="黑体" w:cs="黑体"/>
          <w:b w:val="0"/>
          <w:sz w:val="24"/>
          <w:szCs w:val="24"/>
        </w:rPr>
        <w:t>2 包装</w:t>
      </w:r>
      <w:bookmarkEnd w:id="81"/>
    </w:p>
    <w:p w14:paraId="4876E2FC">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2.1设备的包装需采用国家标准，没有国家标准的采用行业标准，没有行业标准的应当按照通用的方式包装，没有通用方式的，应当采取足以保护设备的包装方式。这种包装应适于长途运输，并有良好的防潮、防锈和防野蛮装卸等保护措施，以确保设备在运输过程中不受损伤安全抵运现场。卖方应承担由于其包装、防护不妥而引起的设备锈蚀、损坏、丢失等任何损失的责任和费用。</w:t>
      </w:r>
    </w:p>
    <w:p w14:paraId="13EEBC2F">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2.2每件包装应附有详细的装箱单和质量证书各两套，一套在包装箱里，一套在包装箱外。</w:t>
      </w:r>
    </w:p>
    <w:p w14:paraId="48B61A5C">
      <w:pPr>
        <w:pStyle w:val="2"/>
        <w:ind w:firstLine="480" w:firstLineChars="200"/>
        <w:jc w:val="both"/>
        <w:rPr>
          <w:rFonts w:ascii="黑体" w:hAnsi="黑体" w:eastAsia="黑体" w:cs="黑体"/>
          <w:b w:val="0"/>
          <w:sz w:val="24"/>
          <w:szCs w:val="24"/>
        </w:rPr>
      </w:pPr>
      <w:bookmarkStart w:id="82" w:name="_Toc240120895"/>
      <w:r>
        <w:rPr>
          <w:rFonts w:hint="eastAsia" w:ascii="黑体" w:hAnsi="黑体" w:eastAsia="黑体" w:cs="黑体"/>
          <w:b w:val="0"/>
          <w:sz w:val="24"/>
          <w:szCs w:val="24"/>
        </w:rPr>
        <w:t>3 运输标记</w:t>
      </w:r>
      <w:bookmarkEnd w:id="82"/>
    </w:p>
    <w:p w14:paraId="0D1E199C">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3.1卖方应在每一包装箱邻近的四个侧面用不易褪色的油漆以醒目的中文印刷字体标明以下各项：</w:t>
      </w:r>
    </w:p>
    <w:p w14:paraId="56C93582">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3.1.1收货人</w:t>
      </w:r>
    </w:p>
    <w:p w14:paraId="0016B324">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3.1.2合同号</w:t>
      </w:r>
    </w:p>
    <w:p w14:paraId="01E329AC">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3.1.3发货标记（唛头）</w:t>
      </w:r>
    </w:p>
    <w:p w14:paraId="02C26ACE">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3.1.4设备的名称、品目号、箱号</w:t>
      </w:r>
    </w:p>
    <w:p w14:paraId="77880E42">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3.1.5毛重/净重（公斤）</w:t>
      </w:r>
    </w:p>
    <w:p w14:paraId="3997F52E">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3.1.6尺寸（长×宽×高，以厘米计）</w:t>
      </w:r>
    </w:p>
    <w:p w14:paraId="15A5C027">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3.2根据设备的特点和运输的不同要求，卖方应在每件包装箱的两侧以国内贸易相宜的运输标志标明“重心”和“吊装点”，并以清晰的字样在包装箱上注明“小心轻放”、“勿倒置”、“防潮”等适当的标志，以方便装卸和搬运。</w:t>
      </w:r>
    </w:p>
    <w:p w14:paraId="12C954DD">
      <w:pPr>
        <w:pStyle w:val="2"/>
        <w:ind w:firstLine="480" w:firstLineChars="200"/>
        <w:jc w:val="both"/>
        <w:rPr>
          <w:rFonts w:ascii="黑体" w:hAnsi="黑体" w:eastAsia="黑体" w:cs="黑体"/>
          <w:b w:val="0"/>
          <w:sz w:val="24"/>
          <w:szCs w:val="24"/>
        </w:rPr>
      </w:pPr>
      <w:bookmarkStart w:id="83" w:name="_Toc240120896"/>
      <w:r>
        <w:rPr>
          <w:rFonts w:hint="eastAsia" w:ascii="黑体" w:hAnsi="黑体" w:eastAsia="黑体" w:cs="黑体"/>
          <w:b w:val="0"/>
          <w:sz w:val="24"/>
          <w:szCs w:val="24"/>
        </w:rPr>
        <w:t>4 检验</w:t>
      </w:r>
      <w:bookmarkEnd w:id="83"/>
    </w:p>
    <w:p w14:paraId="50C95AB5">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4.1卖方在发货之前，对设备有关外观、质量、规格、性能、数量和重量进行准确的和全面的检验，并出具其设备符合本合同规定的质量保证书，但不应将其视为是对设备质量、规格、性能、数量或重量的最终定论。质量保证书应附有写明制造商检验的细节、结果的说明。设备到货并安装调试正常运行后，买方按照《技术协议书》和相关标准进行检验，检验合格后，买方签署最终验收报告。</w:t>
      </w:r>
    </w:p>
    <w:p w14:paraId="57A9A2FA">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4.2国家强制检验检测的设备，需要经过国家有关部门进行检验检测，卖方保证提供的设备通过其检验并承担费用。</w:t>
      </w:r>
    </w:p>
    <w:p w14:paraId="21DE26C4">
      <w:pPr>
        <w:pStyle w:val="2"/>
        <w:ind w:firstLine="480" w:firstLineChars="200"/>
        <w:jc w:val="both"/>
        <w:rPr>
          <w:rFonts w:ascii="黑体" w:hAnsi="黑体" w:eastAsia="黑体" w:cs="黑体"/>
          <w:b w:val="0"/>
          <w:sz w:val="24"/>
          <w:szCs w:val="24"/>
        </w:rPr>
      </w:pPr>
      <w:bookmarkStart w:id="84" w:name="_Toc240120897"/>
      <w:r>
        <w:rPr>
          <w:rFonts w:hint="eastAsia" w:ascii="黑体" w:hAnsi="黑体" w:eastAsia="黑体" w:cs="黑体"/>
          <w:b w:val="0"/>
          <w:sz w:val="24"/>
          <w:szCs w:val="24"/>
        </w:rPr>
        <w:t>5 权利担保</w:t>
      </w:r>
      <w:bookmarkEnd w:id="84"/>
    </w:p>
    <w:p w14:paraId="6281EDCA">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5.1卖方所交付的设备，必须是第三方不能提出任何权利或要求的设备，卖方应担保设备不存在订立本合同时不为买方所知的第三方的权利（包括但不限于抵押权、留置权等）或行政、司法查封。</w:t>
      </w:r>
    </w:p>
    <w:p w14:paraId="2D8C4E41">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5.2卖方应保证第三方对其提交的设备不得以侵权或其他类似理由提出合法要求，如侵犯知识产权等。</w:t>
      </w:r>
    </w:p>
    <w:p w14:paraId="7AA2CE5B">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5.3任何第三方如果提出侵权指控，卖方应与第三方交涉，并承担由此引起的一切法律责任和费用以及给买方所造成的损失。</w:t>
      </w:r>
    </w:p>
    <w:p w14:paraId="52D3627B">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5.4买方应在已知道第三方的权利或要求后的一段合理时间内，将此权利或要求的性质通知卖方。</w:t>
      </w:r>
    </w:p>
    <w:p w14:paraId="1275F868">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5.5如卖方需要根据买方提供的技术协议书或图纸进行生产并供货的，根据该技术协议书或图纸所知悉、掌握或改进的任何技术、信息（包括但不限于商标、专利、产品外观或产品生产制造的过程、方法、技术）所涉及的全部知识产权（包括但不限于所有权、使用权、申请权、许可权等）均归买方、买方母公司或母公司其他关联方所有。</w:t>
      </w:r>
    </w:p>
    <w:p w14:paraId="52C75A96">
      <w:pPr>
        <w:pStyle w:val="2"/>
        <w:ind w:firstLine="480" w:firstLineChars="200"/>
        <w:jc w:val="both"/>
        <w:rPr>
          <w:rFonts w:ascii="黑体" w:hAnsi="黑体" w:eastAsia="黑体" w:cs="黑体"/>
          <w:b w:val="0"/>
          <w:sz w:val="24"/>
          <w:szCs w:val="24"/>
        </w:rPr>
      </w:pPr>
      <w:bookmarkStart w:id="85" w:name="_Toc240120898"/>
      <w:r>
        <w:rPr>
          <w:rFonts w:hint="eastAsia" w:ascii="黑体" w:hAnsi="黑体" w:eastAsia="黑体" w:cs="黑体"/>
          <w:b w:val="0"/>
          <w:sz w:val="24"/>
          <w:szCs w:val="24"/>
        </w:rPr>
        <w:t>6 交货</w:t>
      </w:r>
      <w:bookmarkEnd w:id="85"/>
    </w:p>
    <w:p w14:paraId="44EB1E29">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6.1卖方应在本合同规定的到货时间前传真、邮件等给买方详细交货清单，包括合同号、设备名称、规格、数量、总毛重、总体积（立方米）和每一包装箱的尺寸（长×宽×高）、单价和总价、备妥待运日期，以及设备在运输和仓储中的特殊要求和注意事项。</w:t>
      </w:r>
    </w:p>
    <w:p w14:paraId="0AF0D36E">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6.2卖方应在设备装运完成后当天以传真、邮件等的形式通知买方合同号、设备名称、数量、毛重、体积（立方米）、发票金额、启运日期、预计到达日期。</w:t>
      </w:r>
    </w:p>
    <w:p w14:paraId="53EBCFD8">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6.3技术资料：签订本合同后，卖方应按买方要求免费提供给买方包括但不限于：设备总装图、安装尺寸图、设备基础图、操作手册、使用说明、维修指南、服务手册等买方所需要的、与执行本合同有关的各类资料，如上述资料未按买方要求交付的，买方有权拒绝对合同设备验收（包括预验收和最终验收），并且卖方应赔偿因此给买方造成的一切损失。</w:t>
      </w:r>
    </w:p>
    <w:p w14:paraId="189163BE">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6.4交货方式的释义</w:t>
      </w:r>
    </w:p>
    <w:p w14:paraId="1CAC346F">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6.4.1交钥匙方式：卖方负责合同设备的设计、制造、运输、定点卸货、安装、调试、培训及售后服务等所有内容，直至买方验收合格并交付使用。</w:t>
      </w:r>
    </w:p>
    <w:p w14:paraId="156459F2">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6.4.2指定地点交货：卖方依照合同约定将合同设备卸载至约定地点，经买方根据合同所约定的数量、型号及配置等内容逐一确认无误后，双方完成交付手续，同时卖方应指导协助买方进行安装调试等工作。</w:t>
      </w:r>
    </w:p>
    <w:p w14:paraId="45DB67AA">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6.4.3自提：买方依照合同约定到卖方所在地提取合同设备，经买方根据合同所约定的数量、型号及配置等内容逐一确认无误后，双方完成交付手续。</w:t>
      </w:r>
    </w:p>
    <w:p w14:paraId="0D24BAEE">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6.5到货后，买卖双方代表办理移交手续，此时的移交不代表卖方合同设备所有权的转移，合同设备的保管责任仍然由卖方承担。移交内容包括：合同设备、硬件、软件、图纸、资料、质量证明文件等。</w:t>
      </w:r>
    </w:p>
    <w:p w14:paraId="5523EB97">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6.6卖方在交付设备前需通知买方。</w:t>
      </w:r>
    </w:p>
    <w:p w14:paraId="5E11E35C">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6.7风险的转移：</w:t>
      </w:r>
    </w:p>
    <w:p w14:paraId="6F4C22A6">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设备最终验收合格后，设备所有权由卖方转移至买方。如果在对该设备进行最终验收之前，卖方被解散、破产、收购等，其接收方应无条件承担该合同的所有责任和义务，且卖方应自出现上述事项之日起一个月内书面通知买方，如买方没有在一个月内收到明确责任义务的书面通知，则该设备所有权自动由卖方转移至买方，余款作为该设备的后续质量维护费用，买方无须再支付给卖方。在设备所有权转移之前，设备毁损、灭失等风险由卖方承担。</w:t>
      </w:r>
    </w:p>
    <w:p w14:paraId="56DA3F87">
      <w:pPr>
        <w:pStyle w:val="2"/>
        <w:ind w:firstLine="480" w:firstLineChars="200"/>
        <w:jc w:val="both"/>
        <w:rPr>
          <w:rFonts w:ascii="黑体" w:hAnsi="黑体" w:eastAsia="黑体" w:cs="黑体"/>
          <w:b w:val="0"/>
          <w:sz w:val="24"/>
          <w:szCs w:val="24"/>
        </w:rPr>
      </w:pPr>
      <w:bookmarkStart w:id="86" w:name="_Toc240120899"/>
      <w:r>
        <w:rPr>
          <w:rFonts w:hint="eastAsia" w:ascii="黑体" w:hAnsi="黑体" w:eastAsia="黑体" w:cs="黑体"/>
          <w:b w:val="0"/>
          <w:sz w:val="24"/>
          <w:szCs w:val="24"/>
        </w:rPr>
        <w:t>7 安装、调试</w:t>
      </w:r>
      <w:bookmarkEnd w:id="86"/>
    </w:p>
    <w:p w14:paraId="0DC3F663">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7.1 卖方应自带用以安装、调试过程中所需的各种工具、仪器、仪表及易损件。在安装、调试过程中，卖方应自负其工作人员的食宿、交通等费用。</w:t>
      </w:r>
    </w:p>
    <w:p w14:paraId="31CFED5C">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7.2在安装、调试过程中，安装场地及施工人员安全，由卖方负责。由于安装、调试等原因造成买方或他人人身损害或财产损失的，由卖方承担赔偿责任。</w:t>
      </w:r>
    </w:p>
    <w:p w14:paraId="10D1C182">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7.3</w:t>
      </w:r>
      <w:r>
        <w:rPr>
          <w:rFonts w:hint="eastAsia" w:ascii="仿宋_GB2312" w:hAnsi="仿宋_GB2312" w:eastAsia="仿宋_GB2312" w:cs="仿宋_GB2312"/>
          <w:bCs/>
          <w:sz w:val="24"/>
          <w:szCs w:val="24"/>
        </w:rPr>
        <w:t xml:space="preserve"> </w:t>
      </w:r>
      <w:r>
        <w:rPr>
          <w:rFonts w:hint="eastAsia" w:ascii="仿宋_GB2312" w:hAnsi="仿宋_GB2312" w:eastAsia="仿宋_GB2312" w:cs="仿宋_GB2312"/>
          <w:sz w:val="24"/>
          <w:szCs w:val="24"/>
        </w:rPr>
        <w:t>卖方须对安装、调试过程中造成的买方或他人人身损害或财产损失承担赔偿责任。</w:t>
      </w:r>
    </w:p>
    <w:p w14:paraId="59F95EF5">
      <w:pPr>
        <w:pStyle w:val="2"/>
        <w:ind w:firstLine="480" w:firstLineChars="200"/>
        <w:jc w:val="both"/>
        <w:rPr>
          <w:rFonts w:ascii="黑体" w:hAnsi="黑体" w:eastAsia="黑体" w:cs="黑体"/>
          <w:b w:val="0"/>
          <w:sz w:val="24"/>
          <w:szCs w:val="24"/>
        </w:rPr>
      </w:pPr>
      <w:bookmarkStart w:id="87" w:name="_Toc240120900"/>
      <w:r>
        <w:rPr>
          <w:rFonts w:hint="eastAsia" w:ascii="黑体" w:hAnsi="黑体" w:eastAsia="黑体" w:cs="黑体"/>
          <w:b w:val="0"/>
          <w:sz w:val="24"/>
          <w:szCs w:val="24"/>
        </w:rPr>
        <w:t>8 价款与支付</w:t>
      </w:r>
      <w:bookmarkEnd w:id="87"/>
    </w:p>
    <w:p w14:paraId="4EBCC8D3">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8.1合同价格以不含税价格为准。若因国家税收法律法规或政策调整对本合同业务的税目、税率等产生影响，双方确定本合同约定的各项业务的不含税价格不做调整，各项业务的含税价格依法依规进行调整。</w:t>
      </w:r>
    </w:p>
    <w:p w14:paraId="3B712F1A">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8.2本合同约定的含税总价包括但不限于全部（全新）产品价、备品备件价、专用工具价、运杂费（包括现场卸车费）、设计、制造、安装（或指导安装）、调试、验收、培训、技术及售后服务费、技术资料费等所有费用的总和。</w:t>
      </w:r>
    </w:p>
    <w:p w14:paraId="0028DA3B">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8.3双方约定的付款条件执行中，满足付款条件后甲方在30日内完成付款不被视为付款延迟；若甲方在满足付款条件30日后尚未完成付款的，付款延迟违约计算从满足付款条件第31日起开始计算。</w:t>
      </w:r>
    </w:p>
    <w:p w14:paraId="3A48BE7C">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8.4乙方结算时，必须使用合法有效并经甲方认可的增值税专用发票，否则不予结算。因发票违规给甲方造成的增值税、所得税等损失，由乙方承担相关责任，包括但不限于税款、滞纳金、罚款及其它相关损失。</w:t>
      </w:r>
    </w:p>
    <w:p w14:paraId="13C0659B">
      <w:pPr>
        <w:pStyle w:val="2"/>
        <w:ind w:firstLine="480" w:firstLineChars="200"/>
        <w:jc w:val="both"/>
        <w:rPr>
          <w:rFonts w:ascii="黑体" w:hAnsi="黑体" w:eastAsia="黑体" w:cs="黑体"/>
          <w:b w:val="0"/>
          <w:sz w:val="24"/>
          <w:szCs w:val="24"/>
        </w:rPr>
      </w:pPr>
      <w:bookmarkStart w:id="88" w:name="_Toc240120901"/>
      <w:r>
        <w:rPr>
          <w:rFonts w:hint="eastAsia" w:ascii="黑体" w:hAnsi="黑体" w:eastAsia="黑体" w:cs="黑体"/>
          <w:b w:val="0"/>
          <w:sz w:val="24"/>
          <w:szCs w:val="24"/>
        </w:rPr>
        <w:t>9 质量保证及售后服务</w:t>
      </w:r>
      <w:bookmarkEnd w:id="88"/>
    </w:p>
    <w:p w14:paraId="5706A2E8">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9.1卖方保证其提供的合同设备是全新的、未使用的、未经改装的、包装完好的、原厂正品，采用最佳材料和一流工艺的，并在各个方面符合本合同规定的质量、规格和性能要求。卖方保证其合同设备经过正确安装、合理操作和维护保养，在合同设备寿命期内运转良好。</w:t>
      </w:r>
    </w:p>
    <w:p w14:paraId="34A46F94">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9.2卖方承诺其提供的设备不存在任何产品缺陷，否则因卖方提供的设备存在产品缺陷而给买方造成的一切后果和损失由卖方承担。</w:t>
      </w:r>
    </w:p>
    <w:p w14:paraId="23595DAE">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9.3卖方承诺因其提供的设备存在瑕疵或产品缺陷而导致第三方向买方主张权利或提起诉讼的，卖方应积极配合买方进行解决或应诉，因此而发生的一切费用（包括但不限于诉讼费、仲裁费、律师费、交通费、通讯费、住宿费、餐饮费、调查取证费等）由卖方承担。</w:t>
      </w:r>
    </w:p>
    <w:p w14:paraId="366B98AE">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9.4合同约定的设备在质量保证期届满前，如有质量问题，卖方应在收到买方或设备使用单位通知后2小时内做出回复，如需到现场解决问题，卖方应派工作人员在24小时内到达设备使用现场，并按买方要求的时间免费修复、更换相关部件，将设备修复完成。</w:t>
      </w:r>
    </w:p>
    <w:p w14:paraId="58CD1517">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9.5卖方负责在买方指定的地点免费为买方培训操作及维修人员，培训内容包括：基本原理、操作使用、安全操作注意事项以及维修保养等内容。</w:t>
      </w:r>
    </w:p>
    <w:p w14:paraId="4EAEF0F1">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9.6质量保证期满后，卖方保证向买方提供及时的、质优的、价格优惠的技术服务和备品备件供应。</w:t>
      </w:r>
    </w:p>
    <w:p w14:paraId="285E225F">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9.7质量保证期满后，如出现质量问题，卖方也应及时修复和更换，且只收取成本费，费用由买方承担，卖方对设备质量问题所负的责任直到设备使用寿命周期结束。</w:t>
      </w:r>
    </w:p>
    <w:p w14:paraId="3E5961AA">
      <w:pPr>
        <w:pStyle w:val="2"/>
        <w:ind w:firstLine="480" w:firstLineChars="200"/>
        <w:jc w:val="both"/>
        <w:rPr>
          <w:rFonts w:ascii="黑体" w:hAnsi="黑体" w:eastAsia="黑体" w:cs="黑体"/>
          <w:b w:val="0"/>
          <w:sz w:val="24"/>
          <w:szCs w:val="24"/>
        </w:rPr>
      </w:pPr>
      <w:bookmarkStart w:id="89" w:name="_Toc240120902"/>
      <w:r>
        <w:rPr>
          <w:rFonts w:hint="eastAsia" w:ascii="黑体" w:hAnsi="黑体" w:eastAsia="黑体" w:cs="黑体"/>
          <w:b w:val="0"/>
          <w:sz w:val="24"/>
          <w:szCs w:val="24"/>
        </w:rPr>
        <w:t>10法定责任及合规责任</w:t>
      </w:r>
      <w:bookmarkEnd w:id="89"/>
    </w:p>
    <w:p w14:paraId="060497B8">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10.1卖方需遵从国家有关的法律、法规，缴纳有关的法定费用和税项。若卖方未按期交纳法定费用、税项，则卖方须补偿买方由此造成的所有费用及损失。</w:t>
      </w:r>
    </w:p>
    <w:p w14:paraId="793D22F7">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10.2除非本合同中另有规定或买方同意，卖方不得全部或部分转让本合同项下的权利义务。</w:t>
      </w:r>
    </w:p>
    <w:p w14:paraId="3973559E">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10.3买卖双方同意在履行本合同期间双方之间交换、披露、传递或通信的所有工业和商业信息，任何附加文件或相关文件，应该被视为商业秘密，双方应该按照此处规定仅用于本合同的签订和履行。</w:t>
      </w:r>
    </w:p>
    <w:p w14:paraId="18A859DB">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10.4除对方预先书面同意外，任何一方在本合同签订和履行期间或本合同终止后不得向第三方披露在本合同履行过程中知悉的与对方有关的任何商业秘密。</w:t>
      </w:r>
    </w:p>
    <w:p w14:paraId="0D8BD6AA">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10.5卖方保证截至本合同签署之日，卖方及其子公司和关联公司未被列入任何国家或者地区的政府机构或者相关国际组织等发布的限制、制裁或反制清单，未隐瞒任何阻碍及可能阻碍此次交易的相关信息。如在本合同签署后发生上述情形，卖方应当在获知被列入清单后24小时之内以书面形式通知买方。</w:t>
      </w:r>
    </w:p>
    <w:p w14:paraId="48B702C3">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10.6卖方已经充分了解并确保会严格遵守开展业务所需适用国家或者地区的出口管制、经济制裁和反制裁相关法律法规（简称“出口管制与制裁法律法规”）。卖方确认不存在任何因违反所需适用国家或者地区出口管制与制裁法律或其他因卖方原因导致本合同无法履行或者延迟履行的情形。如果卖方在本合同履行过程中发生或者预见到可能发生该等情形，应当及时以书面形式告知买方。如由于卖方未履行前述义务或其他可归责于卖方的原因导致延迟履行供货或无法按照本合同约定履行供货义务，卖方应承担违约责任，并承担买方因此受到的全部损失。</w:t>
      </w:r>
    </w:p>
    <w:p w14:paraId="2FF1C5DD">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10.7如本合同项下卖方所销售或者提供的任何产品、零部件、软件、技术和服务（以下统称“物项”）有可能受任何国家或者地区出口管制与制裁法律法规管辖，卖方承诺遵守全部所需适用的有关规定，并确保向买方提供该等物项的合法性与合规性。对于受到出口管制管辖的物项，卖方应当书面告知买方受控物项的全部管制信息，包括但不限于原产国、发运国、ECCN、USML编码等方面的特殊限制、物项管控要求等。</w:t>
      </w:r>
    </w:p>
    <w:p w14:paraId="69406CA6">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10.8如因卖方不遵守销售物项所需适用国家或地区的出口管制与制裁法律法规及监管政策而使买方遭受任何损失、费用、索赔、处罚、诉讼因由、损害、责任和费用（包括但不限于律师费，所有诉讼和/或和解费用以及法院费用），卖方应当就此承担全部赔偿责任。买方有权视情况暂停或终止其对相关合同的履行。在该等情况下，买方不构成对相关合同的违约、且不免除卖方履行合同的义务。</w:t>
      </w:r>
    </w:p>
    <w:p w14:paraId="67951370">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10.9出于项目合作目的，买方已经或将要向卖方提供有关项目的保密信息。“保密信息”指买方现在或将来向卖方提供的与本协议有关的任何信息和数据，包括但不限于任何类型的经营信息、技术信息、商务信息、人力资源管理信息及财务信息等，无论该等信息以何种形式提供，如纸质文件、录音、录像、照片、磁（光）盘、数据电文（包括电传、电报、传真、电子数据交换、电子邮件、电子文档）或其他，也无论该信息是以口头还是书面方式、是否标识为保密、也无论该等信息储存于何种载体（包括电子信息）。卖方承诺：</w:t>
      </w:r>
    </w:p>
    <w:p w14:paraId="5D17A88C">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1）卖方仅能将买方提供的保密信息用于本协议所约定的项目并承担保密义务。</w:t>
      </w:r>
    </w:p>
    <w:p w14:paraId="6FA9DC2C">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2）卖方将采取有效措施使用买方提供的保密信息，只将该等保密信息提供给本方负责决策或实施合作事项的具体参与人员，卖方及其相关人员不得以任何方式或形式散布、披露或传播给该范围以外的人（包括卖方关联机构），也不得允许任何保密信息被泄漏、被披露、被交流。</w:t>
      </w:r>
    </w:p>
    <w:p w14:paraId="6270719A">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3）如果卖方为项目需要，而不得不向该第三方披露保密信息，则卖方应事先从买方得到书面同意。卖方应在披露保密信息之前，按照与本协议相同的保护程度与该第三方签署一份保密协议。若上述第三方（包括其股东、高管、雇员）发生泄密，卖方应与该第三方承担连带责任。</w:t>
      </w:r>
    </w:p>
    <w:p w14:paraId="0EC31743">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4）如卖方得悉买方的任何保密信息遭侵犯或疑似侵权，卖方应立即通知买方。如果买方决定就侵权行为进行起诉，或以其他方式停止或阻止该实际或可能发生的侵权行为，卖方尽最大限度予以协助。 </w:t>
      </w:r>
    </w:p>
    <w:p w14:paraId="6D60118C">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5）卖方不得在世界任何地方就保密信息进行升级、变更和/或改进，亦不得直接或间接提交或促使提交专利或著作权或其它权利的申请，也不得以其名义取得或促使以其他人名义取得任何专利或其它权利注册。</w:t>
      </w:r>
    </w:p>
    <w:p w14:paraId="198E0825">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6）卖方应遵从买方不时发出的有关使用、处理和保管保密信息的任何指令或政策，并按照买方的要求将本协议项下保密信息的使用情况向买方汇报。 </w:t>
      </w:r>
    </w:p>
    <w:p w14:paraId="78DB36A6">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7）卖方不得为第三方利益使用保密信息，不得非为实现双方合作目的使用保密信息，不得对保密信息采取任何反向工程、反向编译或反向分解等行为。</w:t>
      </w:r>
    </w:p>
    <w:p w14:paraId="0CCC7BE3">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8）双方合作期间形成的与本协议有关的任何信息和数据受本协议约束。</w:t>
      </w:r>
    </w:p>
    <w:p w14:paraId="1BB9776D">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10.10卖方在双方合作期间严格承诺遵循中国国家法律法规和政策规章的要求，确保数据合规，始终遵循数据搜集、存储、使用、处理、传输的合法性原则、正当性和必要性原则、透明度原则、安全性原则和数据主体权利保障原则，确保合同签约履约过程中所涉及到的所有个人隐私、个人信息与敏感信息、企业商业数据、大数据分析结果、公共数据等均得到尊重和保护。卖方承诺：</w:t>
      </w:r>
    </w:p>
    <w:p w14:paraId="352760C6">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数据收集必须基于合法授权，卖方需向数据主体明确告知数据用途，并获得明确同意；卖方处理数据应当符合法律、法规和强制性标准的规定，不得从事危害国家安全、公共利益的数据处理活动，不得非法收集、使用、加工、传输、买卖、提供、公开他人个人信息，不得通过误导、欺诈、胁迫等方式处理个人信息。</w:t>
      </w:r>
      <w:r>
        <w:rPr>
          <w:rFonts w:hint="eastAsia" w:ascii="MS Gothic" w:hAnsi="MS Gothic" w:eastAsia="MS Gothic" w:cs="MS Gothic"/>
          <w:sz w:val="24"/>
          <w:szCs w:val="24"/>
        </w:rPr>
        <w:t>‌</w:t>
      </w:r>
    </w:p>
    <w:p w14:paraId="42B84D0B">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2）卖方在存储数据时需采取严格的安全措施，通过加密、访问控制等措施确保数据的完整性和机密性；在使用和传输数据时，卖方需确保数据使用符合收集时的声明，不得超出必要范围；跨境数据传输时，需符合法律规定的合规要求。卖方需确保数据的收集、存储、使用、传输和销毁等过程符合法律要求，防止数据泄露、滥用和侵犯个人隐私，遵守相关的法律法规、行业准则和道德规范，以保护数据主体的合法权益。</w:t>
      </w:r>
      <w:r>
        <w:rPr>
          <w:rFonts w:hint="eastAsia" w:ascii="MS Gothic" w:hAnsi="MS Gothic" w:eastAsia="MS Gothic" w:cs="MS Gothic"/>
          <w:sz w:val="24"/>
          <w:szCs w:val="24"/>
        </w:rPr>
        <w:t>‌</w:t>
      </w:r>
    </w:p>
    <w:p w14:paraId="337072EB">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3）如需要数据共享时需取得买方的书面同意并确保各方在使用数据时符合合规要求；当数据不再需要时，卖方需采取适当的措施彻底销毁数据，防止其被恢复和滥用。</w:t>
      </w:r>
    </w:p>
    <w:p w14:paraId="7BF565A1">
      <w:pPr>
        <w:pStyle w:val="2"/>
        <w:ind w:firstLine="480" w:firstLineChars="200"/>
        <w:jc w:val="both"/>
        <w:rPr>
          <w:rFonts w:ascii="黑体" w:hAnsi="黑体" w:eastAsia="黑体" w:cs="黑体"/>
          <w:b w:val="0"/>
          <w:sz w:val="24"/>
          <w:szCs w:val="24"/>
        </w:rPr>
      </w:pPr>
      <w:bookmarkStart w:id="90" w:name="_Toc240120903"/>
      <w:r>
        <w:rPr>
          <w:rFonts w:hint="eastAsia" w:ascii="黑体" w:hAnsi="黑体" w:eastAsia="黑体" w:cs="黑体"/>
          <w:b w:val="0"/>
          <w:sz w:val="24"/>
          <w:szCs w:val="24"/>
        </w:rPr>
        <w:t>11 违约责任</w:t>
      </w:r>
      <w:bookmarkEnd w:id="90"/>
    </w:p>
    <w:p w14:paraId="1048BD8A">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11.1卖方应承担提供的设备与本合同约定不符的一切责任，买方有权在检验、安装、调试、验收测试期限内、质量保证期内等任何时间提出索赔，买方有权按下述一种或多种方法要求卖方赔偿：</w:t>
      </w:r>
    </w:p>
    <w:p w14:paraId="519C07E9">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11.1.1卖方同意买方拒收设备并把被与拒收设备等值的价款在买方要求的时间内以本合同规定的货币付给买方，卖方承担因此而发生的一切损失和费用，包括但不限于同期银行贷款利息、银行费用、运输和保险费、检验费、仓储和装卸费以及为保管和保护被拒绝设备所需要的其他必需的费用，并赔偿因此给买方造成的损失。</w:t>
      </w:r>
    </w:p>
    <w:p w14:paraId="69E858FF">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11.1.2根据设备的瑕疵和受损程度以及买方遭受损失的金额，经买方同意降低设备价格。</w:t>
      </w:r>
    </w:p>
    <w:p w14:paraId="11AB294C">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11.1.3更换有缺陷的零件、部件、设备或修理缺陷部分，以达到本合同规定的规格、质量和性能，卖方承担一切费用和风险并负担买方遭受的一切损失，同时卖方应相应延长被修理或更换设备的质量保证期。</w:t>
      </w:r>
    </w:p>
    <w:p w14:paraId="6E5C0958">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11.2如果买方就卖方的设备质量问题提出索赔通知后10日内卖方未能予以答复，该索赔视为已被卖方接受。若卖方未能在买方提出索赔通知后10日内或买方同意的更长一些的时间内，按买方同意的上述任何一种方式处理索赔事宜，买方将从货款中扣回索赔金额，同时保留进一步要求赔偿的权利。</w:t>
      </w:r>
    </w:p>
    <w:p w14:paraId="5BDF72C6">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11.3如果卖方未能按期到货，卖方应向买方支付违约金，违约金比率为每迟交壹日，按合同总价的10‰计算，如违约金金额超过合同总价款的20%，买方有权就卖方违约而解除本合同，且卖方仍须支付上述违约金，并赔偿由此给买方造成的一切损失。</w:t>
      </w:r>
      <w:r>
        <w:rPr>
          <w:rFonts w:hint="eastAsia" w:ascii="仿宋_GB2312" w:hAnsi="仿宋_GB2312" w:eastAsia="仿宋_GB2312" w:cs="仿宋_GB2312"/>
          <w:sz w:val="24"/>
          <w:szCs w:val="24"/>
        </w:rPr>
        <w:br w:type="textWrapping"/>
      </w:r>
      <w:r>
        <w:rPr>
          <w:rFonts w:hint="eastAsia" w:ascii="仿宋_GB2312" w:hAnsi="仿宋_GB2312" w:eastAsia="仿宋_GB2312" w:cs="仿宋_GB2312"/>
          <w:sz w:val="24"/>
          <w:szCs w:val="24"/>
        </w:rPr>
        <w:t xml:space="preserve">   11.4如卖方未按合同专用条款1.5条履行义务，从逾期之日起卖方每天按合同总价款的10‰支付给买方违约金，如违约金金额超过合同总价款的20%或者设备未能通过最终验收，买方有权就卖方违约而解除本合同，且卖方仍须支付上述违约金，并返还买方支付的设备款，并赔偿由此给买方造成的一切损失。</w:t>
      </w:r>
    </w:p>
    <w:p w14:paraId="2642EEDF">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11.5买方延期付款时（有正当拒付理由者除外），每日按延付金额的3‰向卖方偿付延期付款违约金，但违约金总额不超过延付金额的50‰。</w:t>
      </w:r>
    </w:p>
    <w:p w14:paraId="70D2ABCA">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11.6如卖方违反合同通用条款9.4条，则买方有权视情况扣除部分或全部质量保证金作为卖方的违约金，并且卖方应赔偿因此给买方造成的一切损失。卖方不能及时到现场履行质量维修义务，每延迟一天应承担合同价款20‰的违约金（合同额不足10万元按照2000元/天计取），且不免除维修的责任。违约金在质保金中扣除。</w:t>
      </w:r>
    </w:p>
    <w:p w14:paraId="5D1548DC">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11.7因发票违规给买方造成的增值税、所得税等损失，由卖方承担相关责任，包括但不限于税款、滞纳金、罚款及其它相关损失。</w:t>
      </w:r>
    </w:p>
    <w:p w14:paraId="14991018">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11.8如果卖方违反本合同的上述约定或其他约定（包括本合同及所有附件）的，除应按本合同约定赔偿损失及违约金外，还应赔偿包括但不限于买方因此支出的或预计支付的诉讼费、保全申请费、保全保险费、鉴定费、评估费、司法审计费、拍卖费、律师费等一切费用</w:t>
      </w:r>
    </w:p>
    <w:p w14:paraId="4F0B18F9">
      <w:pPr>
        <w:pStyle w:val="2"/>
        <w:ind w:firstLine="480" w:firstLineChars="200"/>
        <w:jc w:val="both"/>
        <w:rPr>
          <w:rFonts w:ascii="黑体" w:hAnsi="黑体" w:eastAsia="黑体" w:cs="黑体"/>
          <w:b w:val="0"/>
          <w:sz w:val="24"/>
          <w:szCs w:val="24"/>
        </w:rPr>
      </w:pPr>
      <w:bookmarkStart w:id="91" w:name="_Toc240120904"/>
      <w:r>
        <w:rPr>
          <w:rFonts w:hint="eastAsia" w:ascii="黑体" w:hAnsi="黑体" w:eastAsia="黑体" w:cs="黑体"/>
          <w:b w:val="0"/>
          <w:sz w:val="24"/>
          <w:szCs w:val="24"/>
        </w:rPr>
        <w:t>12 合同的终止与解除</w:t>
      </w:r>
      <w:bookmarkEnd w:id="91"/>
    </w:p>
    <w:p w14:paraId="77C9E165">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12.1本合同订立后，卖方由于履行义务的能力或信用有严重缺陷，买方可以终止履行本合同，要求卖方返还已支付的款项并不承担违约责任。</w:t>
      </w:r>
    </w:p>
    <w:p w14:paraId="16D8D0D6">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12.2经双方协商一致，可以解除本合同。</w:t>
      </w:r>
    </w:p>
    <w:p w14:paraId="16D06003">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12.3有下列情形之一的，买方可以解除本合同：</w:t>
      </w:r>
    </w:p>
    <w:p w14:paraId="53000464">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12.3.1卖方明确表示或者以自己的行为表明不履行交货、安装、调试、培训等主要义务的，或足以影响买方使用设备的行为的；</w:t>
      </w:r>
    </w:p>
    <w:p w14:paraId="42B55E19">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12.3.2卖方所交付的设备不符合本合同约定的质量要求或屡次验收不合格或达不到验收标准的；</w:t>
      </w:r>
    </w:p>
    <w:p w14:paraId="42E7C2E4">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12.3.3卖方发生本合同约定的解除情形的；</w:t>
      </w:r>
    </w:p>
    <w:p w14:paraId="502C8E8D">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12.3.4卖方有其他违约行为。</w:t>
      </w:r>
    </w:p>
    <w:p w14:paraId="58659C60">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12.4卖方分批交付设备的，卖方对其中一批设备不交付或者交付不符合约定，致使该批设备不能实现本合同目的的，买方可以就该批设备解除合同。</w:t>
      </w:r>
    </w:p>
    <w:p w14:paraId="4D2CF0F5">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12.5卖方不交付其中一批设备或者交付不符合约定，致使今后其他各批设备的交付不能实现本合同目的的，买方可以就该批以及今后其他各批设备解除合同。</w:t>
      </w:r>
    </w:p>
    <w:p w14:paraId="5024B7ED">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12.6买方如果就其中一批设备解除合同，该批设备与其他各批设备相互依存的，可以就已经交付和未交付的各批设备解除合同。</w:t>
      </w:r>
    </w:p>
    <w:p w14:paraId="2BB0DF88">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12.7因为卖方违约导致买方解除合同的，卖方应赔偿买方因此所遭受的一切损失。</w:t>
      </w:r>
    </w:p>
    <w:p w14:paraId="3B7C357B">
      <w:pPr>
        <w:pStyle w:val="2"/>
        <w:ind w:firstLine="480" w:firstLineChars="200"/>
        <w:jc w:val="both"/>
        <w:rPr>
          <w:rFonts w:ascii="黑体" w:hAnsi="黑体" w:eastAsia="黑体" w:cs="黑体"/>
          <w:b w:val="0"/>
          <w:sz w:val="24"/>
          <w:szCs w:val="24"/>
        </w:rPr>
      </w:pPr>
      <w:bookmarkStart w:id="92" w:name="_Toc240120905"/>
      <w:r>
        <w:rPr>
          <w:rFonts w:hint="eastAsia" w:ascii="黑体" w:hAnsi="黑体" w:eastAsia="黑体" w:cs="黑体"/>
          <w:b w:val="0"/>
          <w:sz w:val="24"/>
          <w:szCs w:val="24"/>
        </w:rPr>
        <w:t>13 不可抗力</w:t>
      </w:r>
      <w:bookmarkEnd w:id="92"/>
    </w:p>
    <w:p w14:paraId="271C77B1">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13.1如果本合同的任何一方因不可抗力导致履行本合同义务受阻，并且不可抗力的发生和后果无法阻止和不可避免，在受阻方有能力发出通知的前提下，受阻方应在知道或应当知道不可抗力发生后十五日内通知对方，并在此后提供事件详细信息和由相关政府部门出具的有效证明文件说明其不能履行或推迟履行本合同全部或部分内容的理由。</w:t>
      </w:r>
    </w:p>
    <w:p w14:paraId="0A288A22">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13.2各方应该通过协商决定是否终止本合同，或推迟全部或部分本合同的履行或免除对方全部或部分相关履行义务。</w:t>
      </w:r>
    </w:p>
    <w:p w14:paraId="5048031B">
      <w:pPr>
        <w:pStyle w:val="2"/>
        <w:ind w:firstLine="480" w:firstLineChars="200"/>
        <w:jc w:val="both"/>
        <w:rPr>
          <w:rFonts w:ascii="黑体" w:hAnsi="黑体" w:eastAsia="黑体" w:cs="黑体"/>
          <w:b w:val="0"/>
          <w:sz w:val="24"/>
          <w:szCs w:val="24"/>
        </w:rPr>
      </w:pPr>
      <w:bookmarkStart w:id="93" w:name="_Toc240120906"/>
      <w:r>
        <w:rPr>
          <w:rFonts w:hint="eastAsia" w:ascii="黑体" w:hAnsi="黑体" w:eastAsia="黑体" w:cs="黑体"/>
          <w:b w:val="0"/>
          <w:sz w:val="24"/>
          <w:szCs w:val="24"/>
        </w:rPr>
        <w:t>14 通讯</w:t>
      </w:r>
      <w:bookmarkEnd w:id="93"/>
    </w:p>
    <w:p w14:paraId="75AC0AF5">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14.1通讯地址：</w:t>
      </w:r>
    </w:p>
    <w:p w14:paraId="642D4546">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本合同下的任何通讯按照本合同双方提供的信息，以书信、传真、电子通讯方式或电话作出。</w:t>
      </w:r>
    </w:p>
    <w:p w14:paraId="37C77A67">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14.2生效</w:t>
      </w:r>
    </w:p>
    <w:p w14:paraId="7AAF9170">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14.2.1书信。书信为送达时生效；</w:t>
      </w:r>
    </w:p>
    <w:p w14:paraId="3C6B7597">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14.2.2传真。发送人取得成功传输的信息时生效；</w:t>
      </w:r>
    </w:p>
    <w:p w14:paraId="018AFE19">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14.2.3电子邮件。电子邮件于发送之时生效，前提是寄件者于该邮件发送后24小时内没有收到发送失败通知；</w:t>
      </w:r>
    </w:p>
    <w:p w14:paraId="4C42A932">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14.2.4电话。电话于打出时生效，以电话作出的任何通讯必须以书信、传真或电子邮件确认，如果没有发送或者接收该确认不会使原有通讯失效。</w:t>
      </w:r>
    </w:p>
    <w:p w14:paraId="3461D223">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14.3书面法律证据。根据本合同以书信、传真或电子邮件方式送达任何订约方的任何通讯，将作为书面法律证据。</w:t>
      </w:r>
    </w:p>
    <w:p w14:paraId="27C74808">
      <w:pPr>
        <w:pStyle w:val="2"/>
        <w:ind w:firstLine="480" w:firstLineChars="200"/>
        <w:jc w:val="both"/>
        <w:rPr>
          <w:rFonts w:ascii="黑体" w:hAnsi="黑体" w:eastAsia="黑体" w:cs="黑体"/>
          <w:b w:val="0"/>
          <w:sz w:val="24"/>
          <w:szCs w:val="24"/>
        </w:rPr>
      </w:pPr>
      <w:bookmarkStart w:id="94" w:name="_Toc240120907"/>
      <w:r>
        <w:rPr>
          <w:rFonts w:hint="eastAsia" w:ascii="黑体" w:hAnsi="黑体" w:eastAsia="黑体" w:cs="黑体"/>
          <w:b w:val="0"/>
          <w:sz w:val="24"/>
          <w:szCs w:val="24"/>
        </w:rPr>
        <w:t>15 适用法律及争议解决</w:t>
      </w:r>
      <w:bookmarkEnd w:id="94"/>
    </w:p>
    <w:p w14:paraId="2323210B">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15.1本合同条款的效力和解释适用中华人民共和国法律。</w:t>
      </w:r>
    </w:p>
    <w:p w14:paraId="15B75713">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15.2双方同意将本着诚信的态度协商解决本合同履行过程中产生的任何争议。如果争议事项不能通过双方协商解决，本合同双方同意采用向买方所在地人民法院提起诉讼的方式解决。</w:t>
      </w:r>
    </w:p>
    <w:p w14:paraId="35943098">
      <w:pPr>
        <w:pStyle w:val="2"/>
        <w:ind w:firstLine="480" w:firstLineChars="200"/>
        <w:jc w:val="both"/>
        <w:rPr>
          <w:rFonts w:ascii="黑体" w:hAnsi="黑体" w:eastAsia="黑体" w:cs="黑体"/>
          <w:b w:val="0"/>
          <w:sz w:val="24"/>
          <w:szCs w:val="24"/>
        </w:rPr>
      </w:pPr>
      <w:bookmarkStart w:id="95" w:name="_Toc240120908"/>
      <w:r>
        <w:rPr>
          <w:rFonts w:hint="eastAsia" w:ascii="黑体" w:hAnsi="黑体" w:eastAsia="黑体" w:cs="黑体"/>
          <w:b w:val="0"/>
          <w:sz w:val="24"/>
          <w:szCs w:val="24"/>
        </w:rPr>
        <w:t>16 附件</w:t>
      </w:r>
      <w:bookmarkEnd w:id="95"/>
    </w:p>
    <w:p w14:paraId="11191602">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本合同及其附件构成双方关于本合同标的之全部协议，包括但不限于下列文件：</w:t>
      </w:r>
    </w:p>
    <w:p w14:paraId="0A6DF597">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16.1技术协议书；</w:t>
      </w:r>
    </w:p>
    <w:p w14:paraId="37735170">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16.2合同设备一览表；</w:t>
      </w:r>
    </w:p>
    <w:p w14:paraId="5E07F646">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16.3卖方中标的设备投标书以及一切书面承诺；</w:t>
      </w:r>
    </w:p>
    <w:p w14:paraId="727FCB4B">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16.4招标文件。</w:t>
      </w:r>
    </w:p>
    <w:p w14:paraId="2BA703B8">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上述附件内容与本合同约定有冲突的，以本合同约定为准。</w:t>
      </w:r>
    </w:p>
    <w:p w14:paraId="41466CE8">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highlight w:val="yellow"/>
        </w:rPr>
        <w:t>本合同及上述附件内容与固定资产设备项目偏差索赔细则有冲突的，以固定资产设备项目偏差索赔细则约定为准。</w:t>
      </w:r>
    </w:p>
    <w:p w14:paraId="45CCC990">
      <w:pPr>
        <w:pStyle w:val="2"/>
        <w:ind w:firstLine="480" w:firstLineChars="200"/>
        <w:jc w:val="both"/>
        <w:rPr>
          <w:rFonts w:ascii="黑体" w:hAnsi="黑体" w:eastAsia="黑体" w:cs="黑体"/>
          <w:b w:val="0"/>
          <w:sz w:val="24"/>
          <w:szCs w:val="24"/>
        </w:rPr>
      </w:pPr>
      <w:bookmarkStart w:id="96" w:name="_Toc240120909"/>
      <w:r>
        <w:rPr>
          <w:rFonts w:hint="eastAsia" w:ascii="黑体" w:hAnsi="黑体" w:eastAsia="黑体" w:cs="黑体"/>
          <w:b w:val="0"/>
          <w:sz w:val="24"/>
          <w:szCs w:val="24"/>
        </w:rPr>
        <w:t>17 其他规定</w:t>
      </w:r>
      <w:bookmarkEnd w:id="96"/>
    </w:p>
    <w:p w14:paraId="5C5D6583">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17.1本合同及其附件构成了双方就本合同所含交易而达成的全部合同，并取代双方先前与该等交易有关的全部口头和书面合同。</w:t>
      </w:r>
    </w:p>
    <w:p w14:paraId="060C4862">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17.2如果本合同的任何条款和条件在任何时间成为非法、无效或不可强制执行的，则其他条款不应受其影响。</w:t>
      </w:r>
    </w:p>
    <w:p w14:paraId="20417966">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17.3除非另有规定，一方未行使或迟延行使本合同项下的权利、权力或特权并不构成放弃这些权利、权力和特权，而单一或部分行使这些权利、权力和特权并不排斥行使任何其他权利、权力和特权。</w:t>
      </w:r>
    </w:p>
    <w:p w14:paraId="0ADAEE76">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17.4监造，在合同设备的制造过程中，买方有权派出代表对合同设备制造过程中的关键工序进行质量监督，卖方有配合买方监造的义务。</w:t>
      </w:r>
    </w:p>
    <w:p w14:paraId="0BFAE562">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17.5非因买方原因，卖方不能向其分包商或外购材料设备供货商及时付款等原因造成了分包商或外购材料设备供货商对买方发生了围堵上访、法律诉讼等不利的影响，卖方须承担违约责任及对买方造成的一切损失，同时买方有权直接向分包商或其外购材料设备供货商直接付款，该笔款项将直接从卖方的合同款项中扣除。</w:t>
      </w:r>
    </w:p>
    <w:p w14:paraId="333EA324">
      <w:pPr>
        <w:pStyle w:val="2"/>
        <w:ind w:firstLine="480" w:firstLineChars="200"/>
        <w:jc w:val="both"/>
        <w:rPr>
          <w:rFonts w:ascii="黑体" w:hAnsi="黑体" w:eastAsia="黑体" w:cs="黑体"/>
          <w:b w:val="0"/>
          <w:sz w:val="24"/>
          <w:szCs w:val="24"/>
        </w:rPr>
      </w:pPr>
      <w:bookmarkStart w:id="97" w:name="_Toc240120910"/>
      <w:r>
        <w:rPr>
          <w:rFonts w:hint="eastAsia" w:ascii="黑体" w:hAnsi="黑体" w:eastAsia="黑体" w:cs="黑体"/>
          <w:b w:val="0"/>
          <w:sz w:val="24"/>
          <w:szCs w:val="24"/>
        </w:rPr>
        <w:t>18 签署事项</w:t>
      </w:r>
      <w:bookmarkEnd w:id="97"/>
    </w:p>
    <w:p w14:paraId="05055AF2">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本合同或协议的各签约方选择使用电子签约的，已由法定代表人本人或授权其代理人在电子签约平台进行了实名注册，并通过CA证书进行签约。电子签约的任一方均已知晓且同意通过代理人密码登录账户后的所有操作视为该方的行为，并自愿承担由此产生的一切法律后果。电子签约方的代理人包括在平台完成认证并具有相应盖章、签字权限的管理员、盖章人或签名人。电子签约方在相关电子合同通过CA证书进行电子签章的，视为该方有效签署合同。</w:t>
      </w:r>
      <w:r>
        <w:rPr>
          <w:rFonts w:ascii="仿宋_GB2312" w:hAnsi="仿宋_GB2312" w:eastAsia="仿宋_GB2312"/>
          <w:sz w:val="24"/>
        </w:rPr>
        <w:t>如各方签章时间不一致的，以最后签章的时间为准。本合同所有的手写涂改、一方擅自增加、删改、篡改部分无效（个人手写签名除外）。</w:t>
      </w:r>
      <w:r>
        <w:br w:type="textWrapping"/>
      </w:r>
      <w:r>
        <w:rPr>
          <w:rFonts w:hint="eastAsia" w:ascii="仿宋_GB2312" w:hAnsi="仿宋_GB2312" w:eastAsia="仿宋_GB2312" w:cs="仿宋_GB2312"/>
          <w:sz w:val="24"/>
          <w:szCs w:val="24"/>
        </w:rPr>
        <w:t xml:space="preserve">    </w:t>
      </w:r>
      <w:r>
        <w:rPr>
          <w:rFonts w:hint="eastAsia" w:ascii="仿宋_GB2312" w:hAnsi="仿宋_GB2312" w:eastAsia="仿宋_GB2312" w:cs="仿宋_GB2312"/>
          <w:sz w:val="24"/>
          <w:szCs w:val="24"/>
        </w:rPr>
        <w:br w:type="textWrapping"/>
      </w:r>
      <w:r>
        <w:rPr>
          <w:rFonts w:hint="eastAsia" w:ascii="仿宋_GB2312" w:hAnsi="仿宋_GB2312" w:eastAsia="仿宋_GB2312" w:cs="仿宋_GB2312"/>
          <w:sz w:val="24"/>
          <w:szCs w:val="24"/>
        </w:rPr>
        <w:t xml:space="preserve">    若一方不使用电子签约，此情形下各方认可并同意电子签章与在纸质合同上手写签名或者盖章具有同等的法律效力，一方在合同上使用电子签章，另一方将已完成电子签章的合同打印纸质合同后，再于合同签署处加盖实物印章、手写签名视为双方签署完毕。</w:t>
      </w:r>
    </w:p>
    <w:p w14:paraId="397EB89A">
      <w:pPr>
        <w:widowControl/>
        <w:adjustRightInd w:val="0"/>
        <w:snapToGrid w:val="0"/>
        <w:spacing w:line="360" w:lineRule="auto"/>
        <w:ind w:firstLine="480" w:firstLineChars="200"/>
        <w:jc w:val="left"/>
        <w:rPr>
          <w:rFonts w:ascii="仿宋_GB2312" w:hAnsi="仿宋_GB2312" w:eastAsia="仿宋_GB2312" w:cs="仿宋_GB2312"/>
          <w:snapToGrid w:val="0"/>
          <w:kern w:val="0"/>
          <w:sz w:val="24"/>
          <w:szCs w:val="24"/>
          <w:lang w:eastAsia="zh-Hans"/>
        </w:rPr>
      </w:pPr>
    </w:p>
    <w:p w14:paraId="4D7CB8BF">
      <w:pPr>
        <w:widowControl/>
        <w:snapToGrid w:val="0"/>
        <w:spacing w:line="360" w:lineRule="auto"/>
        <w:ind w:firstLine="482" w:firstLineChars="200"/>
        <w:jc w:val="left"/>
        <w:rPr>
          <w:rFonts w:ascii="仿宋_GB2312" w:hAnsi="宋体" w:eastAsia="仿宋_GB2312"/>
          <w:b/>
          <w:bCs/>
          <w:snapToGrid w:val="0"/>
          <w:kern w:val="0"/>
          <w:sz w:val="24"/>
          <w:szCs w:val="24"/>
          <w:u w:val="single"/>
        </w:rPr>
      </w:pPr>
    </w:p>
    <w:p w14:paraId="44C85832">
      <w:pPr>
        <w:widowControl/>
        <w:adjustRightInd w:val="0"/>
        <w:snapToGrid w:val="0"/>
        <w:spacing w:line="360" w:lineRule="auto"/>
        <w:ind w:firstLine="480" w:firstLineChars="200"/>
        <w:jc w:val="left"/>
        <w:rPr>
          <w:rFonts w:ascii="仿宋_GB2312" w:hAnsi="宋体" w:eastAsia="仿宋_GB2312"/>
          <w:b/>
          <w:bCs/>
          <w:snapToGrid w:val="0"/>
          <w:kern w:val="0"/>
          <w:sz w:val="24"/>
          <w:szCs w:val="24"/>
          <w:u w:val="single"/>
        </w:rPr>
      </w:pPr>
      <w:r>
        <w:rPr>
          <w:rFonts w:hint="eastAsia" w:ascii="仿宋_GB2312" w:hAnsi="宋体" w:eastAsia="仿宋_GB2312"/>
          <w:snapToGrid w:val="0"/>
          <w:kern w:val="0"/>
          <w:sz w:val="24"/>
          <w:szCs w:val="24"/>
          <w:lang w:eastAsia="zh-Hans"/>
        </w:rPr>
        <w:t>甲方</w:t>
      </w:r>
      <w:r>
        <w:rPr>
          <w:rFonts w:hint="eastAsia" w:ascii="仿宋_GB2312" w:hAnsi="宋体" w:eastAsia="仿宋_GB2312"/>
          <w:snapToGrid w:val="0"/>
          <w:kern w:val="0"/>
          <w:sz w:val="24"/>
          <w:szCs w:val="24"/>
        </w:rPr>
        <w:t>（盖章）</w:t>
      </w:r>
      <w:r>
        <w:rPr>
          <w:rFonts w:hint="eastAsia" w:ascii="仿宋_GB2312" w:hAnsi="宋体" w:eastAsia="仿宋_GB2312"/>
          <w:snapToGrid w:val="0"/>
          <w:kern w:val="0"/>
          <w:sz w:val="24"/>
          <w:szCs w:val="24"/>
          <w:lang w:eastAsia="zh-Hans"/>
        </w:rPr>
        <w:t>：</w:t>
      </w:r>
      <w:permStart w:id="56" w:edGrp="everyone"/>
      <w:r>
        <w:rPr>
          <w:rFonts w:hint="eastAsia" w:ascii="仿宋_GB2312" w:hAnsi="宋体" w:eastAsia="仿宋_GB2312"/>
          <w:b/>
          <w:bCs/>
          <w:snapToGrid w:val="0"/>
          <w:kern w:val="0"/>
          <w:sz w:val="24"/>
          <w:szCs w:val="24"/>
          <w:u w:val="single"/>
        </w:rPr>
        <w:t>甲方单位全称</w:t>
      </w:r>
      <w:permEnd w:id="56"/>
    </w:p>
    <w:p w14:paraId="54EC43B7">
      <w:pPr>
        <w:widowControl/>
        <w:adjustRightInd w:val="0"/>
        <w:snapToGrid w:val="0"/>
        <w:spacing w:line="360" w:lineRule="auto"/>
        <w:ind w:firstLine="480" w:firstLineChars="200"/>
        <w:jc w:val="left"/>
        <w:rPr>
          <w:rFonts w:ascii="仿宋_GB2312" w:hAnsi="宋体" w:eastAsia="仿宋_GB2312"/>
          <w:snapToGrid w:val="0"/>
          <w:kern w:val="0"/>
          <w:sz w:val="24"/>
          <w:szCs w:val="24"/>
        </w:rPr>
      </w:pPr>
    </w:p>
    <w:p w14:paraId="06EE9D40">
      <w:pPr>
        <w:widowControl/>
        <w:adjustRightInd w:val="0"/>
        <w:snapToGrid w:val="0"/>
        <w:spacing w:line="360" w:lineRule="auto"/>
        <w:ind w:firstLine="480" w:firstLineChars="200"/>
        <w:jc w:val="left"/>
        <w:rPr>
          <w:rFonts w:ascii="仿宋_GB2312" w:hAnsi="宋体" w:eastAsia="仿宋_GB2312"/>
          <w:snapToGrid w:val="0"/>
          <w:color w:val="000000"/>
          <w:kern w:val="0"/>
          <w:sz w:val="24"/>
          <w:szCs w:val="24"/>
          <w:lang w:eastAsia="zh-Hans"/>
        </w:rPr>
      </w:pPr>
      <w:r>
        <w:rPr>
          <w:rFonts w:hint="eastAsia" w:ascii="仿宋_GB2312" w:hAnsi="宋体" w:eastAsia="仿宋_GB2312"/>
          <w:snapToGrid w:val="0"/>
          <w:color w:val="000000"/>
          <w:kern w:val="0"/>
          <w:sz w:val="24"/>
          <w:szCs w:val="24"/>
        </w:rPr>
        <w:t>甲方代表</w:t>
      </w:r>
      <w:r>
        <w:rPr>
          <w:rFonts w:hint="eastAsia" w:ascii="仿宋_GB2312" w:hAnsi="宋体" w:eastAsia="仿宋_GB2312"/>
          <w:snapToGrid w:val="0"/>
          <w:color w:val="000000"/>
          <w:kern w:val="0"/>
          <w:sz w:val="24"/>
          <w:szCs w:val="24"/>
          <w:lang w:eastAsia="zh-Hans"/>
        </w:rPr>
        <w:t xml:space="preserve">（签字）：         </w:t>
      </w:r>
      <w:r>
        <w:rPr>
          <w:rFonts w:hint="eastAsia" w:ascii="仿宋_GB2312" w:hAnsi="宋体" w:eastAsia="仿宋_GB2312"/>
          <w:snapToGrid w:val="0"/>
          <w:kern w:val="0"/>
          <w:sz w:val="24"/>
          <w:szCs w:val="24"/>
          <w:lang w:eastAsia="zh-Hans"/>
        </w:rPr>
        <w:t xml:space="preserve">       </w:t>
      </w:r>
      <w:r>
        <w:rPr>
          <w:rFonts w:hint="eastAsia" w:ascii="仿宋_GB2312" w:hAnsi="宋体" w:eastAsia="仿宋_GB2312"/>
          <w:snapToGrid w:val="0"/>
          <w:color w:val="000000"/>
          <w:kern w:val="0"/>
          <w:sz w:val="24"/>
          <w:szCs w:val="24"/>
          <w:lang w:eastAsia="zh-Hans"/>
        </w:rPr>
        <w:t xml:space="preserve"> </w:t>
      </w:r>
    </w:p>
    <w:p w14:paraId="0B134498">
      <w:pPr>
        <w:widowControl/>
        <w:adjustRightInd w:val="0"/>
        <w:snapToGrid w:val="0"/>
        <w:spacing w:line="360" w:lineRule="auto"/>
        <w:ind w:firstLine="480" w:firstLineChars="200"/>
        <w:jc w:val="left"/>
        <w:rPr>
          <w:rFonts w:ascii="仿宋_GB2312" w:hAnsi="宋体" w:eastAsia="仿宋_GB2312"/>
          <w:snapToGrid w:val="0"/>
          <w:kern w:val="0"/>
          <w:sz w:val="24"/>
          <w:szCs w:val="24"/>
          <w:lang w:eastAsia="zh-Hans"/>
        </w:rPr>
      </w:pPr>
      <w:r>
        <w:rPr>
          <w:rFonts w:hint="eastAsia" w:ascii="仿宋_GB2312" w:hAnsi="宋体" w:eastAsia="仿宋_GB2312"/>
          <w:snapToGrid w:val="0"/>
          <w:color w:val="000000"/>
          <w:kern w:val="0"/>
          <w:sz w:val="24"/>
          <w:szCs w:val="24"/>
          <w:lang w:eastAsia="zh-Hans"/>
        </w:rPr>
        <w:t xml:space="preserve">                        </w:t>
      </w:r>
      <w:r>
        <w:rPr>
          <w:rFonts w:hint="eastAsia" w:ascii="仿宋_GB2312" w:hAnsi="宋体" w:eastAsia="仿宋_GB2312"/>
          <w:snapToGrid w:val="0"/>
          <w:kern w:val="0"/>
          <w:sz w:val="24"/>
          <w:szCs w:val="24"/>
          <w:lang w:eastAsia="zh-Hans"/>
        </w:rPr>
        <w:t xml:space="preserve">        </w:t>
      </w:r>
    </w:p>
    <w:p w14:paraId="7D3B325D">
      <w:pPr>
        <w:widowControl/>
        <w:adjustRightInd w:val="0"/>
        <w:snapToGrid w:val="0"/>
        <w:spacing w:line="360" w:lineRule="auto"/>
        <w:ind w:firstLine="480" w:firstLineChars="200"/>
        <w:jc w:val="left"/>
        <w:rPr>
          <w:rFonts w:ascii="仿宋_GB2312" w:hAnsi="宋体" w:eastAsia="仿宋_GB2312"/>
          <w:snapToGrid w:val="0"/>
          <w:kern w:val="0"/>
          <w:sz w:val="24"/>
          <w:szCs w:val="24"/>
          <w:lang w:eastAsia="zh-Hans"/>
        </w:rPr>
      </w:pPr>
    </w:p>
    <w:p w14:paraId="63080DFF">
      <w:pPr>
        <w:widowControl/>
        <w:adjustRightInd w:val="0"/>
        <w:snapToGrid w:val="0"/>
        <w:spacing w:line="360" w:lineRule="auto"/>
        <w:ind w:firstLine="480" w:firstLineChars="200"/>
        <w:jc w:val="left"/>
        <w:rPr>
          <w:rFonts w:ascii="仿宋_GB2312" w:hAnsi="宋体" w:eastAsia="仿宋_GB2312"/>
          <w:snapToGrid w:val="0"/>
          <w:kern w:val="0"/>
          <w:sz w:val="24"/>
          <w:szCs w:val="24"/>
        </w:rPr>
      </w:pPr>
    </w:p>
    <w:p w14:paraId="470DE559">
      <w:pPr>
        <w:widowControl/>
        <w:adjustRightInd w:val="0"/>
        <w:snapToGrid w:val="0"/>
        <w:spacing w:line="360" w:lineRule="auto"/>
        <w:ind w:firstLine="480" w:firstLineChars="200"/>
        <w:jc w:val="left"/>
        <w:rPr>
          <w:rFonts w:ascii="仿宋_GB2312" w:hAnsi="仿宋_GB2312" w:eastAsia="仿宋_GB2312" w:cs="仿宋_GB2312"/>
          <w:b/>
          <w:bCs/>
          <w:sz w:val="24"/>
          <w:szCs w:val="24"/>
          <w:u w:val="single"/>
        </w:rPr>
      </w:pPr>
      <w:r>
        <w:rPr>
          <w:rFonts w:hint="eastAsia" w:ascii="仿宋_GB2312" w:hAnsi="宋体" w:eastAsia="仿宋_GB2312"/>
          <w:snapToGrid w:val="0"/>
          <w:kern w:val="0"/>
          <w:sz w:val="24"/>
          <w:szCs w:val="24"/>
        </w:rPr>
        <w:t>乙</w:t>
      </w:r>
      <w:r>
        <w:rPr>
          <w:rFonts w:hint="eastAsia" w:ascii="仿宋_GB2312" w:hAnsi="宋体" w:eastAsia="仿宋_GB2312"/>
          <w:snapToGrid w:val="0"/>
          <w:kern w:val="0"/>
          <w:sz w:val="24"/>
          <w:szCs w:val="24"/>
          <w:lang w:eastAsia="zh-Hans"/>
        </w:rPr>
        <w:t>方</w:t>
      </w:r>
      <w:r>
        <w:rPr>
          <w:rFonts w:hint="eastAsia" w:ascii="仿宋_GB2312" w:hAnsi="宋体" w:eastAsia="仿宋_GB2312"/>
          <w:snapToGrid w:val="0"/>
          <w:kern w:val="0"/>
          <w:sz w:val="24"/>
          <w:szCs w:val="24"/>
        </w:rPr>
        <w:t>（盖章）</w:t>
      </w:r>
      <w:r>
        <w:rPr>
          <w:rFonts w:hint="eastAsia" w:ascii="仿宋_GB2312" w:hAnsi="宋体" w:eastAsia="仿宋_GB2312"/>
          <w:snapToGrid w:val="0"/>
          <w:kern w:val="0"/>
          <w:sz w:val="24"/>
          <w:szCs w:val="24"/>
          <w:lang w:eastAsia="zh-Hans"/>
        </w:rPr>
        <w:t>：</w:t>
      </w:r>
      <w:permStart w:id="57" w:edGrp="everyone"/>
      <w:r>
        <w:rPr>
          <w:rFonts w:hint="eastAsia" w:ascii="仿宋_GB2312" w:hAnsi="仿宋_GB2312" w:eastAsia="仿宋_GB2312" w:cs="仿宋_GB2312"/>
          <w:b/>
          <w:bCs/>
          <w:sz w:val="24"/>
          <w:szCs w:val="24"/>
          <w:u w:val="single"/>
        </w:rPr>
        <w:t>乙方单位全称</w:t>
      </w:r>
      <w:permEnd w:id="57"/>
    </w:p>
    <w:p w14:paraId="7B246EE1">
      <w:pPr>
        <w:widowControl/>
        <w:adjustRightInd w:val="0"/>
        <w:snapToGrid w:val="0"/>
        <w:spacing w:line="360" w:lineRule="auto"/>
        <w:ind w:firstLine="482" w:firstLineChars="200"/>
        <w:jc w:val="left"/>
        <w:rPr>
          <w:rFonts w:ascii="仿宋_GB2312" w:hAnsi="仿宋_GB2312" w:eastAsia="仿宋_GB2312" w:cs="仿宋_GB2312"/>
          <w:b/>
          <w:sz w:val="24"/>
          <w:szCs w:val="24"/>
          <w:u w:val="single"/>
        </w:rPr>
      </w:pPr>
    </w:p>
    <w:p w14:paraId="3FBEAEFD">
      <w:pPr>
        <w:widowControl/>
        <w:adjustRightInd w:val="0"/>
        <w:snapToGrid w:val="0"/>
        <w:spacing w:line="360" w:lineRule="auto"/>
        <w:ind w:firstLine="480" w:firstLineChars="200"/>
        <w:jc w:val="left"/>
        <w:rPr>
          <w:rFonts w:ascii="仿宋_GB2312" w:hAnsi="仿宋_GB2312" w:eastAsia="仿宋_GB2312" w:cs="仿宋_GB2312"/>
          <w:snapToGrid w:val="0"/>
          <w:color w:val="000000"/>
          <w:kern w:val="0"/>
          <w:sz w:val="24"/>
          <w:szCs w:val="24"/>
          <w:lang w:eastAsia="zh-Hans"/>
        </w:rPr>
      </w:pPr>
      <w:r>
        <w:rPr>
          <w:rFonts w:hint="eastAsia" w:ascii="仿宋_GB2312" w:hAnsi="宋体" w:eastAsia="仿宋_GB2312"/>
          <w:snapToGrid w:val="0"/>
          <w:color w:val="000000"/>
          <w:kern w:val="0"/>
          <w:sz w:val="24"/>
          <w:szCs w:val="24"/>
        </w:rPr>
        <w:t>乙方代表</w:t>
      </w:r>
      <w:r>
        <w:rPr>
          <w:rFonts w:hint="eastAsia" w:ascii="仿宋_GB2312" w:hAnsi="宋体" w:eastAsia="仿宋_GB2312"/>
          <w:snapToGrid w:val="0"/>
          <w:color w:val="000000"/>
          <w:kern w:val="0"/>
          <w:sz w:val="24"/>
          <w:szCs w:val="24"/>
          <w:lang w:eastAsia="zh-Hans"/>
        </w:rPr>
        <w:t xml:space="preserve">（签字）：   </w:t>
      </w:r>
    </w:p>
    <w:p w14:paraId="114C067D">
      <w:pPr>
        <w:widowControl/>
        <w:adjustRightInd w:val="0"/>
        <w:snapToGrid w:val="0"/>
        <w:spacing w:line="360" w:lineRule="auto"/>
        <w:ind w:firstLine="480" w:firstLineChars="200"/>
        <w:jc w:val="left"/>
        <w:rPr>
          <w:rFonts w:ascii="仿宋_GB2312" w:hAnsi="仿宋_GB2312" w:eastAsia="仿宋_GB2312" w:cs="仿宋_GB2312"/>
          <w:snapToGrid w:val="0"/>
          <w:color w:val="000000"/>
          <w:kern w:val="0"/>
          <w:sz w:val="24"/>
          <w:szCs w:val="24"/>
          <w:lang w:eastAsia="zh-Hans"/>
        </w:rPr>
      </w:pPr>
    </w:p>
    <w:p w14:paraId="2CA1B670">
      <w:pPr>
        <w:rPr>
          <w:rFonts w:ascii="黑体" w:hAnsi="黑体" w:eastAsia="黑体" w:cstheme="minorEastAsia"/>
          <w:sz w:val="28"/>
          <w:szCs w:val="28"/>
        </w:rPr>
        <w:sectPr>
          <w:pgSz w:w="11907" w:h="16840"/>
          <w:pgMar w:top="1304" w:right="1418" w:bottom="1304" w:left="1418" w:header="724" w:footer="851" w:gutter="0"/>
          <w:cols w:space="720" w:num="1"/>
          <w:docGrid w:linePitch="290" w:charSpace="-3931"/>
        </w:sectPr>
      </w:pPr>
    </w:p>
    <w:p w14:paraId="52E0B609">
      <w:r>
        <w:rPr>
          <w:rFonts w:hint="eastAsia" w:ascii="黑体" w:hAnsi="黑体" w:eastAsia="黑体" w:cstheme="minorEastAsia"/>
          <w:sz w:val="28"/>
          <w:szCs w:val="28"/>
        </w:rPr>
        <w:t>附件一：设备清单明细表【作为附件另附】</w:t>
      </w:r>
    </w:p>
    <w:tbl>
      <w:tblPr>
        <w:tblStyle w:val="42"/>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28" w:type="dxa"/>
          <w:bottom w:w="0" w:type="dxa"/>
          <w:right w:w="28" w:type="dxa"/>
        </w:tblCellMar>
      </w:tblPr>
      <w:tblGrid>
        <w:gridCol w:w="427"/>
        <w:gridCol w:w="705"/>
        <w:gridCol w:w="1603"/>
        <w:gridCol w:w="1234"/>
        <w:gridCol w:w="787"/>
        <w:gridCol w:w="1095"/>
        <w:gridCol w:w="1258"/>
        <w:gridCol w:w="1112"/>
        <w:gridCol w:w="906"/>
      </w:tblGrid>
      <w:tr w14:paraId="7AEAC3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440" w:hRule="atLeast"/>
          <w:jc w:val="center"/>
        </w:trPr>
        <w:tc>
          <w:tcPr>
            <w:tcW w:w="234" w:type="pct"/>
            <w:vMerge w:val="restart"/>
            <w:tcBorders>
              <w:top w:val="single" w:color="auto" w:sz="4" w:space="0"/>
              <w:left w:val="single" w:color="auto" w:sz="4" w:space="0"/>
              <w:bottom w:val="single" w:color="auto" w:sz="4" w:space="0"/>
              <w:right w:val="single" w:color="auto" w:sz="6" w:space="0"/>
            </w:tcBorders>
            <w:vAlign w:val="center"/>
          </w:tcPr>
          <w:p w14:paraId="11B45ED3">
            <w:pPr>
              <w:jc w:val="center"/>
              <w:rPr>
                <w:rFonts w:ascii="宋体" w:hAnsi="宋体"/>
                <w:szCs w:val="21"/>
              </w:rPr>
            </w:pPr>
            <w:r>
              <w:rPr>
                <w:rFonts w:hint="eastAsia" w:ascii="宋体" w:hAnsi="宋体"/>
                <w:szCs w:val="21"/>
              </w:rPr>
              <w:t>设备价格</w:t>
            </w:r>
          </w:p>
        </w:tc>
        <w:tc>
          <w:tcPr>
            <w:tcW w:w="386" w:type="pct"/>
            <w:tcBorders>
              <w:top w:val="single" w:color="auto" w:sz="4" w:space="0"/>
              <w:left w:val="nil"/>
              <w:bottom w:val="single" w:color="auto" w:sz="4" w:space="0"/>
            </w:tcBorders>
            <w:vAlign w:val="center"/>
          </w:tcPr>
          <w:p w14:paraId="4FA6792D">
            <w:pPr>
              <w:jc w:val="center"/>
              <w:rPr>
                <w:rFonts w:ascii="宋体" w:hAnsi="宋体"/>
                <w:szCs w:val="21"/>
              </w:rPr>
            </w:pPr>
            <w:r>
              <w:rPr>
                <w:rFonts w:hint="eastAsia" w:ascii="宋体" w:hAnsi="宋体"/>
                <w:szCs w:val="21"/>
              </w:rPr>
              <w:t>序号</w:t>
            </w:r>
          </w:p>
        </w:tc>
        <w:tc>
          <w:tcPr>
            <w:tcW w:w="877" w:type="pct"/>
            <w:tcBorders>
              <w:top w:val="single" w:color="auto" w:sz="4" w:space="0"/>
              <w:left w:val="nil"/>
              <w:bottom w:val="single" w:color="auto" w:sz="4" w:space="0"/>
            </w:tcBorders>
            <w:vAlign w:val="center"/>
          </w:tcPr>
          <w:p w14:paraId="408399DA">
            <w:pPr>
              <w:jc w:val="center"/>
              <w:rPr>
                <w:rFonts w:ascii="宋体" w:hAnsi="宋体"/>
                <w:szCs w:val="21"/>
              </w:rPr>
            </w:pPr>
            <w:r>
              <w:rPr>
                <w:rFonts w:hint="eastAsia" w:ascii="宋体" w:hAnsi="宋体"/>
                <w:szCs w:val="21"/>
              </w:rPr>
              <w:t>设备名称</w:t>
            </w:r>
          </w:p>
        </w:tc>
        <w:tc>
          <w:tcPr>
            <w:tcW w:w="676" w:type="pct"/>
            <w:tcBorders>
              <w:top w:val="single" w:color="auto" w:sz="4" w:space="0"/>
              <w:bottom w:val="single" w:color="auto" w:sz="4" w:space="0"/>
            </w:tcBorders>
            <w:vAlign w:val="center"/>
          </w:tcPr>
          <w:p w14:paraId="13B20642">
            <w:pPr>
              <w:jc w:val="center"/>
              <w:rPr>
                <w:rFonts w:ascii="宋体" w:hAnsi="宋体"/>
                <w:szCs w:val="21"/>
              </w:rPr>
            </w:pPr>
            <w:r>
              <w:rPr>
                <w:rFonts w:hint="eastAsia" w:ascii="宋体" w:hAnsi="宋体"/>
                <w:szCs w:val="21"/>
              </w:rPr>
              <w:t>规格型号</w:t>
            </w:r>
          </w:p>
        </w:tc>
        <w:tc>
          <w:tcPr>
            <w:tcW w:w="431" w:type="pct"/>
            <w:tcBorders>
              <w:top w:val="single" w:color="auto" w:sz="4" w:space="0"/>
              <w:bottom w:val="single" w:color="auto" w:sz="4" w:space="0"/>
            </w:tcBorders>
            <w:vAlign w:val="center"/>
          </w:tcPr>
          <w:p w14:paraId="2FA6BF16">
            <w:pPr>
              <w:jc w:val="center"/>
              <w:rPr>
                <w:rFonts w:ascii="宋体" w:hAnsi="宋体"/>
                <w:szCs w:val="21"/>
              </w:rPr>
            </w:pPr>
            <w:r>
              <w:rPr>
                <w:rFonts w:hint="eastAsia" w:ascii="宋体" w:hAnsi="宋体"/>
                <w:szCs w:val="21"/>
              </w:rPr>
              <w:t>单位</w:t>
            </w:r>
          </w:p>
        </w:tc>
        <w:tc>
          <w:tcPr>
            <w:tcW w:w="600" w:type="pct"/>
            <w:tcBorders>
              <w:top w:val="single" w:color="auto" w:sz="4" w:space="0"/>
              <w:bottom w:val="single" w:color="auto" w:sz="4" w:space="0"/>
            </w:tcBorders>
            <w:vAlign w:val="center"/>
          </w:tcPr>
          <w:p w14:paraId="2AFD6FCF">
            <w:pPr>
              <w:jc w:val="center"/>
              <w:rPr>
                <w:rFonts w:ascii="宋体" w:hAnsi="宋体"/>
                <w:szCs w:val="21"/>
              </w:rPr>
            </w:pPr>
            <w:r>
              <w:rPr>
                <w:rFonts w:hint="eastAsia" w:ascii="宋体" w:hAnsi="宋体"/>
                <w:szCs w:val="21"/>
              </w:rPr>
              <w:t>数量</w:t>
            </w:r>
          </w:p>
        </w:tc>
        <w:tc>
          <w:tcPr>
            <w:tcW w:w="689" w:type="pct"/>
            <w:tcBorders>
              <w:top w:val="single" w:color="auto" w:sz="4" w:space="0"/>
              <w:bottom w:val="single" w:color="auto" w:sz="4" w:space="0"/>
            </w:tcBorders>
            <w:vAlign w:val="center"/>
          </w:tcPr>
          <w:p w14:paraId="57B7103F">
            <w:pPr>
              <w:jc w:val="center"/>
              <w:rPr>
                <w:rFonts w:ascii="宋体" w:hAnsi="宋体"/>
                <w:szCs w:val="21"/>
              </w:rPr>
            </w:pPr>
            <w:r>
              <w:rPr>
                <w:rFonts w:hint="eastAsia" w:ascii="宋体" w:hAnsi="宋体"/>
                <w:szCs w:val="21"/>
              </w:rPr>
              <w:t xml:space="preserve">单价 </w:t>
            </w:r>
            <w:r>
              <w:rPr>
                <w:rFonts w:ascii="宋体" w:hAnsi="宋体"/>
                <w:szCs w:val="21"/>
              </w:rPr>
              <w:t xml:space="preserve">  </w:t>
            </w:r>
          </w:p>
          <w:p w14:paraId="24F715A2">
            <w:pPr>
              <w:jc w:val="center"/>
              <w:rPr>
                <w:rFonts w:ascii="宋体" w:hAnsi="宋体"/>
                <w:szCs w:val="21"/>
              </w:rPr>
            </w:pPr>
            <w:r>
              <w:rPr>
                <w:rFonts w:ascii="宋体" w:hAnsi="宋体"/>
                <w:szCs w:val="21"/>
              </w:rPr>
              <w:t xml:space="preserve"> </w:t>
            </w:r>
            <w:r>
              <w:rPr>
                <w:rFonts w:hint="eastAsia" w:ascii="宋体" w:hAnsi="宋体"/>
                <w:szCs w:val="21"/>
              </w:rPr>
              <w:t>（万元）</w:t>
            </w:r>
          </w:p>
        </w:tc>
        <w:tc>
          <w:tcPr>
            <w:tcW w:w="606" w:type="pct"/>
            <w:tcBorders>
              <w:top w:val="single" w:color="auto" w:sz="4" w:space="0"/>
              <w:bottom w:val="single" w:color="auto" w:sz="4" w:space="0"/>
            </w:tcBorders>
            <w:vAlign w:val="center"/>
          </w:tcPr>
          <w:p w14:paraId="3605AC0A">
            <w:pPr>
              <w:jc w:val="center"/>
              <w:rPr>
                <w:rFonts w:ascii="宋体" w:hAnsi="宋体"/>
                <w:szCs w:val="21"/>
              </w:rPr>
            </w:pPr>
            <w:r>
              <w:rPr>
                <w:rFonts w:hint="eastAsia" w:ascii="宋体" w:hAnsi="宋体"/>
                <w:szCs w:val="21"/>
              </w:rPr>
              <w:t xml:space="preserve">总价 </w:t>
            </w:r>
            <w:r>
              <w:rPr>
                <w:rFonts w:ascii="宋体" w:hAnsi="宋体"/>
                <w:szCs w:val="21"/>
              </w:rPr>
              <w:t xml:space="preserve">   </w:t>
            </w:r>
            <w:r>
              <w:rPr>
                <w:rFonts w:hint="eastAsia" w:ascii="宋体" w:hAnsi="宋体"/>
                <w:szCs w:val="21"/>
              </w:rPr>
              <w:t>（万元）</w:t>
            </w:r>
          </w:p>
        </w:tc>
        <w:tc>
          <w:tcPr>
            <w:tcW w:w="496" w:type="pct"/>
            <w:tcBorders>
              <w:top w:val="single" w:color="auto" w:sz="4" w:space="0"/>
              <w:left w:val="single" w:color="auto" w:sz="6" w:space="0"/>
              <w:bottom w:val="single" w:color="auto" w:sz="4" w:space="0"/>
              <w:right w:val="single" w:color="auto" w:sz="4" w:space="0"/>
            </w:tcBorders>
            <w:vAlign w:val="center"/>
          </w:tcPr>
          <w:p w14:paraId="12A5BA5A">
            <w:pPr>
              <w:jc w:val="center"/>
              <w:rPr>
                <w:rFonts w:ascii="宋体" w:hAnsi="宋体"/>
                <w:szCs w:val="21"/>
              </w:rPr>
            </w:pPr>
            <w:r>
              <w:rPr>
                <w:rFonts w:hint="eastAsia" w:ascii="宋体" w:hAnsi="宋体"/>
                <w:szCs w:val="21"/>
              </w:rPr>
              <w:t>备注</w:t>
            </w:r>
          </w:p>
        </w:tc>
      </w:tr>
      <w:tr w14:paraId="5688C4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440" w:hRule="atLeast"/>
          <w:jc w:val="center"/>
        </w:trPr>
        <w:tc>
          <w:tcPr>
            <w:tcW w:w="234" w:type="pct"/>
            <w:vMerge w:val="continue"/>
            <w:tcBorders>
              <w:top w:val="single" w:color="auto" w:sz="4" w:space="0"/>
              <w:left w:val="single" w:color="auto" w:sz="6" w:space="0"/>
              <w:right w:val="single" w:color="auto" w:sz="6" w:space="0"/>
            </w:tcBorders>
            <w:vAlign w:val="center"/>
          </w:tcPr>
          <w:p w14:paraId="1B58C176">
            <w:pPr>
              <w:jc w:val="left"/>
              <w:rPr>
                <w:rFonts w:ascii="宋体" w:hAnsi="宋体"/>
                <w:szCs w:val="21"/>
              </w:rPr>
            </w:pPr>
          </w:p>
        </w:tc>
        <w:tc>
          <w:tcPr>
            <w:tcW w:w="386" w:type="pct"/>
            <w:tcBorders>
              <w:top w:val="single" w:color="auto" w:sz="4" w:space="0"/>
              <w:left w:val="single" w:color="auto" w:sz="6" w:space="0"/>
              <w:right w:val="single" w:color="auto" w:sz="4" w:space="0"/>
            </w:tcBorders>
            <w:vAlign w:val="center"/>
          </w:tcPr>
          <w:p w14:paraId="370285A3">
            <w:pPr>
              <w:jc w:val="center"/>
              <w:rPr>
                <w:rFonts w:ascii="宋体" w:hAnsi="宋体"/>
                <w:szCs w:val="21"/>
              </w:rPr>
            </w:pPr>
            <w:r>
              <w:rPr>
                <w:rFonts w:hint="eastAsia" w:ascii="宋体" w:hAnsi="宋体"/>
                <w:szCs w:val="21"/>
              </w:rPr>
              <w:t>1</w:t>
            </w:r>
          </w:p>
        </w:tc>
        <w:tc>
          <w:tcPr>
            <w:tcW w:w="1543" w:type="dxa"/>
            <w:tcBorders>
              <w:top w:val="single" w:color="auto" w:sz="4" w:space="0"/>
              <w:left w:val="single" w:color="auto" w:sz="4" w:space="0"/>
            </w:tcBorders>
            <w:vAlign w:val="center"/>
          </w:tcPr>
          <w:p w14:paraId="76CD99C6">
            <w:pPr>
              <w:spacing w:after="120"/>
              <w:jc w:val="center"/>
              <w:rPr>
                <w:rFonts w:ascii="宋体" w:hAnsi="宋体"/>
                <w:szCs w:val="21"/>
              </w:rPr>
            </w:pPr>
          </w:p>
        </w:tc>
        <w:tc>
          <w:tcPr>
            <w:tcW w:w="1188" w:type="dxa"/>
            <w:tcBorders>
              <w:top w:val="single" w:color="auto" w:sz="4" w:space="0"/>
            </w:tcBorders>
            <w:vAlign w:val="center"/>
          </w:tcPr>
          <w:p w14:paraId="48913FC8">
            <w:pPr>
              <w:spacing w:after="120"/>
              <w:jc w:val="center"/>
              <w:rPr>
                <w:rFonts w:ascii="宋体" w:hAnsi="宋体"/>
                <w:szCs w:val="21"/>
              </w:rPr>
            </w:pPr>
          </w:p>
        </w:tc>
        <w:tc>
          <w:tcPr>
            <w:tcW w:w="758" w:type="dxa"/>
            <w:tcBorders>
              <w:top w:val="single" w:color="auto" w:sz="4" w:space="0"/>
            </w:tcBorders>
            <w:vAlign w:val="center"/>
          </w:tcPr>
          <w:p w14:paraId="0748C96E">
            <w:pPr>
              <w:widowControl/>
              <w:jc w:val="center"/>
              <w:rPr>
                <w:rFonts w:ascii="宋体" w:hAnsi="宋体"/>
                <w:szCs w:val="21"/>
              </w:rPr>
            </w:pPr>
          </w:p>
        </w:tc>
        <w:tc>
          <w:tcPr>
            <w:tcW w:w="1055" w:type="dxa"/>
            <w:tcBorders>
              <w:top w:val="single" w:color="auto" w:sz="4" w:space="0"/>
            </w:tcBorders>
            <w:vAlign w:val="center"/>
          </w:tcPr>
          <w:p w14:paraId="0E643869">
            <w:pPr>
              <w:widowControl/>
              <w:jc w:val="center"/>
              <w:rPr>
                <w:rFonts w:ascii="宋体" w:hAnsi="宋体"/>
                <w:szCs w:val="21"/>
              </w:rPr>
            </w:pPr>
          </w:p>
        </w:tc>
        <w:tc>
          <w:tcPr>
            <w:tcW w:w="1211" w:type="dxa"/>
            <w:tcBorders>
              <w:top w:val="single" w:color="auto" w:sz="4" w:space="0"/>
            </w:tcBorders>
            <w:vAlign w:val="center"/>
          </w:tcPr>
          <w:p w14:paraId="35D4D782">
            <w:pPr>
              <w:widowControl/>
              <w:jc w:val="center"/>
              <w:textAlignment w:val="center"/>
              <w:rPr>
                <w:rFonts w:ascii="宋体" w:hAnsi="宋体"/>
                <w:szCs w:val="21"/>
              </w:rPr>
            </w:pPr>
          </w:p>
        </w:tc>
        <w:tc>
          <w:tcPr>
            <w:tcW w:w="1071" w:type="dxa"/>
            <w:tcBorders>
              <w:top w:val="single" w:color="auto" w:sz="4" w:space="0"/>
            </w:tcBorders>
            <w:vAlign w:val="center"/>
          </w:tcPr>
          <w:p w14:paraId="415C5504">
            <w:pPr>
              <w:widowControl/>
              <w:jc w:val="center"/>
              <w:textAlignment w:val="center"/>
              <w:rPr>
                <w:rFonts w:ascii="宋体" w:hAnsi="宋体"/>
                <w:szCs w:val="21"/>
              </w:rPr>
            </w:pPr>
          </w:p>
        </w:tc>
        <w:tc>
          <w:tcPr>
            <w:tcW w:w="496" w:type="pct"/>
            <w:tcBorders>
              <w:top w:val="single" w:color="auto" w:sz="4" w:space="0"/>
            </w:tcBorders>
            <w:vAlign w:val="center"/>
          </w:tcPr>
          <w:p w14:paraId="0E365C8A">
            <w:pPr>
              <w:jc w:val="center"/>
              <w:rPr>
                <w:rFonts w:ascii="宋体" w:hAnsi="宋体"/>
                <w:szCs w:val="21"/>
              </w:rPr>
            </w:pPr>
          </w:p>
        </w:tc>
      </w:tr>
      <w:tr w14:paraId="10C114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440" w:hRule="atLeast"/>
          <w:jc w:val="center"/>
        </w:trPr>
        <w:tc>
          <w:tcPr>
            <w:tcW w:w="234" w:type="pct"/>
            <w:vMerge w:val="continue"/>
            <w:tcBorders>
              <w:left w:val="single" w:color="auto" w:sz="6" w:space="0"/>
              <w:right w:val="single" w:color="auto" w:sz="6" w:space="0"/>
            </w:tcBorders>
            <w:vAlign w:val="center"/>
          </w:tcPr>
          <w:p w14:paraId="57EE9ABB">
            <w:pPr>
              <w:jc w:val="left"/>
              <w:rPr>
                <w:rFonts w:ascii="宋体" w:hAnsi="宋体"/>
                <w:szCs w:val="21"/>
              </w:rPr>
            </w:pPr>
          </w:p>
        </w:tc>
        <w:tc>
          <w:tcPr>
            <w:tcW w:w="386" w:type="pct"/>
            <w:tcBorders>
              <w:left w:val="single" w:color="auto" w:sz="6" w:space="0"/>
              <w:right w:val="single" w:color="auto" w:sz="4" w:space="0"/>
            </w:tcBorders>
            <w:vAlign w:val="center"/>
          </w:tcPr>
          <w:p w14:paraId="77B2EF5E">
            <w:pPr>
              <w:jc w:val="center"/>
              <w:rPr>
                <w:rFonts w:ascii="宋体" w:hAnsi="宋体"/>
                <w:szCs w:val="21"/>
              </w:rPr>
            </w:pPr>
            <w:r>
              <w:rPr>
                <w:rFonts w:hint="eastAsia" w:ascii="宋体" w:hAnsi="宋体"/>
                <w:szCs w:val="21"/>
              </w:rPr>
              <w:t>2</w:t>
            </w:r>
          </w:p>
        </w:tc>
        <w:tc>
          <w:tcPr>
            <w:tcW w:w="1543" w:type="dxa"/>
            <w:tcBorders>
              <w:left w:val="single" w:color="auto" w:sz="4" w:space="0"/>
            </w:tcBorders>
            <w:vAlign w:val="center"/>
          </w:tcPr>
          <w:p w14:paraId="2695D785">
            <w:pPr>
              <w:spacing w:after="120"/>
              <w:jc w:val="center"/>
              <w:rPr>
                <w:rFonts w:ascii="宋体" w:hAnsi="宋体"/>
                <w:szCs w:val="21"/>
              </w:rPr>
            </w:pPr>
          </w:p>
        </w:tc>
        <w:tc>
          <w:tcPr>
            <w:tcW w:w="1188" w:type="dxa"/>
            <w:vAlign w:val="center"/>
          </w:tcPr>
          <w:p w14:paraId="5D79D238">
            <w:pPr>
              <w:spacing w:after="120"/>
              <w:jc w:val="center"/>
              <w:rPr>
                <w:rFonts w:ascii="宋体" w:hAnsi="宋体"/>
                <w:szCs w:val="21"/>
              </w:rPr>
            </w:pPr>
          </w:p>
        </w:tc>
        <w:tc>
          <w:tcPr>
            <w:tcW w:w="758" w:type="dxa"/>
            <w:vAlign w:val="center"/>
          </w:tcPr>
          <w:p w14:paraId="2582A46F">
            <w:pPr>
              <w:snapToGrid w:val="0"/>
              <w:jc w:val="center"/>
              <w:rPr>
                <w:rFonts w:ascii="宋体" w:hAnsi="宋体"/>
                <w:szCs w:val="21"/>
              </w:rPr>
            </w:pPr>
          </w:p>
        </w:tc>
        <w:tc>
          <w:tcPr>
            <w:tcW w:w="1055" w:type="dxa"/>
            <w:vAlign w:val="center"/>
          </w:tcPr>
          <w:p w14:paraId="1FEAF3FE">
            <w:pPr>
              <w:snapToGrid w:val="0"/>
              <w:jc w:val="center"/>
              <w:rPr>
                <w:rFonts w:ascii="宋体" w:hAnsi="宋体"/>
                <w:szCs w:val="21"/>
              </w:rPr>
            </w:pPr>
          </w:p>
        </w:tc>
        <w:tc>
          <w:tcPr>
            <w:tcW w:w="1211" w:type="dxa"/>
            <w:vAlign w:val="center"/>
          </w:tcPr>
          <w:p w14:paraId="139F1D8F">
            <w:pPr>
              <w:widowControl/>
              <w:jc w:val="center"/>
              <w:textAlignment w:val="center"/>
              <w:rPr>
                <w:rFonts w:ascii="宋体" w:hAnsi="宋体"/>
                <w:szCs w:val="21"/>
              </w:rPr>
            </w:pPr>
          </w:p>
        </w:tc>
        <w:tc>
          <w:tcPr>
            <w:tcW w:w="1071" w:type="dxa"/>
            <w:vAlign w:val="center"/>
          </w:tcPr>
          <w:p w14:paraId="5A3DB8F6">
            <w:pPr>
              <w:widowControl/>
              <w:jc w:val="center"/>
              <w:textAlignment w:val="center"/>
              <w:rPr>
                <w:rFonts w:ascii="宋体" w:hAnsi="宋体"/>
                <w:szCs w:val="21"/>
              </w:rPr>
            </w:pPr>
          </w:p>
        </w:tc>
        <w:tc>
          <w:tcPr>
            <w:tcW w:w="496" w:type="pct"/>
            <w:vAlign w:val="center"/>
          </w:tcPr>
          <w:p w14:paraId="0CED902F">
            <w:pPr>
              <w:jc w:val="center"/>
              <w:rPr>
                <w:rFonts w:ascii="宋体" w:hAnsi="宋体"/>
                <w:szCs w:val="21"/>
              </w:rPr>
            </w:pPr>
          </w:p>
        </w:tc>
      </w:tr>
      <w:tr w14:paraId="0E9B66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440" w:hRule="atLeast"/>
          <w:jc w:val="center"/>
        </w:trPr>
        <w:tc>
          <w:tcPr>
            <w:tcW w:w="234" w:type="pct"/>
            <w:vMerge w:val="continue"/>
            <w:tcBorders>
              <w:left w:val="single" w:color="auto" w:sz="6" w:space="0"/>
              <w:right w:val="single" w:color="auto" w:sz="6" w:space="0"/>
            </w:tcBorders>
            <w:vAlign w:val="center"/>
          </w:tcPr>
          <w:p w14:paraId="5A327F11">
            <w:pPr>
              <w:jc w:val="left"/>
              <w:rPr>
                <w:rFonts w:ascii="宋体" w:hAnsi="宋体"/>
                <w:szCs w:val="21"/>
              </w:rPr>
            </w:pPr>
          </w:p>
        </w:tc>
        <w:tc>
          <w:tcPr>
            <w:tcW w:w="386" w:type="pct"/>
            <w:tcBorders>
              <w:left w:val="single" w:color="auto" w:sz="6" w:space="0"/>
              <w:right w:val="single" w:color="auto" w:sz="4" w:space="0"/>
            </w:tcBorders>
            <w:vAlign w:val="center"/>
          </w:tcPr>
          <w:p w14:paraId="5E418245">
            <w:pPr>
              <w:jc w:val="center"/>
              <w:rPr>
                <w:rFonts w:ascii="宋体" w:hAnsi="宋体"/>
                <w:szCs w:val="21"/>
              </w:rPr>
            </w:pPr>
            <w:r>
              <w:rPr>
                <w:rFonts w:hint="eastAsia" w:ascii="宋体" w:hAnsi="宋体"/>
                <w:szCs w:val="21"/>
              </w:rPr>
              <w:t>3</w:t>
            </w:r>
          </w:p>
        </w:tc>
        <w:tc>
          <w:tcPr>
            <w:tcW w:w="1543" w:type="dxa"/>
            <w:tcBorders>
              <w:left w:val="single" w:color="auto" w:sz="4" w:space="0"/>
            </w:tcBorders>
            <w:vAlign w:val="center"/>
          </w:tcPr>
          <w:p w14:paraId="122F7BC4">
            <w:pPr>
              <w:spacing w:after="120"/>
              <w:jc w:val="center"/>
              <w:rPr>
                <w:rFonts w:ascii="宋体" w:hAnsi="宋体"/>
                <w:szCs w:val="21"/>
              </w:rPr>
            </w:pPr>
          </w:p>
        </w:tc>
        <w:tc>
          <w:tcPr>
            <w:tcW w:w="1188" w:type="dxa"/>
            <w:vAlign w:val="center"/>
          </w:tcPr>
          <w:p w14:paraId="42ABDADB">
            <w:pPr>
              <w:spacing w:after="120"/>
              <w:jc w:val="center"/>
              <w:rPr>
                <w:rFonts w:ascii="宋体" w:hAnsi="宋体"/>
                <w:szCs w:val="21"/>
              </w:rPr>
            </w:pPr>
          </w:p>
        </w:tc>
        <w:tc>
          <w:tcPr>
            <w:tcW w:w="758" w:type="dxa"/>
            <w:vAlign w:val="center"/>
          </w:tcPr>
          <w:p w14:paraId="55F7D66E">
            <w:pPr>
              <w:snapToGrid w:val="0"/>
              <w:jc w:val="center"/>
              <w:rPr>
                <w:rFonts w:ascii="宋体" w:hAnsi="宋体"/>
                <w:szCs w:val="21"/>
              </w:rPr>
            </w:pPr>
          </w:p>
        </w:tc>
        <w:tc>
          <w:tcPr>
            <w:tcW w:w="1055" w:type="dxa"/>
            <w:vAlign w:val="center"/>
          </w:tcPr>
          <w:p w14:paraId="1FEA0FC2">
            <w:pPr>
              <w:snapToGrid w:val="0"/>
              <w:jc w:val="center"/>
              <w:rPr>
                <w:rFonts w:ascii="宋体" w:hAnsi="宋体"/>
                <w:szCs w:val="21"/>
              </w:rPr>
            </w:pPr>
          </w:p>
        </w:tc>
        <w:tc>
          <w:tcPr>
            <w:tcW w:w="1211" w:type="dxa"/>
            <w:vAlign w:val="center"/>
          </w:tcPr>
          <w:p w14:paraId="716B3820">
            <w:pPr>
              <w:widowControl/>
              <w:jc w:val="center"/>
              <w:textAlignment w:val="center"/>
              <w:rPr>
                <w:rFonts w:ascii="宋体" w:hAnsi="宋体"/>
                <w:szCs w:val="21"/>
              </w:rPr>
            </w:pPr>
          </w:p>
        </w:tc>
        <w:tc>
          <w:tcPr>
            <w:tcW w:w="1071" w:type="dxa"/>
            <w:vAlign w:val="center"/>
          </w:tcPr>
          <w:p w14:paraId="39551BBC">
            <w:pPr>
              <w:widowControl/>
              <w:jc w:val="center"/>
              <w:textAlignment w:val="center"/>
              <w:rPr>
                <w:rFonts w:ascii="宋体" w:hAnsi="宋体"/>
                <w:szCs w:val="21"/>
              </w:rPr>
            </w:pPr>
          </w:p>
        </w:tc>
        <w:tc>
          <w:tcPr>
            <w:tcW w:w="496" w:type="pct"/>
            <w:vAlign w:val="center"/>
          </w:tcPr>
          <w:p w14:paraId="1115DBBC">
            <w:pPr>
              <w:jc w:val="center"/>
              <w:rPr>
                <w:rFonts w:ascii="宋体" w:hAnsi="宋体"/>
                <w:szCs w:val="21"/>
              </w:rPr>
            </w:pPr>
          </w:p>
        </w:tc>
      </w:tr>
      <w:tr w14:paraId="0812FA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440" w:hRule="atLeast"/>
          <w:jc w:val="center"/>
        </w:trPr>
        <w:tc>
          <w:tcPr>
            <w:tcW w:w="234" w:type="pct"/>
            <w:vMerge w:val="continue"/>
            <w:tcBorders>
              <w:left w:val="single" w:color="auto" w:sz="6" w:space="0"/>
              <w:right w:val="single" w:color="auto" w:sz="6" w:space="0"/>
            </w:tcBorders>
            <w:vAlign w:val="center"/>
          </w:tcPr>
          <w:p w14:paraId="7AA522BB">
            <w:pPr>
              <w:jc w:val="left"/>
              <w:rPr>
                <w:rFonts w:ascii="宋体" w:hAnsi="宋体"/>
                <w:szCs w:val="21"/>
              </w:rPr>
            </w:pPr>
          </w:p>
        </w:tc>
        <w:tc>
          <w:tcPr>
            <w:tcW w:w="386" w:type="pct"/>
            <w:tcBorders>
              <w:left w:val="single" w:color="auto" w:sz="6" w:space="0"/>
              <w:right w:val="single" w:color="auto" w:sz="4" w:space="0"/>
            </w:tcBorders>
            <w:vAlign w:val="center"/>
          </w:tcPr>
          <w:p w14:paraId="2C324F21">
            <w:pPr>
              <w:jc w:val="center"/>
              <w:rPr>
                <w:rFonts w:ascii="宋体" w:hAnsi="宋体"/>
                <w:szCs w:val="21"/>
              </w:rPr>
            </w:pPr>
            <w:r>
              <w:rPr>
                <w:rFonts w:hint="eastAsia" w:ascii="宋体" w:hAnsi="宋体"/>
                <w:szCs w:val="21"/>
              </w:rPr>
              <w:t>4</w:t>
            </w:r>
          </w:p>
        </w:tc>
        <w:tc>
          <w:tcPr>
            <w:tcW w:w="1543" w:type="dxa"/>
            <w:tcBorders>
              <w:left w:val="single" w:color="auto" w:sz="4" w:space="0"/>
            </w:tcBorders>
            <w:vAlign w:val="center"/>
          </w:tcPr>
          <w:p w14:paraId="21126DBF">
            <w:pPr>
              <w:spacing w:after="120"/>
              <w:jc w:val="center"/>
              <w:rPr>
                <w:rFonts w:ascii="宋体" w:hAnsi="宋体"/>
                <w:szCs w:val="21"/>
              </w:rPr>
            </w:pPr>
          </w:p>
        </w:tc>
        <w:tc>
          <w:tcPr>
            <w:tcW w:w="1188" w:type="dxa"/>
            <w:vAlign w:val="center"/>
          </w:tcPr>
          <w:p w14:paraId="5B08FA2C">
            <w:pPr>
              <w:spacing w:after="120"/>
              <w:jc w:val="center"/>
              <w:rPr>
                <w:rFonts w:ascii="宋体" w:hAnsi="宋体"/>
                <w:szCs w:val="21"/>
              </w:rPr>
            </w:pPr>
          </w:p>
        </w:tc>
        <w:tc>
          <w:tcPr>
            <w:tcW w:w="758" w:type="dxa"/>
            <w:vAlign w:val="center"/>
          </w:tcPr>
          <w:p w14:paraId="02725643">
            <w:pPr>
              <w:snapToGrid w:val="0"/>
              <w:jc w:val="center"/>
              <w:rPr>
                <w:rFonts w:ascii="宋体" w:hAnsi="宋体"/>
                <w:szCs w:val="21"/>
              </w:rPr>
            </w:pPr>
          </w:p>
        </w:tc>
        <w:tc>
          <w:tcPr>
            <w:tcW w:w="1055" w:type="dxa"/>
            <w:vAlign w:val="center"/>
          </w:tcPr>
          <w:p w14:paraId="7763E782">
            <w:pPr>
              <w:snapToGrid w:val="0"/>
              <w:jc w:val="center"/>
              <w:rPr>
                <w:rFonts w:ascii="宋体" w:hAnsi="宋体"/>
                <w:szCs w:val="21"/>
              </w:rPr>
            </w:pPr>
          </w:p>
        </w:tc>
        <w:tc>
          <w:tcPr>
            <w:tcW w:w="1211" w:type="dxa"/>
            <w:vAlign w:val="center"/>
          </w:tcPr>
          <w:p w14:paraId="4EB555A6">
            <w:pPr>
              <w:widowControl/>
              <w:jc w:val="center"/>
              <w:textAlignment w:val="center"/>
              <w:rPr>
                <w:rFonts w:ascii="宋体" w:hAnsi="宋体"/>
                <w:szCs w:val="21"/>
              </w:rPr>
            </w:pPr>
          </w:p>
        </w:tc>
        <w:tc>
          <w:tcPr>
            <w:tcW w:w="1071" w:type="dxa"/>
            <w:vAlign w:val="center"/>
          </w:tcPr>
          <w:p w14:paraId="1DA38F9B">
            <w:pPr>
              <w:widowControl/>
              <w:jc w:val="center"/>
              <w:textAlignment w:val="center"/>
              <w:rPr>
                <w:rFonts w:ascii="宋体" w:hAnsi="宋体"/>
                <w:szCs w:val="21"/>
              </w:rPr>
            </w:pPr>
          </w:p>
        </w:tc>
        <w:tc>
          <w:tcPr>
            <w:tcW w:w="496" w:type="pct"/>
            <w:vAlign w:val="center"/>
          </w:tcPr>
          <w:p w14:paraId="26C90008">
            <w:pPr>
              <w:jc w:val="center"/>
              <w:rPr>
                <w:rFonts w:ascii="宋体" w:hAnsi="宋体"/>
                <w:szCs w:val="21"/>
              </w:rPr>
            </w:pPr>
          </w:p>
        </w:tc>
      </w:tr>
      <w:tr w14:paraId="1BD440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440" w:hRule="atLeast"/>
          <w:jc w:val="center"/>
        </w:trPr>
        <w:tc>
          <w:tcPr>
            <w:tcW w:w="234" w:type="pct"/>
            <w:vMerge w:val="continue"/>
            <w:tcBorders>
              <w:left w:val="single" w:color="auto" w:sz="6" w:space="0"/>
              <w:right w:val="single" w:color="auto" w:sz="6" w:space="0"/>
            </w:tcBorders>
            <w:vAlign w:val="center"/>
          </w:tcPr>
          <w:p w14:paraId="5B2AEC18">
            <w:pPr>
              <w:jc w:val="left"/>
              <w:rPr>
                <w:rFonts w:ascii="宋体" w:hAnsi="宋体"/>
                <w:szCs w:val="21"/>
              </w:rPr>
            </w:pPr>
          </w:p>
        </w:tc>
        <w:tc>
          <w:tcPr>
            <w:tcW w:w="386" w:type="pct"/>
            <w:tcBorders>
              <w:left w:val="single" w:color="auto" w:sz="6" w:space="0"/>
              <w:right w:val="single" w:color="auto" w:sz="4" w:space="0"/>
            </w:tcBorders>
            <w:vAlign w:val="center"/>
          </w:tcPr>
          <w:p w14:paraId="18B04C15">
            <w:pPr>
              <w:jc w:val="center"/>
              <w:rPr>
                <w:rFonts w:ascii="宋体" w:hAnsi="宋体"/>
                <w:szCs w:val="21"/>
              </w:rPr>
            </w:pPr>
            <w:r>
              <w:rPr>
                <w:rFonts w:hint="eastAsia" w:ascii="宋体" w:hAnsi="宋体"/>
                <w:szCs w:val="21"/>
              </w:rPr>
              <w:t>5</w:t>
            </w:r>
          </w:p>
        </w:tc>
        <w:tc>
          <w:tcPr>
            <w:tcW w:w="1543" w:type="dxa"/>
            <w:tcBorders>
              <w:left w:val="single" w:color="auto" w:sz="4" w:space="0"/>
            </w:tcBorders>
            <w:vAlign w:val="center"/>
          </w:tcPr>
          <w:p w14:paraId="3E6382AB">
            <w:pPr>
              <w:spacing w:after="120"/>
              <w:jc w:val="center"/>
              <w:rPr>
                <w:rFonts w:ascii="宋体" w:hAnsi="宋体"/>
                <w:szCs w:val="21"/>
              </w:rPr>
            </w:pPr>
          </w:p>
        </w:tc>
        <w:tc>
          <w:tcPr>
            <w:tcW w:w="1188" w:type="dxa"/>
            <w:vAlign w:val="center"/>
          </w:tcPr>
          <w:p w14:paraId="0A98A713">
            <w:pPr>
              <w:spacing w:after="120"/>
              <w:jc w:val="center"/>
              <w:rPr>
                <w:rFonts w:ascii="宋体" w:hAnsi="宋体"/>
                <w:szCs w:val="21"/>
              </w:rPr>
            </w:pPr>
          </w:p>
        </w:tc>
        <w:tc>
          <w:tcPr>
            <w:tcW w:w="758" w:type="dxa"/>
            <w:vAlign w:val="center"/>
          </w:tcPr>
          <w:p w14:paraId="1D4E4C49">
            <w:pPr>
              <w:jc w:val="center"/>
              <w:rPr>
                <w:rFonts w:ascii="宋体" w:hAnsi="宋体"/>
                <w:szCs w:val="21"/>
              </w:rPr>
            </w:pPr>
          </w:p>
        </w:tc>
        <w:tc>
          <w:tcPr>
            <w:tcW w:w="1055" w:type="dxa"/>
            <w:vAlign w:val="center"/>
          </w:tcPr>
          <w:p w14:paraId="5FD151D4">
            <w:pPr>
              <w:jc w:val="center"/>
              <w:rPr>
                <w:rFonts w:ascii="宋体" w:hAnsi="宋体"/>
                <w:szCs w:val="21"/>
              </w:rPr>
            </w:pPr>
          </w:p>
        </w:tc>
        <w:tc>
          <w:tcPr>
            <w:tcW w:w="1211" w:type="dxa"/>
            <w:vAlign w:val="center"/>
          </w:tcPr>
          <w:p w14:paraId="7C3D0C87">
            <w:pPr>
              <w:widowControl/>
              <w:jc w:val="center"/>
              <w:textAlignment w:val="center"/>
              <w:rPr>
                <w:rFonts w:ascii="宋体" w:hAnsi="宋体"/>
                <w:szCs w:val="21"/>
              </w:rPr>
            </w:pPr>
          </w:p>
        </w:tc>
        <w:tc>
          <w:tcPr>
            <w:tcW w:w="1071" w:type="dxa"/>
            <w:vAlign w:val="center"/>
          </w:tcPr>
          <w:p w14:paraId="4D168111">
            <w:pPr>
              <w:widowControl/>
              <w:jc w:val="center"/>
              <w:textAlignment w:val="center"/>
              <w:rPr>
                <w:rFonts w:ascii="宋体" w:hAnsi="宋体"/>
                <w:szCs w:val="21"/>
              </w:rPr>
            </w:pPr>
          </w:p>
        </w:tc>
        <w:tc>
          <w:tcPr>
            <w:tcW w:w="496" w:type="pct"/>
            <w:vAlign w:val="center"/>
          </w:tcPr>
          <w:p w14:paraId="736243E9">
            <w:pPr>
              <w:jc w:val="center"/>
              <w:rPr>
                <w:rFonts w:ascii="宋体" w:hAnsi="宋体"/>
                <w:szCs w:val="21"/>
              </w:rPr>
            </w:pPr>
          </w:p>
        </w:tc>
      </w:tr>
      <w:tr w14:paraId="216EB7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440" w:hRule="atLeast"/>
          <w:jc w:val="center"/>
        </w:trPr>
        <w:tc>
          <w:tcPr>
            <w:tcW w:w="234" w:type="pct"/>
            <w:vMerge w:val="continue"/>
            <w:tcBorders>
              <w:left w:val="single" w:color="auto" w:sz="6" w:space="0"/>
              <w:right w:val="single" w:color="auto" w:sz="6" w:space="0"/>
            </w:tcBorders>
            <w:vAlign w:val="center"/>
          </w:tcPr>
          <w:p w14:paraId="38BE15DA">
            <w:pPr>
              <w:jc w:val="left"/>
              <w:rPr>
                <w:rFonts w:ascii="宋体" w:hAnsi="宋体"/>
                <w:szCs w:val="21"/>
              </w:rPr>
            </w:pPr>
          </w:p>
        </w:tc>
        <w:tc>
          <w:tcPr>
            <w:tcW w:w="386" w:type="pct"/>
            <w:tcBorders>
              <w:left w:val="single" w:color="auto" w:sz="6" w:space="0"/>
              <w:right w:val="single" w:color="auto" w:sz="4" w:space="0"/>
            </w:tcBorders>
            <w:vAlign w:val="center"/>
          </w:tcPr>
          <w:p w14:paraId="6F592CDA">
            <w:pPr>
              <w:jc w:val="center"/>
              <w:rPr>
                <w:rFonts w:ascii="宋体" w:hAnsi="宋体"/>
                <w:szCs w:val="21"/>
              </w:rPr>
            </w:pPr>
            <w:r>
              <w:rPr>
                <w:rFonts w:hint="eastAsia" w:ascii="宋体" w:hAnsi="宋体"/>
                <w:szCs w:val="21"/>
              </w:rPr>
              <w:t>6</w:t>
            </w:r>
          </w:p>
        </w:tc>
        <w:tc>
          <w:tcPr>
            <w:tcW w:w="1543" w:type="dxa"/>
            <w:tcBorders>
              <w:left w:val="single" w:color="auto" w:sz="4" w:space="0"/>
            </w:tcBorders>
            <w:vAlign w:val="center"/>
          </w:tcPr>
          <w:p w14:paraId="4B1A8D2C">
            <w:pPr>
              <w:spacing w:after="120"/>
              <w:jc w:val="center"/>
              <w:rPr>
                <w:rFonts w:ascii="宋体" w:hAnsi="宋体"/>
                <w:szCs w:val="21"/>
              </w:rPr>
            </w:pPr>
          </w:p>
        </w:tc>
        <w:tc>
          <w:tcPr>
            <w:tcW w:w="1188" w:type="dxa"/>
            <w:vAlign w:val="center"/>
          </w:tcPr>
          <w:p w14:paraId="54A6B311">
            <w:pPr>
              <w:spacing w:after="120"/>
              <w:jc w:val="center"/>
              <w:rPr>
                <w:rFonts w:ascii="宋体" w:hAnsi="宋体"/>
                <w:szCs w:val="21"/>
              </w:rPr>
            </w:pPr>
          </w:p>
        </w:tc>
        <w:tc>
          <w:tcPr>
            <w:tcW w:w="758" w:type="dxa"/>
            <w:vAlign w:val="center"/>
          </w:tcPr>
          <w:p w14:paraId="1A30641A">
            <w:pPr>
              <w:widowControl/>
              <w:jc w:val="center"/>
              <w:rPr>
                <w:rFonts w:ascii="宋体" w:hAnsi="宋体"/>
                <w:szCs w:val="21"/>
              </w:rPr>
            </w:pPr>
          </w:p>
        </w:tc>
        <w:tc>
          <w:tcPr>
            <w:tcW w:w="1055" w:type="dxa"/>
            <w:vAlign w:val="center"/>
          </w:tcPr>
          <w:p w14:paraId="4D7CF384">
            <w:pPr>
              <w:widowControl/>
              <w:jc w:val="center"/>
              <w:rPr>
                <w:rFonts w:ascii="宋体" w:hAnsi="宋体"/>
                <w:szCs w:val="21"/>
              </w:rPr>
            </w:pPr>
          </w:p>
        </w:tc>
        <w:tc>
          <w:tcPr>
            <w:tcW w:w="1211" w:type="dxa"/>
            <w:vAlign w:val="center"/>
          </w:tcPr>
          <w:p w14:paraId="4D96E006">
            <w:pPr>
              <w:widowControl/>
              <w:jc w:val="center"/>
              <w:textAlignment w:val="center"/>
              <w:rPr>
                <w:rFonts w:ascii="宋体" w:hAnsi="宋体"/>
                <w:szCs w:val="21"/>
              </w:rPr>
            </w:pPr>
          </w:p>
        </w:tc>
        <w:tc>
          <w:tcPr>
            <w:tcW w:w="1071" w:type="dxa"/>
            <w:vAlign w:val="center"/>
          </w:tcPr>
          <w:p w14:paraId="301D348D">
            <w:pPr>
              <w:widowControl/>
              <w:jc w:val="center"/>
              <w:textAlignment w:val="center"/>
              <w:rPr>
                <w:rFonts w:ascii="宋体" w:hAnsi="宋体"/>
                <w:szCs w:val="21"/>
              </w:rPr>
            </w:pPr>
          </w:p>
        </w:tc>
        <w:tc>
          <w:tcPr>
            <w:tcW w:w="496" w:type="pct"/>
            <w:vAlign w:val="center"/>
          </w:tcPr>
          <w:p w14:paraId="6B75CE0D">
            <w:pPr>
              <w:jc w:val="center"/>
              <w:rPr>
                <w:rFonts w:ascii="宋体" w:hAnsi="宋体"/>
                <w:szCs w:val="21"/>
              </w:rPr>
            </w:pPr>
          </w:p>
        </w:tc>
      </w:tr>
      <w:tr w14:paraId="343DD2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440" w:hRule="atLeast"/>
          <w:jc w:val="center"/>
        </w:trPr>
        <w:tc>
          <w:tcPr>
            <w:tcW w:w="234" w:type="pct"/>
            <w:vMerge w:val="continue"/>
            <w:tcBorders>
              <w:left w:val="single" w:color="auto" w:sz="6" w:space="0"/>
              <w:right w:val="single" w:color="auto" w:sz="6" w:space="0"/>
            </w:tcBorders>
            <w:vAlign w:val="center"/>
          </w:tcPr>
          <w:p w14:paraId="2F8F9B55">
            <w:pPr>
              <w:jc w:val="left"/>
              <w:rPr>
                <w:rFonts w:ascii="宋体" w:hAnsi="宋体"/>
                <w:szCs w:val="21"/>
              </w:rPr>
            </w:pPr>
          </w:p>
        </w:tc>
        <w:tc>
          <w:tcPr>
            <w:tcW w:w="386" w:type="pct"/>
            <w:tcBorders>
              <w:left w:val="single" w:color="auto" w:sz="6" w:space="0"/>
              <w:right w:val="single" w:color="auto" w:sz="4" w:space="0"/>
            </w:tcBorders>
            <w:vAlign w:val="center"/>
          </w:tcPr>
          <w:p w14:paraId="3346D8C2">
            <w:pPr>
              <w:jc w:val="center"/>
              <w:rPr>
                <w:rFonts w:ascii="宋体" w:hAnsi="宋体"/>
                <w:szCs w:val="21"/>
              </w:rPr>
            </w:pPr>
            <w:r>
              <w:rPr>
                <w:rFonts w:hint="eastAsia" w:ascii="宋体" w:hAnsi="宋体"/>
                <w:szCs w:val="21"/>
              </w:rPr>
              <w:t>7</w:t>
            </w:r>
          </w:p>
        </w:tc>
        <w:tc>
          <w:tcPr>
            <w:tcW w:w="1543" w:type="dxa"/>
            <w:tcBorders>
              <w:left w:val="single" w:color="auto" w:sz="4" w:space="0"/>
            </w:tcBorders>
            <w:vAlign w:val="center"/>
          </w:tcPr>
          <w:p w14:paraId="3FF64BE4">
            <w:pPr>
              <w:spacing w:after="120"/>
              <w:jc w:val="center"/>
              <w:rPr>
                <w:rFonts w:ascii="宋体" w:hAnsi="宋体"/>
                <w:szCs w:val="21"/>
              </w:rPr>
            </w:pPr>
          </w:p>
        </w:tc>
        <w:tc>
          <w:tcPr>
            <w:tcW w:w="1188" w:type="dxa"/>
            <w:vAlign w:val="center"/>
          </w:tcPr>
          <w:p w14:paraId="66CA3341">
            <w:pPr>
              <w:spacing w:after="120"/>
              <w:jc w:val="center"/>
              <w:rPr>
                <w:rFonts w:ascii="宋体" w:hAnsi="宋体"/>
                <w:szCs w:val="21"/>
              </w:rPr>
            </w:pPr>
          </w:p>
        </w:tc>
        <w:tc>
          <w:tcPr>
            <w:tcW w:w="758" w:type="dxa"/>
            <w:vAlign w:val="center"/>
          </w:tcPr>
          <w:p w14:paraId="761D451D">
            <w:pPr>
              <w:widowControl/>
              <w:jc w:val="center"/>
              <w:rPr>
                <w:rFonts w:ascii="宋体" w:hAnsi="宋体"/>
                <w:szCs w:val="21"/>
              </w:rPr>
            </w:pPr>
          </w:p>
        </w:tc>
        <w:tc>
          <w:tcPr>
            <w:tcW w:w="1055" w:type="dxa"/>
            <w:vAlign w:val="center"/>
          </w:tcPr>
          <w:p w14:paraId="5BF15714">
            <w:pPr>
              <w:widowControl/>
              <w:jc w:val="center"/>
              <w:rPr>
                <w:rFonts w:ascii="宋体" w:hAnsi="宋体"/>
                <w:szCs w:val="21"/>
              </w:rPr>
            </w:pPr>
          </w:p>
        </w:tc>
        <w:tc>
          <w:tcPr>
            <w:tcW w:w="1211" w:type="dxa"/>
            <w:vAlign w:val="center"/>
          </w:tcPr>
          <w:p w14:paraId="54A689AF">
            <w:pPr>
              <w:widowControl/>
              <w:jc w:val="center"/>
              <w:textAlignment w:val="center"/>
              <w:rPr>
                <w:rFonts w:ascii="宋体" w:hAnsi="宋体"/>
                <w:szCs w:val="21"/>
              </w:rPr>
            </w:pPr>
          </w:p>
        </w:tc>
        <w:tc>
          <w:tcPr>
            <w:tcW w:w="1071" w:type="dxa"/>
            <w:vAlign w:val="center"/>
          </w:tcPr>
          <w:p w14:paraId="13FCDC3D">
            <w:pPr>
              <w:widowControl/>
              <w:jc w:val="center"/>
              <w:textAlignment w:val="center"/>
              <w:rPr>
                <w:rFonts w:ascii="宋体" w:hAnsi="宋体"/>
                <w:szCs w:val="21"/>
              </w:rPr>
            </w:pPr>
          </w:p>
        </w:tc>
        <w:tc>
          <w:tcPr>
            <w:tcW w:w="496" w:type="pct"/>
            <w:vAlign w:val="center"/>
          </w:tcPr>
          <w:p w14:paraId="6699C595">
            <w:pPr>
              <w:jc w:val="center"/>
              <w:rPr>
                <w:rFonts w:ascii="宋体" w:hAnsi="宋体"/>
                <w:szCs w:val="21"/>
              </w:rPr>
            </w:pPr>
          </w:p>
        </w:tc>
      </w:tr>
      <w:tr w14:paraId="0F797C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440" w:hRule="atLeast"/>
          <w:jc w:val="center"/>
        </w:trPr>
        <w:tc>
          <w:tcPr>
            <w:tcW w:w="234" w:type="pct"/>
            <w:vMerge w:val="continue"/>
            <w:tcBorders>
              <w:left w:val="single" w:color="auto" w:sz="6" w:space="0"/>
              <w:right w:val="single" w:color="auto" w:sz="6" w:space="0"/>
            </w:tcBorders>
            <w:vAlign w:val="center"/>
          </w:tcPr>
          <w:p w14:paraId="42C24003">
            <w:pPr>
              <w:jc w:val="left"/>
              <w:rPr>
                <w:rFonts w:ascii="宋体" w:hAnsi="宋体"/>
                <w:szCs w:val="21"/>
              </w:rPr>
            </w:pPr>
          </w:p>
        </w:tc>
        <w:tc>
          <w:tcPr>
            <w:tcW w:w="386" w:type="pct"/>
            <w:tcBorders>
              <w:left w:val="single" w:color="auto" w:sz="6" w:space="0"/>
              <w:right w:val="single" w:color="auto" w:sz="4" w:space="0"/>
            </w:tcBorders>
            <w:vAlign w:val="center"/>
          </w:tcPr>
          <w:p w14:paraId="311E8B0F">
            <w:pPr>
              <w:jc w:val="center"/>
              <w:rPr>
                <w:rFonts w:ascii="宋体" w:hAnsi="宋体"/>
                <w:szCs w:val="21"/>
              </w:rPr>
            </w:pPr>
          </w:p>
        </w:tc>
        <w:tc>
          <w:tcPr>
            <w:tcW w:w="1543" w:type="dxa"/>
            <w:tcBorders>
              <w:left w:val="single" w:color="auto" w:sz="4" w:space="0"/>
            </w:tcBorders>
            <w:vAlign w:val="center"/>
          </w:tcPr>
          <w:p w14:paraId="7BC97B5D">
            <w:pPr>
              <w:spacing w:after="120"/>
              <w:jc w:val="center"/>
              <w:rPr>
                <w:rFonts w:ascii="宋体" w:hAnsi="宋体"/>
                <w:szCs w:val="21"/>
              </w:rPr>
            </w:pPr>
          </w:p>
        </w:tc>
        <w:tc>
          <w:tcPr>
            <w:tcW w:w="1188" w:type="dxa"/>
            <w:vAlign w:val="center"/>
          </w:tcPr>
          <w:p w14:paraId="7B8E9279">
            <w:pPr>
              <w:spacing w:after="120"/>
              <w:jc w:val="center"/>
              <w:rPr>
                <w:rFonts w:ascii="宋体" w:hAnsi="宋体"/>
                <w:szCs w:val="21"/>
              </w:rPr>
            </w:pPr>
          </w:p>
        </w:tc>
        <w:tc>
          <w:tcPr>
            <w:tcW w:w="758" w:type="dxa"/>
            <w:vAlign w:val="center"/>
          </w:tcPr>
          <w:p w14:paraId="2796172E">
            <w:pPr>
              <w:widowControl/>
              <w:jc w:val="center"/>
              <w:rPr>
                <w:rFonts w:ascii="宋体" w:hAnsi="宋体"/>
                <w:szCs w:val="21"/>
              </w:rPr>
            </w:pPr>
          </w:p>
        </w:tc>
        <w:tc>
          <w:tcPr>
            <w:tcW w:w="1055" w:type="dxa"/>
            <w:vAlign w:val="center"/>
          </w:tcPr>
          <w:p w14:paraId="440416DA">
            <w:pPr>
              <w:widowControl/>
              <w:jc w:val="center"/>
              <w:rPr>
                <w:rFonts w:ascii="宋体" w:hAnsi="宋体"/>
                <w:szCs w:val="21"/>
              </w:rPr>
            </w:pPr>
          </w:p>
        </w:tc>
        <w:tc>
          <w:tcPr>
            <w:tcW w:w="1211" w:type="dxa"/>
            <w:vAlign w:val="center"/>
          </w:tcPr>
          <w:p w14:paraId="6BED8C8C">
            <w:pPr>
              <w:widowControl/>
              <w:jc w:val="center"/>
              <w:textAlignment w:val="center"/>
              <w:rPr>
                <w:rFonts w:ascii="宋体" w:hAnsi="宋体"/>
                <w:szCs w:val="21"/>
              </w:rPr>
            </w:pPr>
          </w:p>
        </w:tc>
        <w:tc>
          <w:tcPr>
            <w:tcW w:w="1071" w:type="dxa"/>
            <w:vAlign w:val="center"/>
          </w:tcPr>
          <w:p w14:paraId="1335D185">
            <w:pPr>
              <w:widowControl/>
              <w:jc w:val="center"/>
              <w:textAlignment w:val="center"/>
              <w:rPr>
                <w:rFonts w:ascii="宋体" w:hAnsi="宋体"/>
                <w:szCs w:val="21"/>
              </w:rPr>
            </w:pPr>
          </w:p>
        </w:tc>
        <w:tc>
          <w:tcPr>
            <w:tcW w:w="496" w:type="pct"/>
            <w:vAlign w:val="center"/>
          </w:tcPr>
          <w:p w14:paraId="12B39C22">
            <w:pPr>
              <w:jc w:val="center"/>
              <w:rPr>
                <w:rFonts w:ascii="宋体" w:hAnsi="宋体"/>
                <w:szCs w:val="21"/>
              </w:rPr>
            </w:pPr>
          </w:p>
        </w:tc>
      </w:tr>
      <w:tr w14:paraId="09B0F2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440" w:hRule="atLeast"/>
          <w:jc w:val="center"/>
        </w:trPr>
        <w:tc>
          <w:tcPr>
            <w:tcW w:w="234" w:type="pct"/>
            <w:vMerge w:val="continue"/>
            <w:tcBorders>
              <w:left w:val="single" w:color="auto" w:sz="6" w:space="0"/>
              <w:right w:val="single" w:color="auto" w:sz="6" w:space="0"/>
            </w:tcBorders>
            <w:vAlign w:val="center"/>
          </w:tcPr>
          <w:p w14:paraId="42A629CC">
            <w:pPr>
              <w:jc w:val="left"/>
              <w:rPr>
                <w:rFonts w:ascii="宋体" w:hAnsi="宋体"/>
                <w:szCs w:val="21"/>
              </w:rPr>
            </w:pPr>
          </w:p>
        </w:tc>
        <w:tc>
          <w:tcPr>
            <w:tcW w:w="386" w:type="pct"/>
            <w:tcBorders>
              <w:left w:val="single" w:color="auto" w:sz="6" w:space="0"/>
              <w:right w:val="single" w:color="auto" w:sz="4" w:space="0"/>
            </w:tcBorders>
            <w:vAlign w:val="center"/>
          </w:tcPr>
          <w:p w14:paraId="7B9E61A7">
            <w:pPr>
              <w:jc w:val="center"/>
              <w:rPr>
                <w:rFonts w:ascii="宋体" w:hAnsi="宋体"/>
                <w:szCs w:val="21"/>
              </w:rPr>
            </w:pPr>
          </w:p>
        </w:tc>
        <w:tc>
          <w:tcPr>
            <w:tcW w:w="1543" w:type="dxa"/>
            <w:tcBorders>
              <w:left w:val="single" w:color="auto" w:sz="4" w:space="0"/>
            </w:tcBorders>
            <w:vAlign w:val="center"/>
          </w:tcPr>
          <w:p w14:paraId="06154F1D">
            <w:pPr>
              <w:spacing w:after="120"/>
              <w:jc w:val="center"/>
              <w:rPr>
                <w:rFonts w:ascii="宋体" w:hAnsi="宋体"/>
                <w:szCs w:val="21"/>
              </w:rPr>
            </w:pPr>
          </w:p>
        </w:tc>
        <w:tc>
          <w:tcPr>
            <w:tcW w:w="1188" w:type="dxa"/>
            <w:vAlign w:val="center"/>
          </w:tcPr>
          <w:p w14:paraId="7A88C05B">
            <w:pPr>
              <w:spacing w:after="120"/>
              <w:jc w:val="center"/>
              <w:rPr>
                <w:rFonts w:ascii="宋体" w:hAnsi="宋体"/>
                <w:szCs w:val="21"/>
              </w:rPr>
            </w:pPr>
          </w:p>
        </w:tc>
        <w:tc>
          <w:tcPr>
            <w:tcW w:w="758" w:type="dxa"/>
            <w:vAlign w:val="center"/>
          </w:tcPr>
          <w:p w14:paraId="6B48656E">
            <w:pPr>
              <w:widowControl/>
              <w:jc w:val="center"/>
              <w:rPr>
                <w:rFonts w:ascii="宋体" w:hAnsi="宋体"/>
                <w:szCs w:val="21"/>
              </w:rPr>
            </w:pPr>
          </w:p>
        </w:tc>
        <w:tc>
          <w:tcPr>
            <w:tcW w:w="1055" w:type="dxa"/>
            <w:vAlign w:val="center"/>
          </w:tcPr>
          <w:p w14:paraId="53682F43">
            <w:pPr>
              <w:widowControl/>
              <w:jc w:val="center"/>
              <w:rPr>
                <w:rFonts w:ascii="宋体" w:hAnsi="宋体"/>
                <w:szCs w:val="21"/>
              </w:rPr>
            </w:pPr>
          </w:p>
        </w:tc>
        <w:tc>
          <w:tcPr>
            <w:tcW w:w="1211" w:type="dxa"/>
            <w:vAlign w:val="center"/>
          </w:tcPr>
          <w:p w14:paraId="5EE9F262">
            <w:pPr>
              <w:widowControl/>
              <w:jc w:val="center"/>
              <w:textAlignment w:val="center"/>
              <w:rPr>
                <w:rFonts w:ascii="宋体" w:hAnsi="宋体"/>
                <w:szCs w:val="21"/>
              </w:rPr>
            </w:pPr>
          </w:p>
        </w:tc>
        <w:tc>
          <w:tcPr>
            <w:tcW w:w="1071" w:type="dxa"/>
            <w:vAlign w:val="center"/>
          </w:tcPr>
          <w:p w14:paraId="500479A9">
            <w:pPr>
              <w:widowControl/>
              <w:jc w:val="center"/>
              <w:textAlignment w:val="center"/>
              <w:rPr>
                <w:rFonts w:ascii="宋体" w:hAnsi="宋体"/>
                <w:szCs w:val="21"/>
              </w:rPr>
            </w:pPr>
          </w:p>
        </w:tc>
        <w:tc>
          <w:tcPr>
            <w:tcW w:w="496" w:type="pct"/>
            <w:vAlign w:val="center"/>
          </w:tcPr>
          <w:p w14:paraId="56BC1CFD">
            <w:pPr>
              <w:jc w:val="center"/>
              <w:rPr>
                <w:rFonts w:ascii="宋体" w:hAnsi="宋体"/>
                <w:szCs w:val="21"/>
              </w:rPr>
            </w:pPr>
          </w:p>
        </w:tc>
      </w:tr>
      <w:tr w14:paraId="14CD5E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440" w:hRule="atLeast"/>
          <w:jc w:val="center"/>
        </w:trPr>
        <w:tc>
          <w:tcPr>
            <w:tcW w:w="234" w:type="pct"/>
            <w:vMerge w:val="continue"/>
            <w:tcBorders>
              <w:left w:val="single" w:color="auto" w:sz="6" w:space="0"/>
              <w:right w:val="single" w:color="auto" w:sz="6" w:space="0"/>
            </w:tcBorders>
            <w:vAlign w:val="center"/>
          </w:tcPr>
          <w:p w14:paraId="6454C5A3">
            <w:pPr>
              <w:jc w:val="left"/>
              <w:rPr>
                <w:rFonts w:ascii="宋体" w:hAnsi="宋体"/>
                <w:szCs w:val="21"/>
              </w:rPr>
            </w:pPr>
          </w:p>
        </w:tc>
        <w:tc>
          <w:tcPr>
            <w:tcW w:w="386" w:type="pct"/>
            <w:tcBorders>
              <w:left w:val="single" w:color="auto" w:sz="6" w:space="0"/>
              <w:right w:val="single" w:color="auto" w:sz="4" w:space="0"/>
            </w:tcBorders>
            <w:vAlign w:val="center"/>
          </w:tcPr>
          <w:p w14:paraId="232ED895">
            <w:pPr>
              <w:jc w:val="center"/>
              <w:rPr>
                <w:rFonts w:ascii="宋体" w:hAnsi="宋体"/>
                <w:szCs w:val="21"/>
              </w:rPr>
            </w:pPr>
          </w:p>
        </w:tc>
        <w:tc>
          <w:tcPr>
            <w:tcW w:w="1543" w:type="dxa"/>
            <w:tcBorders>
              <w:left w:val="single" w:color="auto" w:sz="4" w:space="0"/>
            </w:tcBorders>
            <w:vAlign w:val="center"/>
          </w:tcPr>
          <w:p w14:paraId="573781DA">
            <w:pPr>
              <w:spacing w:after="120"/>
              <w:jc w:val="center"/>
              <w:rPr>
                <w:rFonts w:ascii="宋体" w:hAnsi="宋体"/>
                <w:szCs w:val="21"/>
              </w:rPr>
            </w:pPr>
          </w:p>
        </w:tc>
        <w:tc>
          <w:tcPr>
            <w:tcW w:w="1188" w:type="dxa"/>
            <w:vAlign w:val="center"/>
          </w:tcPr>
          <w:p w14:paraId="077D6B1B">
            <w:pPr>
              <w:spacing w:after="120"/>
              <w:jc w:val="center"/>
              <w:rPr>
                <w:rFonts w:ascii="宋体" w:hAnsi="宋体"/>
                <w:szCs w:val="21"/>
              </w:rPr>
            </w:pPr>
          </w:p>
        </w:tc>
        <w:tc>
          <w:tcPr>
            <w:tcW w:w="758" w:type="dxa"/>
            <w:vAlign w:val="center"/>
          </w:tcPr>
          <w:p w14:paraId="7182954A">
            <w:pPr>
              <w:widowControl/>
              <w:jc w:val="center"/>
              <w:rPr>
                <w:rFonts w:ascii="宋体" w:hAnsi="宋体"/>
                <w:szCs w:val="21"/>
              </w:rPr>
            </w:pPr>
          </w:p>
        </w:tc>
        <w:tc>
          <w:tcPr>
            <w:tcW w:w="1055" w:type="dxa"/>
            <w:vAlign w:val="center"/>
          </w:tcPr>
          <w:p w14:paraId="39A637B6">
            <w:pPr>
              <w:widowControl/>
              <w:jc w:val="center"/>
              <w:rPr>
                <w:rFonts w:ascii="宋体" w:hAnsi="宋体"/>
                <w:szCs w:val="21"/>
              </w:rPr>
            </w:pPr>
          </w:p>
        </w:tc>
        <w:tc>
          <w:tcPr>
            <w:tcW w:w="1211" w:type="dxa"/>
            <w:vAlign w:val="center"/>
          </w:tcPr>
          <w:p w14:paraId="38B41676">
            <w:pPr>
              <w:widowControl/>
              <w:jc w:val="center"/>
              <w:textAlignment w:val="center"/>
              <w:rPr>
                <w:rFonts w:ascii="宋体" w:hAnsi="宋体"/>
                <w:szCs w:val="21"/>
              </w:rPr>
            </w:pPr>
          </w:p>
        </w:tc>
        <w:tc>
          <w:tcPr>
            <w:tcW w:w="1071" w:type="dxa"/>
            <w:vAlign w:val="center"/>
          </w:tcPr>
          <w:p w14:paraId="6FCE826F">
            <w:pPr>
              <w:widowControl/>
              <w:jc w:val="center"/>
              <w:textAlignment w:val="center"/>
              <w:rPr>
                <w:rFonts w:ascii="宋体" w:hAnsi="宋体"/>
                <w:szCs w:val="21"/>
              </w:rPr>
            </w:pPr>
          </w:p>
        </w:tc>
        <w:tc>
          <w:tcPr>
            <w:tcW w:w="496" w:type="pct"/>
            <w:vAlign w:val="center"/>
          </w:tcPr>
          <w:p w14:paraId="606EC6CC">
            <w:pPr>
              <w:jc w:val="center"/>
              <w:rPr>
                <w:rFonts w:ascii="宋体" w:hAnsi="宋体"/>
                <w:szCs w:val="21"/>
              </w:rPr>
            </w:pPr>
          </w:p>
        </w:tc>
      </w:tr>
      <w:tr w14:paraId="188F45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440" w:hRule="atLeast"/>
          <w:jc w:val="center"/>
        </w:trPr>
        <w:tc>
          <w:tcPr>
            <w:tcW w:w="234" w:type="pct"/>
            <w:vMerge w:val="continue"/>
            <w:tcBorders>
              <w:left w:val="single" w:color="auto" w:sz="6" w:space="0"/>
              <w:right w:val="single" w:color="auto" w:sz="6" w:space="0"/>
            </w:tcBorders>
            <w:vAlign w:val="center"/>
          </w:tcPr>
          <w:p w14:paraId="25A74973">
            <w:pPr>
              <w:jc w:val="left"/>
              <w:rPr>
                <w:rFonts w:ascii="宋体" w:hAnsi="宋体"/>
                <w:szCs w:val="21"/>
              </w:rPr>
            </w:pPr>
          </w:p>
        </w:tc>
        <w:tc>
          <w:tcPr>
            <w:tcW w:w="386" w:type="pct"/>
            <w:tcBorders>
              <w:left w:val="single" w:color="auto" w:sz="6" w:space="0"/>
              <w:right w:val="single" w:color="auto" w:sz="4" w:space="0"/>
            </w:tcBorders>
            <w:vAlign w:val="center"/>
          </w:tcPr>
          <w:p w14:paraId="1DB99154">
            <w:pPr>
              <w:jc w:val="center"/>
              <w:rPr>
                <w:rFonts w:ascii="宋体" w:hAnsi="宋体"/>
                <w:szCs w:val="21"/>
              </w:rPr>
            </w:pPr>
          </w:p>
        </w:tc>
        <w:tc>
          <w:tcPr>
            <w:tcW w:w="1543" w:type="dxa"/>
            <w:tcBorders>
              <w:left w:val="single" w:color="auto" w:sz="4" w:space="0"/>
            </w:tcBorders>
            <w:vAlign w:val="center"/>
          </w:tcPr>
          <w:p w14:paraId="7309011B">
            <w:pPr>
              <w:spacing w:after="120"/>
              <w:jc w:val="center"/>
              <w:rPr>
                <w:rFonts w:ascii="宋体" w:hAnsi="宋体"/>
                <w:szCs w:val="21"/>
              </w:rPr>
            </w:pPr>
          </w:p>
        </w:tc>
        <w:tc>
          <w:tcPr>
            <w:tcW w:w="1188" w:type="dxa"/>
            <w:vAlign w:val="center"/>
          </w:tcPr>
          <w:p w14:paraId="3B7C4E7D">
            <w:pPr>
              <w:spacing w:after="120"/>
              <w:jc w:val="center"/>
              <w:rPr>
                <w:rFonts w:ascii="宋体" w:hAnsi="宋体"/>
                <w:szCs w:val="21"/>
              </w:rPr>
            </w:pPr>
          </w:p>
        </w:tc>
        <w:tc>
          <w:tcPr>
            <w:tcW w:w="758" w:type="dxa"/>
            <w:vAlign w:val="center"/>
          </w:tcPr>
          <w:p w14:paraId="2ADBD79F">
            <w:pPr>
              <w:widowControl/>
              <w:jc w:val="center"/>
              <w:rPr>
                <w:rFonts w:ascii="宋体" w:hAnsi="宋体"/>
                <w:szCs w:val="21"/>
              </w:rPr>
            </w:pPr>
          </w:p>
        </w:tc>
        <w:tc>
          <w:tcPr>
            <w:tcW w:w="1055" w:type="dxa"/>
            <w:vAlign w:val="center"/>
          </w:tcPr>
          <w:p w14:paraId="4EEBA9CE">
            <w:pPr>
              <w:widowControl/>
              <w:jc w:val="center"/>
              <w:rPr>
                <w:rFonts w:ascii="宋体" w:hAnsi="宋体"/>
                <w:szCs w:val="21"/>
              </w:rPr>
            </w:pPr>
          </w:p>
        </w:tc>
        <w:tc>
          <w:tcPr>
            <w:tcW w:w="1211" w:type="dxa"/>
            <w:vAlign w:val="center"/>
          </w:tcPr>
          <w:p w14:paraId="41DE22C5">
            <w:pPr>
              <w:widowControl/>
              <w:jc w:val="center"/>
              <w:textAlignment w:val="center"/>
              <w:rPr>
                <w:rFonts w:ascii="宋体" w:hAnsi="宋体"/>
                <w:szCs w:val="21"/>
              </w:rPr>
            </w:pPr>
          </w:p>
        </w:tc>
        <w:tc>
          <w:tcPr>
            <w:tcW w:w="1071" w:type="dxa"/>
            <w:vAlign w:val="center"/>
          </w:tcPr>
          <w:p w14:paraId="01E8BEBB">
            <w:pPr>
              <w:widowControl/>
              <w:jc w:val="center"/>
              <w:textAlignment w:val="center"/>
              <w:rPr>
                <w:rFonts w:ascii="宋体" w:hAnsi="宋体"/>
                <w:szCs w:val="21"/>
              </w:rPr>
            </w:pPr>
          </w:p>
        </w:tc>
        <w:tc>
          <w:tcPr>
            <w:tcW w:w="496" w:type="pct"/>
            <w:vAlign w:val="center"/>
          </w:tcPr>
          <w:p w14:paraId="58E9B345">
            <w:pPr>
              <w:jc w:val="center"/>
              <w:rPr>
                <w:rFonts w:ascii="宋体" w:hAnsi="宋体"/>
                <w:szCs w:val="21"/>
              </w:rPr>
            </w:pPr>
          </w:p>
        </w:tc>
      </w:tr>
      <w:tr w14:paraId="433049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440" w:hRule="atLeast"/>
          <w:jc w:val="center"/>
        </w:trPr>
        <w:tc>
          <w:tcPr>
            <w:tcW w:w="234" w:type="pct"/>
            <w:vMerge w:val="continue"/>
            <w:tcBorders>
              <w:left w:val="single" w:color="auto" w:sz="6" w:space="0"/>
              <w:right w:val="single" w:color="auto" w:sz="6" w:space="0"/>
            </w:tcBorders>
            <w:vAlign w:val="center"/>
          </w:tcPr>
          <w:p w14:paraId="4B747008">
            <w:pPr>
              <w:jc w:val="left"/>
              <w:rPr>
                <w:rFonts w:ascii="宋体" w:hAnsi="宋体"/>
                <w:szCs w:val="21"/>
              </w:rPr>
            </w:pPr>
          </w:p>
        </w:tc>
        <w:tc>
          <w:tcPr>
            <w:tcW w:w="386" w:type="pct"/>
            <w:tcBorders>
              <w:left w:val="single" w:color="auto" w:sz="6" w:space="0"/>
              <w:right w:val="single" w:color="auto" w:sz="4" w:space="0"/>
            </w:tcBorders>
            <w:vAlign w:val="center"/>
          </w:tcPr>
          <w:p w14:paraId="4CFAB819">
            <w:pPr>
              <w:jc w:val="center"/>
              <w:rPr>
                <w:rFonts w:ascii="宋体" w:hAnsi="宋体"/>
                <w:szCs w:val="21"/>
              </w:rPr>
            </w:pPr>
          </w:p>
        </w:tc>
        <w:tc>
          <w:tcPr>
            <w:tcW w:w="1543" w:type="dxa"/>
            <w:tcBorders>
              <w:left w:val="single" w:color="auto" w:sz="4" w:space="0"/>
            </w:tcBorders>
            <w:vAlign w:val="center"/>
          </w:tcPr>
          <w:p w14:paraId="49758514">
            <w:pPr>
              <w:spacing w:after="120"/>
              <w:jc w:val="center"/>
              <w:rPr>
                <w:rFonts w:ascii="宋体" w:hAnsi="宋体"/>
                <w:szCs w:val="21"/>
              </w:rPr>
            </w:pPr>
          </w:p>
        </w:tc>
        <w:tc>
          <w:tcPr>
            <w:tcW w:w="1188" w:type="dxa"/>
            <w:vAlign w:val="center"/>
          </w:tcPr>
          <w:p w14:paraId="3C7F1C9E">
            <w:pPr>
              <w:spacing w:after="120"/>
              <w:jc w:val="center"/>
              <w:rPr>
                <w:rFonts w:ascii="宋体" w:hAnsi="宋体"/>
                <w:szCs w:val="21"/>
              </w:rPr>
            </w:pPr>
          </w:p>
        </w:tc>
        <w:tc>
          <w:tcPr>
            <w:tcW w:w="758" w:type="dxa"/>
            <w:vAlign w:val="center"/>
          </w:tcPr>
          <w:p w14:paraId="7379B6C2">
            <w:pPr>
              <w:widowControl/>
              <w:jc w:val="center"/>
              <w:rPr>
                <w:rFonts w:ascii="宋体" w:hAnsi="宋体"/>
                <w:szCs w:val="21"/>
              </w:rPr>
            </w:pPr>
          </w:p>
        </w:tc>
        <w:tc>
          <w:tcPr>
            <w:tcW w:w="1055" w:type="dxa"/>
            <w:vAlign w:val="center"/>
          </w:tcPr>
          <w:p w14:paraId="1F6516C2">
            <w:pPr>
              <w:widowControl/>
              <w:jc w:val="center"/>
              <w:rPr>
                <w:rFonts w:ascii="宋体" w:hAnsi="宋体"/>
                <w:szCs w:val="21"/>
              </w:rPr>
            </w:pPr>
          </w:p>
        </w:tc>
        <w:tc>
          <w:tcPr>
            <w:tcW w:w="1211" w:type="dxa"/>
            <w:vAlign w:val="center"/>
          </w:tcPr>
          <w:p w14:paraId="0426C1B5">
            <w:pPr>
              <w:widowControl/>
              <w:jc w:val="center"/>
              <w:textAlignment w:val="center"/>
              <w:rPr>
                <w:rFonts w:ascii="宋体" w:hAnsi="宋体"/>
                <w:szCs w:val="21"/>
              </w:rPr>
            </w:pPr>
          </w:p>
        </w:tc>
        <w:tc>
          <w:tcPr>
            <w:tcW w:w="1071" w:type="dxa"/>
            <w:vAlign w:val="center"/>
          </w:tcPr>
          <w:p w14:paraId="5DE1FD31">
            <w:pPr>
              <w:widowControl/>
              <w:jc w:val="center"/>
              <w:textAlignment w:val="center"/>
              <w:rPr>
                <w:rFonts w:ascii="宋体" w:hAnsi="宋体"/>
                <w:szCs w:val="21"/>
              </w:rPr>
            </w:pPr>
          </w:p>
        </w:tc>
        <w:tc>
          <w:tcPr>
            <w:tcW w:w="496" w:type="pct"/>
            <w:vAlign w:val="center"/>
          </w:tcPr>
          <w:p w14:paraId="41BB22BB">
            <w:pPr>
              <w:jc w:val="center"/>
              <w:rPr>
                <w:rFonts w:ascii="宋体" w:hAnsi="宋体"/>
                <w:szCs w:val="21"/>
              </w:rPr>
            </w:pPr>
          </w:p>
        </w:tc>
      </w:tr>
      <w:tr w14:paraId="69C048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440" w:hRule="atLeast"/>
          <w:jc w:val="center"/>
        </w:trPr>
        <w:tc>
          <w:tcPr>
            <w:tcW w:w="234" w:type="pct"/>
            <w:vMerge w:val="continue"/>
            <w:tcBorders>
              <w:left w:val="single" w:color="auto" w:sz="6" w:space="0"/>
              <w:right w:val="single" w:color="auto" w:sz="6" w:space="0"/>
            </w:tcBorders>
            <w:vAlign w:val="center"/>
          </w:tcPr>
          <w:p w14:paraId="2E7837D5">
            <w:pPr>
              <w:jc w:val="left"/>
              <w:rPr>
                <w:rFonts w:ascii="宋体" w:hAnsi="宋体"/>
                <w:szCs w:val="21"/>
              </w:rPr>
            </w:pPr>
          </w:p>
        </w:tc>
        <w:tc>
          <w:tcPr>
            <w:tcW w:w="1263" w:type="pct"/>
            <w:gridSpan w:val="2"/>
            <w:tcBorders>
              <w:left w:val="single" w:color="auto" w:sz="6" w:space="0"/>
            </w:tcBorders>
            <w:vAlign w:val="center"/>
          </w:tcPr>
          <w:p w14:paraId="5502B6B3">
            <w:pPr>
              <w:jc w:val="center"/>
              <w:rPr>
                <w:rFonts w:ascii="宋体" w:hAnsi="宋体"/>
                <w:szCs w:val="21"/>
              </w:rPr>
            </w:pPr>
            <w:r>
              <w:rPr>
                <w:rFonts w:hint="eastAsia" w:ascii="宋体" w:hAnsi="宋体"/>
                <w:szCs w:val="21"/>
              </w:rPr>
              <w:t>小计（万元）</w:t>
            </w:r>
          </w:p>
        </w:tc>
        <w:tc>
          <w:tcPr>
            <w:tcW w:w="3501" w:type="pct"/>
            <w:gridSpan w:val="6"/>
            <w:vAlign w:val="center"/>
          </w:tcPr>
          <w:p w14:paraId="6427E670">
            <w:pPr>
              <w:rPr>
                <w:rFonts w:ascii="宋体" w:hAnsi="宋体"/>
                <w:szCs w:val="21"/>
              </w:rPr>
            </w:pPr>
          </w:p>
        </w:tc>
      </w:tr>
      <w:tr w14:paraId="03B470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530" w:hRule="atLeast"/>
          <w:jc w:val="center"/>
        </w:trPr>
        <w:tc>
          <w:tcPr>
            <w:tcW w:w="234" w:type="pct"/>
            <w:vMerge w:val="restart"/>
            <w:vAlign w:val="center"/>
          </w:tcPr>
          <w:p w14:paraId="10B2F2F2">
            <w:pPr>
              <w:jc w:val="left"/>
              <w:rPr>
                <w:rFonts w:ascii="宋体" w:hAnsi="宋体"/>
                <w:szCs w:val="21"/>
              </w:rPr>
            </w:pPr>
            <w:r>
              <w:rPr>
                <w:rFonts w:hint="eastAsia" w:ascii="宋体" w:hAnsi="宋体"/>
                <w:szCs w:val="21"/>
              </w:rPr>
              <w:t>费用</w:t>
            </w:r>
          </w:p>
        </w:tc>
        <w:tc>
          <w:tcPr>
            <w:tcW w:w="1263" w:type="pct"/>
            <w:gridSpan w:val="2"/>
            <w:vAlign w:val="center"/>
          </w:tcPr>
          <w:p w14:paraId="3C1EEC8E">
            <w:pPr>
              <w:jc w:val="left"/>
              <w:rPr>
                <w:rFonts w:ascii="宋体" w:hAnsi="宋体"/>
                <w:szCs w:val="21"/>
              </w:rPr>
            </w:pPr>
            <w:r>
              <w:rPr>
                <w:rFonts w:hint="eastAsia" w:ascii="宋体" w:hAnsi="宋体"/>
                <w:szCs w:val="21"/>
              </w:rPr>
              <w:t>工具费</w:t>
            </w:r>
          </w:p>
        </w:tc>
        <w:tc>
          <w:tcPr>
            <w:tcW w:w="3005" w:type="pct"/>
            <w:gridSpan w:val="5"/>
            <w:vAlign w:val="center"/>
          </w:tcPr>
          <w:p w14:paraId="0965D7BC">
            <w:pPr>
              <w:jc w:val="left"/>
              <w:rPr>
                <w:rFonts w:ascii="宋体" w:hAnsi="宋体"/>
                <w:szCs w:val="21"/>
              </w:rPr>
            </w:pPr>
          </w:p>
        </w:tc>
        <w:tc>
          <w:tcPr>
            <w:tcW w:w="496" w:type="pct"/>
            <w:vAlign w:val="center"/>
          </w:tcPr>
          <w:p w14:paraId="2311FA1A">
            <w:pPr>
              <w:jc w:val="center"/>
              <w:rPr>
                <w:rFonts w:ascii="宋体" w:hAnsi="宋体"/>
                <w:szCs w:val="21"/>
              </w:rPr>
            </w:pPr>
          </w:p>
        </w:tc>
      </w:tr>
      <w:tr w14:paraId="717E63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458" w:hRule="atLeast"/>
          <w:jc w:val="center"/>
        </w:trPr>
        <w:tc>
          <w:tcPr>
            <w:tcW w:w="234" w:type="pct"/>
            <w:vMerge w:val="continue"/>
            <w:vAlign w:val="center"/>
          </w:tcPr>
          <w:p w14:paraId="3C56E752">
            <w:pPr>
              <w:jc w:val="left"/>
              <w:rPr>
                <w:rFonts w:ascii="宋体" w:hAnsi="宋体"/>
                <w:szCs w:val="21"/>
              </w:rPr>
            </w:pPr>
          </w:p>
        </w:tc>
        <w:tc>
          <w:tcPr>
            <w:tcW w:w="1263" w:type="pct"/>
            <w:gridSpan w:val="2"/>
            <w:vAlign w:val="center"/>
          </w:tcPr>
          <w:p w14:paraId="6CF4FFA4">
            <w:pPr>
              <w:jc w:val="left"/>
              <w:rPr>
                <w:rFonts w:ascii="宋体" w:hAnsi="宋体"/>
                <w:szCs w:val="21"/>
              </w:rPr>
            </w:pPr>
            <w:r>
              <w:rPr>
                <w:rFonts w:hint="eastAsia" w:ascii="宋体" w:hAnsi="宋体"/>
                <w:szCs w:val="21"/>
              </w:rPr>
              <w:t>备品备件费</w:t>
            </w:r>
          </w:p>
        </w:tc>
        <w:tc>
          <w:tcPr>
            <w:tcW w:w="3005" w:type="pct"/>
            <w:gridSpan w:val="5"/>
            <w:vAlign w:val="center"/>
          </w:tcPr>
          <w:p w14:paraId="0E002207">
            <w:pPr>
              <w:jc w:val="left"/>
              <w:rPr>
                <w:rFonts w:ascii="宋体" w:hAnsi="宋体"/>
                <w:szCs w:val="21"/>
              </w:rPr>
            </w:pPr>
          </w:p>
        </w:tc>
        <w:tc>
          <w:tcPr>
            <w:tcW w:w="496" w:type="pct"/>
            <w:vAlign w:val="center"/>
          </w:tcPr>
          <w:p w14:paraId="36262C4D">
            <w:pPr>
              <w:jc w:val="center"/>
              <w:rPr>
                <w:rFonts w:ascii="宋体" w:hAnsi="宋体"/>
                <w:szCs w:val="21"/>
              </w:rPr>
            </w:pPr>
          </w:p>
        </w:tc>
      </w:tr>
      <w:tr w14:paraId="3E5C18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458" w:hRule="atLeast"/>
          <w:jc w:val="center"/>
        </w:trPr>
        <w:tc>
          <w:tcPr>
            <w:tcW w:w="234" w:type="pct"/>
            <w:vMerge w:val="continue"/>
            <w:vAlign w:val="center"/>
          </w:tcPr>
          <w:p w14:paraId="18CC9920">
            <w:pPr>
              <w:jc w:val="left"/>
              <w:rPr>
                <w:rFonts w:ascii="宋体" w:hAnsi="宋体"/>
                <w:szCs w:val="21"/>
              </w:rPr>
            </w:pPr>
          </w:p>
        </w:tc>
        <w:tc>
          <w:tcPr>
            <w:tcW w:w="1263" w:type="pct"/>
            <w:gridSpan w:val="2"/>
            <w:vAlign w:val="center"/>
          </w:tcPr>
          <w:p w14:paraId="7C1B173F">
            <w:pPr>
              <w:jc w:val="left"/>
              <w:rPr>
                <w:rFonts w:ascii="宋体" w:hAnsi="宋体"/>
                <w:szCs w:val="21"/>
              </w:rPr>
            </w:pPr>
            <w:r>
              <w:rPr>
                <w:rFonts w:hint="eastAsia" w:ascii="宋体" w:hAnsi="宋体"/>
                <w:szCs w:val="21"/>
              </w:rPr>
              <w:t>包装费</w:t>
            </w:r>
          </w:p>
        </w:tc>
        <w:tc>
          <w:tcPr>
            <w:tcW w:w="3005" w:type="pct"/>
            <w:gridSpan w:val="5"/>
            <w:vAlign w:val="center"/>
          </w:tcPr>
          <w:p w14:paraId="3657B5B0">
            <w:pPr>
              <w:jc w:val="left"/>
              <w:rPr>
                <w:rFonts w:ascii="宋体" w:hAnsi="宋体"/>
                <w:szCs w:val="21"/>
              </w:rPr>
            </w:pPr>
          </w:p>
        </w:tc>
        <w:tc>
          <w:tcPr>
            <w:tcW w:w="496" w:type="pct"/>
            <w:vAlign w:val="center"/>
          </w:tcPr>
          <w:p w14:paraId="5DE1E6B2">
            <w:pPr>
              <w:jc w:val="center"/>
              <w:rPr>
                <w:rFonts w:ascii="宋体" w:hAnsi="宋体"/>
                <w:szCs w:val="21"/>
              </w:rPr>
            </w:pPr>
          </w:p>
        </w:tc>
      </w:tr>
      <w:tr w14:paraId="76500C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440" w:hRule="atLeast"/>
          <w:jc w:val="center"/>
        </w:trPr>
        <w:tc>
          <w:tcPr>
            <w:tcW w:w="234" w:type="pct"/>
            <w:vMerge w:val="continue"/>
            <w:vAlign w:val="center"/>
          </w:tcPr>
          <w:p w14:paraId="6E29836B">
            <w:pPr>
              <w:jc w:val="left"/>
              <w:rPr>
                <w:rFonts w:ascii="宋体" w:hAnsi="宋体"/>
                <w:szCs w:val="21"/>
              </w:rPr>
            </w:pPr>
          </w:p>
        </w:tc>
        <w:tc>
          <w:tcPr>
            <w:tcW w:w="1263" w:type="pct"/>
            <w:gridSpan w:val="2"/>
            <w:vAlign w:val="center"/>
          </w:tcPr>
          <w:p w14:paraId="49A3A325">
            <w:pPr>
              <w:jc w:val="left"/>
              <w:rPr>
                <w:rFonts w:ascii="宋体" w:hAnsi="宋体"/>
                <w:szCs w:val="21"/>
              </w:rPr>
            </w:pPr>
            <w:r>
              <w:rPr>
                <w:rFonts w:hint="eastAsia" w:ascii="宋体" w:hAnsi="宋体"/>
                <w:szCs w:val="21"/>
              </w:rPr>
              <w:t>安装调试费</w:t>
            </w:r>
          </w:p>
        </w:tc>
        <w:tc>
          <w:tcPr>
            <w:tcW w:w="3005" w:type="pct"/>
            <w:gridSpan w:val="5"/>
            <w:vAlign w:val="center"/>
          </w:tcPr>
          <w:p w14:paraId="25B6A546">
            <w:pPr>
              <w:ind w:firstLine="210" w:firstLineChars="100"/>
              <w:jc w:val="left"/>
              <w:rPr>
                <w:rFonts w:ascii="宋体" w:hAnsi="宋体"/>
                <w:szCs w:val="21"/>
              </w:rPr>
            </w:pPr>
            <w:r>
              <w:rPr>
                <w:rFonts w:hint="eastAsia" w:ascii="宋体" w:hAnsi="宋体"/>
                <w:szCs w:val="21"/>
              </w:rPr>
              <w:t>人</w:t>
            </w:r>
            <w:r>
              <w:rPr>
                <w:rFonts w:ascii="Arial" w:hAnsi="Arial" w:cs="Arial"/>
                <w:szCs w:val="21"/>
              </w:rPr>
              <w:t>×</w:t>
            </w:r>
            <w:r>
              <w:rPr>
                <w:rFonts w:hint="eastAsia" w:ascii="宋体" w:hAnsi="宋体"/>
                <w:szCs w:val="21"/>
              </w:rPr>
              <w:t xml:space="preserve"> </w:t>
            </w:r>
            <w:r>
              <w:rPr>
                <w:rFonts w:ascii="宋体" w:hAnsi="宋体"/>
                <w:szCs w:val="21"/>
              </w:rPr>
              <w:t xml:space="preserve">  </w:t>
            </w:r>
            <w:r>
              <w:rPr>
                <w:rFonts w:hint="eastAsia" w:ascii="宋体" w:hAnsi="宋体"/>
                <w:szCs w:val="21"/>
              </w:rPr>
              <w:t>元/人</w:t>
            </w:r>
            <w:r>
              <w:rPr>
                <w:rFonts w:ascii="Arial" w:hAnsi="Arial" w:cs="Arial"/>
                <w:szCs w:val="21"/>
              </w:rPr>
              <w:t>×</w:t>
            </w:r>
            <w:r>
              <w:rPr>
                <w:rFonts w:ascii="宋体" w:hAnsi="宋体"/>
                <w:szCs w:val="21"/>
              </w:rPr>
              <w:t xml:space="preserve">   </w:t>
            </w:r>
            <w:r>
              <w:rPr>
                <w:rFonts w:hint="eastAsia" w:ascii="宋体" w:hAnsi="宋体"/>
                <w:szCs w:val="21"/>
              </w:rPr>
              <w:t>天=</w:t>
            </w:r>
            <w:r>
              <w:rPr>
                <w:rFonts w:ascii="宋体" w:hAnsi="宋体"/>
                <w:szCs w:val="21"/>
              </w:rPr>
              <w:t xml:space="preserve">   </w:t>
            </w:r>
            <w:r>
              <w:rPr>
                <w:rFonts w:hint="eastAsia" w:ascii="宋体" w:hAnsi="宋体"/>
                <w:szCs w:val="21"/>
              </w:rPr>
              <w:t>万元</w:t>
            </w:r>
          </w:p>
        </w:tc>
        <w:tc>
          <w:tcPr>
            <w:tcW w:w="496" w:type="pct"/>
            <w:vAlign w:val="center"/>
          </w:tcPr>
          <w:p w14:paraId="6AEF384F">
            <w:pPr>
              <w:jc w:val="center"/>
              <w:rPr>
                <w:rFonts w:ascii="宋体" w:hAnsi="宋体"/>
                <w:szCs w:val="21"/>
              </w:rPr>
            </w:pPr>
          </w:p>
        </w:tc>
      </w:tr>
      <w:tr w14:paraId="1FB4B7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440" w:hRule="atLeast"/>
          <w:jc w:val="center"/>
        </w:trPr>
        <w:tc>
          <w:tcPr>
            <w:tcW w:w="234" w:type="pct"/>
            <w:vMerge w:val="continue"/>
            <w:vAlign w:val="center"/>
          </w:tcPr>
          <w:p w14:paraId="77F42169">
            <w:pPr>
              <w:jc w:val="left"/>
              <w:rPr>
                <w:rFonts w:ascii="宋体" w:hAnsi="宋体"/>
                <w:szCs w:val="21"/>
              </w:rPr>
            </w:pPr>
          </w:p>
        </w:tc>
        <w:tc>
          <w:tcPr>
            <w:tcW w:w="1263" w:type="pct"/>
            <w:gridSpan w:val="2"/>
            <w:vAlign w:val="center"/>
          </w:tcPr>
          <w:p w14:paraId="6BB2B1B4">
            <w:pPr>
              <w:jc w:val="left"/>
              <w:rPr>
                <w:rFonts w:ascii="宋体" w:hAnsi="宋体"/>
                <w:szCs w:val="21"/>
              </w:rPr>
            </w:pPr>
            <w:r>
              <w:rPr>
                <w:rFonts w:hint="eastAsia" w:ascii="宋体" w:hAnsi="宋体"/>
                <w:szCs w:val="21"/>
              </w:rPr>
              <w:t>税费</w:t>
            </w:r>
          </w:p>
        </w:tc>
        <w:tc>
          <w:tcPr>
            <w:tcW w:w="3005" w:type="pct"/>
            <w:gridSpan w:val="5"/>
            <w:vAlign w:val="center"/>
          </w:tcPr>
          <w:p w14:paraId="41582A45">
            <w:pPr>
              <w:rPr>
                <w:rFonts w:ascii="宋体" w:hAnsi="宋体"/>
                <w:szCs w:val="21"/>
              </w:rPr>
            </w:pPr>
            <w:r>
              <w:rPr>
                <w:rFonts w:hint="eastAsia" w:ascii="宋体" w:hAnsi="宋体"/>
                <w:szCs w:val="21"/>
              </w:rPr>
              <w:t>万元</w:t>
            </w:r>
          </w:p>
        </w:tc>
        <w:tc>
          <w:tcPr>
            <w:tcW w:w="496" w:type="pct"/>
            <w:vAlign w:val="center"/>
          </w:tcPr>
          <w:p w14:paraId="6E5A77D9">
            <w:pPr>
              <w:jc w:val="center"/>
              <w:rPr>
                <w:rFonts w:ascii="宋体" w:hAnsi="宋体"/>
                <w:szCs w:val="21"/>
              </w:rPr>
            </w:pPr>
            <w:r>
              <w:rPr>
                <w:rFonts w:hint="eastAsia" w:ascii="宋体" w:hAnsi="宋体"/>
                <w:b/>
                <w:bCs/>
                <w:szCs w:val="21"/>
              </w:rPr>
              <w:t>13%</w:t>
            </w:r>
          </w:p>
        </w:tc>
      </w:tr>
      <w:tr w14:paraId="1F8DB5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440" w:hRule="atLeast"/>
          <w:jc w:val="center"/>
        </w:trPr>
        <w:tc>
          <w:tcPr>
            <w:tcW w:w="234" w:type="pct"/>
            <w:vMerge w:val="continue"/>
            <w:vAlign w:val="center"/>
          </w:tcPr>
          <w:p w14:paraId="72ED59D0">
            <w:pPr>
              <w:jc w:val="left"/>
              <w:rPr>
                <w:rFonts w:ascii="宋体" w:hAnsi="宋体"/>
                <w:szCs w:val="21"/>
              </w:rPr>
            </w:pPr>
          </w:p>
        </w:tc>
        <w:tc>
          <w:tcPr>
            <w:tcW w:w="1263" w:type="pct"/>
            <w:gridSpan w:val="2"/>
            <w:vAlign w:val="center"/>
          </w:tcPr>
          <w:p w14:paraId="169B6784">
            <w:pPr>
              <w:jc w:val="center"/>
              <w:rPr>
                <w:rFonts w:ascii="宋体" w:hAnsi="宋体"/>
                <w:szCs w:val="21"/>
              </w:rPr>
            </w:pPr>
            <w:r>
              <w:rPr>
                <w:rFonts w:hint="eastAsia" w:ascii="宋体" w:hAnsi="宋体"/>
                <w:szCs w:val="21"/>
              </w:rPr>
              <w:t>小计（万元）</w:t>
            </w:r>
          </w:p>
        </w:tc>
        <w:tc>
          <w:tcPr>
            <w:tcW w:w="3501" w:type="pct"/>
            <w:gridSpan w:val="6"/>
            <w:vAlign w:val="center"/>
          </w:tcPr>
          <w:p w14:paraId="62DEFC9B">
            <w:pPr>
              <w:rPr>
                <w:rFonts w:ascii="宋体" w:hAnsi="宋体"/>
                <w:szCs w:val="21"/>
              </w:rPr>
            </w:pPr>
          </w:p>
        </w:tc>
      </w:tr>
      <w:tr w14:paraId="05BDB5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440" w:hRule="atLeast"/>
          <w:jc w:val="center"/>
        </w:trPr>
        <w:tc>
          <w:tcPr>
            <w:tcW w:w="1498" w:type="pct"/>
            <w:gridSpan w:val="3"/>
            <w:vAlign w:val="center"/>
          </w:tcPr>
          <w:p w14:paraId="1A731EE1">
            <w:pPr>
              <w:jc w:val="center"/>
              <w:rPr>
                <w:rFonts w:ascii="宋体" w:hAnsi="宋体"/>
                <w:b/>
                <w:bCs/>
                <w:szCs w:val="21"/>
              </w:rPr>
            </w:pPr>
            <w:r>
              <w:rPr>
                <w:rFonts w:hint="eastAsia" w:ascii="宋体" w:hAnsi="宋体"/>
                <w:b/>
                <w:bCs/>
                <w:szCs w:val="21"/>
              </w:rPr>
              <w:t>合计（万元）</w:t>
            </w:r>
          </w:p>
        </w:tc>
        <w:tc>
          <w:tcPr>
            <w:tcW w:w="3501" w:type="pct"/>
            <w:gridSpan w:val="6"/>
            <w:vAlign w:val="center"/>
          </w:tcPr>
          <w:p w14:paraId="4D7467C4">
            <w:pPr>
              <w:rPr>
                <w:rFonts w:ascii="宋体" w:hAnsi="宋体"/>
                <w:b/>
                <w:bCs/>
                <w:szCs w:val="21"/>
              </w:rPr>
            </w:pPr>
          </w:p>
        </w:tc>
      </w:tr>
    </w:tbl>
    <w:p w14:paraId="59F16D25"/>
    <w:p w14:paraId="5E74F7AB">
      <w:pPr>
        <w:widowControl/>
        <w:adjustRightInd w:val="0"/>
        <w:snapToGrid w:val="0"/>
        <w:spacing w:line="360" w:lineRule="auto"/>
        <w:ind w:firstLine="480" w:firstLineChars="200"/>
        <w:jc w:val="left"/>
        <w:rPr>
          <w:rFonts w:ascii="仿宋_GB2312" w:hAnsi="仿宋_GB2312" w:eastAsia="仿宋_GB2312" w:cs="仿宋_GB2312"/>
          <w:b/>
          <w:bCs/>
          <w:snapToGrid w:val="0"/>
          <w:kern w:val="0"/>
          <w:sz w:val="24"/>
          <w:szCs w:val="24"/>
          <w:u w:val="single"/>
        </w:rPr>
      </w:pPr>
      <w:r>
        <w:rPr>
          <w:rFonts w:hint="eastAsia" w:ascii="仿宋_GB2312" w:hAnsi="仿宋_GB2312" w:eastAsia="仿宋_GB2312" w:cs="仿宋_GB2312"/>
          <w:snapToGrid w:val="0"/>
          <w:kern w:val="0"/>
          <w:sz w:val="24"/>
          <w:szCs w:val="24"/>
          <w:lang w:eastAsia="zh-Hans"/>
        </w:rPr>
        <w:t>甲方</w:t>
      </w:r>
      <w:r>
        <w:rPr>
          <w:rFonts w:hint="eastAsia" w:ascii="仿宋_GB2312" w:hAnsi="仿宋_GB2312" w:eastAsia="仿宋_GB2312" w:cs="仿宋_GB2312"/>
          <w:snapToGrid w:val="0"/>
          <w:kern w:val="0"/>
          <w:sz w:val="24"/>
          <w:szCs w:val="24"/>
        </w:rPr>
        <w:t>（盖章）</w:t>
      </w:r>
      <w:r>
        <w:rPr>
          <w:rFonts w:hint="eastAsia" w:ascii="仿宋_GB2312" w:hAnsi="仿宋_GB2312" w:eastAsia="仿宋_GB2312" w:cs="仿宋_GB2312"/>
          <w:snapToGrid w:val="0"/>
          <w:kern w:val="0"/>
          <w:sz w:val="24"/>
          <w:szCs w:val="24"/>
          <w:lang w:eastAsia="zh-Hans"/>
        </w:rPr>
        <w:t>：</w:t>
      </w:r>
      <w:r>
        <w:rPr>
          <w:rFonts w:hint="eastAsia" w:ascii="仿宋_GB2312" w:hAnsi="仿宋_GB2312" w:eastAsia="仿宋_GB2312" w:cs="仿宋_GB2312"/>
          <w:b/>
          <w:bCs/>
          <w:snapToGrid w:val="0"/>
          <w:kern w:val="0"/>
          <w:sz w:val="24"/>
          <w:szCs w:val="24"/>
          <w:u w:val="single"/>
        </w:rPr>
        <w:t>甲方单位全称</w:t>
      </w:r>
    </w:p>
    <w:p w14:paraId="484E33C3">
      <w:pPr>
        <w:widowControl/>
        <w:adjustRightInd w:val="0"/>
        <w:snapToGrid w:val="0"/>
        <w:spacing w:line="360" w:lineRule="auto"/>
        <w:ind w:firstLine="480" w:firstLineChars="200"/>
        <w:jc w:val="left"/>
        <w:rPr>
          <w:rFonts w:ascii="仿宋_GB2312" w:hAnsi="仿宋_GB2312" w:eastAsia="仿宋_GB2312" w:cs="仿宋_GB2312"/>
          <w:snapToGrid w:val="0"/>
          <w:kern w:val="0"/>
          <w:sz w:val="24"/>
          <w:szCs w:val="24"/>
        </w:rPr>
      </w:pPr>
    </w:p>
    <w:p w14:paraId="7B24951B">
      <w:pPr>
        <w:widowControl/>
        <w:adjustRightInd w:val="0"/>
        <w:snapToGrid w:val="0"/>
        <w:spacing w:line="360" w:lineRule="auto"/>
        <w:ind w:firstLine="480" w:firstLineChars="200"/>
        <w:jc w:val="left"/>
        <w:rPr>
          <w:rFonts w:ascii="仿宋_GB2312" w:hAnsi="仿宋_GB2312" w:eastAsia="仿宋_GB2312" w:cs="仿宋_GB2312"/>
          <w:sz w:val="24"/>
          <w:szCs w:val="24"/>
        </w:rPr>
      </w:pPr>
      <w:r>
        <w:rPr>
          <w:rFonts w:hint="eastAsia" w:ascii="仿宋_GB2312" w:hAnsi="仿宋_GB2312" w:eastAsia="仿宋_GB2312" w:cs="仿宋_GB2312"/>
          <w:snapToGrid w:val="0"/>
          <w:color w:val="000000"/>
          <w:kern w:val="0"/>
          <w:sz w:val="24"/>
          <w:szCs w:val="24"/>
        </w:rPr>
        <w:t>甲方代表</w:t>
      </w:r>
      <w:r>
        <w:rPr>
          <w:rFonts w:hint="eastAsia" w:ascii="仿宋_GB2312" w:hAnsi="仿宋_GB2312" w:eastAsia="仿宋_GB2312" w:cs="仿宋_GB2312"/>
          <w:snapToGrid w:val="0"/>
          <w:color w:val="000000"/>
          <w:kern w:val="0"/>
          <w:sz w:val="24"/>
          <w:szCs w:val="24"/>
          <w:lang w:eastAsia="zh-Hans"/>
        </w:rPr>
        <w:t xml:space="preserve">（签字）： </w:t>
      </w:r>
    </w:p>
    <w:p w14:paraId="457921C6">
      <w:pPr>
        <w:widowControl/>
        <w:adjustRightInd w:val="0"/>
        <w:snapToGrid w:val="0"/>
        <w:spacing w:line="360" w:lineRule="auto"/>
        <w:ind w:firstLine="480" w:firstLineChars="200"/>
        <w:jc w:val="left"/>
        <w:rPr>
          <w:rFonts w:ascii="仿宋_GB2312" w:hAnsi="仿宋_GB2312" w:eastAsia="仿宋_GB2312" w:cs="仿宋_GB2312"/>
          <w:snapToGrid w:val="0"/>
          <w:kern w:val="0"/>
          <w:sz w:val="24"/>
          <w:szCs w:val="24"/>
        </w:rPr>
      </w:pPr>
    </w:p>
    <w:p w14:paraId="5311713C">
      <w:pPr>
        <w:widowControl/>
        <w:adjustRightInd w:val="0"/>
        <w:snapToGrid w:val="0"/>
        <w:spacing w:line="360" w:lineRule="auto"/>
        <w:ind w:firstLine="480" w:firstLineChars="200"/>
        <w:jc w:val="left"/>
        <w:rPr>
          <w:rFonts w:ascii="仿宋_GB2312" w:hAnsi="仿宋_GB2312" w:eastAsia="仿宋_GB2312" w:cs="仿宋_GB2312"/>
          <w:b/>
          <w:sz w:val="24"/>
          <w:szCs w:val="24"/>
          <w:u w:val="single"/>
        </w:rPr>
      </w:pPr>
      <w:r>
        <w:rPr>
          <w:rFonts w:hint="eastAsia" w:ascii="仿宋_GB2312" w:hAnsi="仿宋_GB2312" w:eastAsia="仿宋_GB2312" w:cs="仿宋_GB2312"/>
          <w:snapToGrid w:val="0"/>
          <w:kern w:val="0"/>
          <w:sz w:val="24"/>
          <w:szCs w:val="24"/>
        </w:rPr>
        <w:t>乙</w:t>
      </w:r>
      <w:r>
        <w:rPr>
          <w:rFonts w:hint="eastAsia" w:ascii="仿宋_GB2312" w:hAnsi="仿宋_GB2312" w:eastAsia="仿宋_GB2312" w:cs="仿宋_GB2312"/>
          <w:snapToGrid w:val="0"/>
          <w:kern w:val="0"/>
          <w:sz w:val="24"/>
          <w:szCs w:val="24"/>
          <w:lang w:eastAsia="zh-Hans"/>
        </w:rPr>
        <w:t>方</w:t>
      </w:r>
      <w:r>
        <w:rPr>
          <w:rFonts w:hint="eastAsia" w:ascii="仿宋_GB2312" w:hAnsi="仿宋_GB2312" w:eastAsia="仿宋_GB2312" w:cs="仿宋_GB2312"/>
          <w:snapToGrid w:val="0"/>
          <w:kern w:val="0"/>
          <w:sz w:val="24"/>
          <w:szCs w:val="24"/>
        </w:rPr>
        <w:t>（盖章）</w:t>
      </w:r>
      <w:r>
        <w:rPr>
          <w:rFonts w:hint="eastAsia" w:ascii="仿宋_GB2312" w:hAnsi="仿宋_GB2312" w:eastAsia="仿宋_GB2312" w:cs="仿宋_GB2312"/>
          <w:snapToGrid w:val="0"/>
          <w:kern w:val="0"/>
          <w:sz w:val="24"/>
          <w:szCs w:val="24"/>
          <w:lang w:eastAsia="zh-Hans"/>
        </w:rPr>
        <w:t>：</w:t>
      </w:r>
      <w:r>
        <w:rPr>
          <w:rFonts w:hint="eastAsia" w:ascii="仿宋_GB2312" w:hAnsi="仿宋_GB2312" w:eastAsia="仿宋_GB2312" w:cs="仿宋_GB2312"/>
          <w:b/>
          <w:sz w:val="24"/>
          <w:szCs w:val="24"/>
          <w:u w:val="single"/>
        </w:rPr>
        <w:t>乙方单位全称</w:t>
      </w:r>
    </w:p>
    <w:p w14:paraId="5F31EF80">
      <w:pPr>
        <w:widowControl/>
        <w:adjustRightInd w:val="0"/>
        <w:snapToGrid w:val="0"/>
        <w:spacing w:line="360" w:lineRule="auto"/>
        <w:ind w:firstLine="480" w:firstLineChars="200"/>
        <w:jc w:val="left"/>
        <w:rPr>
          <w:rFonts w:ascii="仿宋_GB2312" w:hAnsi="仿宋_GB2312" w:eastAsia="仿宋_GB2312" w:cs="仿宋_GB2312"/>
          <w:snapToGrid w:val="0"/>
          <w:color w:val="000000"/>
          <w:kern w:val="0"/>
          <w:sz w:val="24"/>
          <w:szCs w:val="24"/>
        </w:rPr>
      </w:pPr>
    </w:p>
    <w:p w14:paraId="19BDE023">
      <w:pPr>
        <w:widowControl/>
        <w:adjustRightInd w:val="0"/>
        <w:snapToGrid w:val="0"/>
        <w:spacing w:line="360" w:lineRule="auto"/>
        <w:ind w:firstLine="480" w:firstLineChars="200"/>
        <w:jc w:val="left"/>
        <w:rPr>
          <w:rFonts w:ascii="仿宋_GB2312" w:hAnsi="仿宋_GB2312" w:eastAsia="仿宋_GB2312" w:cs="仿宋_GB2312"/>
          <w:snapToGrid w:val="0"/>
          <w:color w:val="000000"/>
          <w:kern w:val="0"/>
          <w:sz w:val="24"/>
          <w:szCs w:val="24"/>
          <w:lang w:eastAsia="zh-Hans"/>
        </w:rPr>
      </w:pPr>
      <w:r>
        <w:rPr>
          <w:rFonts w:hint="eastAsia" w:ascii="仿宋_GB2312" w:hAnsi="仿宋_GB2312" w:eastAsia="仿宋_GB2312" w:cs="仿宋_GB2312"/>
          <w:snapToGrid w:val="0"/>
          <w:color w:val="000000"/>
          <w:kern w:val="0"/>
          <w:sz w:val="24"/>
          <w:szCs w:val="24"/>
        </w:rPr>
        <w:t>乙方代表</w:t>
      </w:r>
      <w:r>
        <w:rPr>
          <w:rFonts w:hint="eastAsia" w:ascii="仿宋_GB2312" w:hAnsi="仿宋_GB2312" w:eastAsia="仿宋_GB2312" w:cs="仿宋_GB2312"/>
          <w:snapToGrid w:val="0"/>
          <w:color w:val="000000"/>
          <w:kern w:val="0"/>
          <w:sz w:val="24"/>
          <w:szCs w:val="24"/>
          <w:lang w:eastAsia="zh-Hans"/>
        </w:rPr>
        <w:t xml:space="preserve">（签字）： </w:t>
      </w:r>
    </w:p>
    <w:p w14:paraId="244C6201">
      <w:pPr>
        <w:widowControl/>
        <w:adjustRightInd w:val="0"/>
        <w:snapToGrid w:val="0"/>
        <w:spacing w:line="360" w:lineRule="auto"/>
        <w:ind w:firstLine="480" w:firstLineChars="200"/>
        <w:jc w:val="left"/>
        <w:rPr>
          <w:rFonts w:ascii="仿宋_GB2312" w:hAnsi="仿宋_GB2312" w:eastAsia="仿宋_GB2312" w:cs="仿宋_GB2312"/>
          <w:snapToGrid w:val="0"/>
          <w:color w:val="000000"/>
          <w:kern w:val="0"/>
          <w:sz w:val="24"/>
          <w:szCs w:val="24"/>
          <w:lang w:eastAsia="zh-Hans"/>
        </w:rPr>
      </w:pPr>
    </w:p>
    <w:p w14:paraId="5A078946">
      <w:pPr>
        <w:widowControl/>
        <w:spacing w:line="300" w:lineRule="auto"/>
        <w:ind w:firstLine="643" w:firstLineChars="200"/>
        <w:jc w:val="center"/>
        <w:outlineLvl w:val="2"/>
        <w:rPr>
          <w:rFonts w:ascii="方正小标宋简体" w:hAnsi="方正小标宋简体" w:eastAsia="方正小标宋简体" w:cs="方正小标宋简体"/>
          <w:b/>
          <w:bCs/>
          <w:kern w:val="0"/>
          <w:sz w:val="32"/>
          <w:szCs w:val="32"/>
        </w:rPr>
      </w:pPr>
      <w:r>
        <w:rPr>
          <w:rFonts w:hint="eastAsia" w:ascii="方正小标宋简体" w:hAnsi="方正小标宋简体" w:eastAsia="方正小标宋简体" w:cs="方正小标宋简体"/>
          <w:b/>
          <w:bCs/>
          <w:kern w:val="0"/>
          <w:sz w:val="32"/>
          <w:szCs w:val="32"/>
          <w:highlight w:val="yellow"/>
        </w:rPr>
        <w:t xml:space="preserve">附件二 </w:t>
      </w:r>
      <w:r>
        <w:rPr>
          <w:rFonts w:ascii="方正小标宋简体" w:hAnsi="方正小标宋简体" w:eastAsia="方正小标宋简体" w:cs="方正小标宋简体"/>
          <w:b/>
          <w:bCs/>
          <w:kern w:val="0"/>
          <w:sz w:val="32"/>
          <w:szCs w:val="32"/>
          <w:highlight w:val="yellow"/>
        </w:rPr>
        <w:t xml:space="preserve"> 固定资产</w:t>
      </w:r>
      <w:r>
        <w:rPr>
          <w:rFonts w:hint="eastAsia" w:ascii="方正小标宋简体" w:hAnsi="方正小标宋简体" w:eastAsia="方正小标宋简体" w:cs="方正小标宋简体"/>
          <w:b/>
          <w:bCs/>
          <w:kern w:val="0"/>
          <w:sz w:val="32"/>
          <w:szCs w:val="32"/>
          <w:highlight w:val="yellow"/>
        </w:rPr>
        <w:t>设备</w:t>
      </w:r>
      <w:r>
        <w:rPr>
          <w:rFonts w:ascii="方正小标宋简体" w:hAnsi="方正小标宋简体" w:eastAsia="方正小标宋简体" w:cs="方正小标宋简体"/>
          <w:b/>
          <w:bCs/>
          <w:kern w:val="0"/>
          <w:sz w:val="32"/>
          <w:szCs w:val="32"/>
          <w:highlight w:val="yellow"/>
        </w:rPr>
        <w:t>项目偏差索赔细则</w:t>
      </w:r>
    </w:p>
    <w:p w14:paraId="6E2A3957">
      <w:pPr>
        <w:spacing w:line="300" w:lineRule="auto"/>
        <w:ind w:firstLine="480" w:firstLineChars="200"/>
        <w:rPr>
          <w:rFonts w:ascii="仿宋_GB2312" w:eastAsia="仿宋_GB2312"/>
          <w:sz w:val="24"/>
          <w:szCs w:val="24"/>
        </w:rPr>
      </w:pPr>
      <w:r>
        <w:rPr>
          <w:rFonts w:hint="eastAsia" w:ascii="仿宋_GB2312" w:hAnsi="仿宋_GB2312" w:eastAsia="仿宋_GB2312" w:cs="仿宋_GB2312"/>
          <w:kern w:val="0"/>
          <w:sz w:val="24"/>
          <w:szCs w:val="24"/>
          <w:lang w:bidi="ar"/>
        </w:rPr>
        <w:t>为规范固定资产项目实施过程中，因卖方原因导致设备各项重要技术指标、项目进度出现偏差，造成项目延期交付或无法通过验收等情况，经协商一致，就索赔扣款事宜订立本细则，双方共同遵守。</w:t>
      </w:r>
    </w:p>
    <w:p w14:paraId="64E6A28F">
      <w:pPr>
        <w:spacing w:line="300" w:lineRule="auto"/>
        <w:ind w:firstLine="482" w:firstLineChars="200"/>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一、固定资产投资项目偏差及索赔细则</w:t>
      </w:r>
    </w:p>
    <w:p w14:paraId="7EF72DC6">
      <w:pPr>
        <w:spacing w:line="300" w:lineRule="auto"/>
        <w:ind w:firstLine="482" w:firstLineChars="200"/>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（一）非标设备、产线等生产类固定资产投资项目</w:t>
      </w:r>
    </w:p>
    <w:p w14:paraId="6BA3FF5C">
      <w:pPr>
        <w:widowControl/>
        <w:spacing w:line="300" w:lineRule="auto"/>
        <w:ind w:firstLine="482" w:firstLineChars="200"/>
        <w:jc w:val="left"/>
        <w:outlineLvl w:val="2"/>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1、产能节拍偏差</w:t>
      </w:r>
    </w:p>
    <w:p w14:paraId="0D886522">
      <w:pPr>
        <w:widowControl/>
        <w:spacing w:line="300" w:lineRule="auto"/>
        <w:ind w:firstLine="482" w:firstLineChars="200"/>
        <w:jc w:val="left"/>
        <w:rPr>
          <w:rFonts w:ascii="仿宋_GB2312" w:hAnsi="仿宋_GB2312" w:eastAsia="仿宋_GB2312" w:cs="仿宋_GB2312"/>
          <w:sz w:val="24"/>
          <w:szCs w:val="24"/>
        </w:rPr>
      </w:pPr>
      <w:r>
        <w:rPr>
          <w:rFonts w:hint="eastAsia" w:ascii="仿宋_GB2312" w:hAnsi="仿宋_GB2312" w:eastAsia="仿宋_GB2312" w:cs="仿宋_GB2312"/>
          <w:b/>
          <w:bCs/>
          <w:sz w:val="24"/>
          <w:szCs w:val="24"/>
        </w:rPr>
        <w:t>1.1基准值</w:t>
      </w:r>
      <w:r>
        <w:rPr>
          <w:rFonts w:hint="eastAsia" w:ascii="仿宋_GB2312" w:hAnsi="仿宋_GB2312" w:eastAsia="仿宋_GB2312" w:cs="仿宋_GB2312"/>
          <w:sz w:val="24"/>
          <w:szCs w:val="24"/>
        </w:rPr>
        <w:t>：</w:t>
      </w:r>
    </w:p>
    <w:p w14:paraId="449C94CE">
      <w:pPr>
        <w:widowControl/>
        <w:spacing w:line="300" w:lineRule="auto"/>
        <w:ind w:firstLine="480" w:firstLineChars="200"/>
        <w:jc w:val="left"/>
        <w:rPr>
          <w:rFonts w:ascii="仿宋_GB2312" w:hAnsi="仿宋_GB2312" w:eastAsia="仿宋_GB2312" w:cs="仿宋_GB2312"/>
          <w:kern w:val="0"/>
          <w:sz w:val="24"/>
          <w:szCs w:val="24"/>
          <w:lang w:bidi="ar"/>
        </w:rPr>
      </w:pPr>
      <w:r>
        <w:rPr>
          <w:rFonts w:hint="eastAsia" w:ascii="仿宋_GB2312" w:hAnsi="仿宋_GB2312" w:eastAsia="仿宋_GB2312" w:cs="仿宋_GB2312"/>
          <w:kern w:val="0"/>
          <w:sz w:val="24"/>
          <w:szCs w:val="24"/>
          <w:lang w:bidi="ar"/>
        </w:rPr>
        <w:t>产能节拍是指特定时间段内，生产线或生产工序必须完成一个单位产品所需要的时间间隔，以合同/技术协议内的节拍时间（秒/件）为准。</w:t>
      </w:r>
    </w:p>
    <w:p w14:paraId="4605794E">
      <w:pPr>
        <w:widowControl/>
        <w:spacing w:line="300" w:lineRule="auto"/>
        <w:ind w:firstLine="482" w:firstLineChars="200"/>
        <w:jc w:val="left"/>
        <w:rPr>
          <w:rFonts w:ascii="仿宋_GB2312" w:hAnsi="仿宋_GB2312" w:eastAsia="仿宋_GB2312" w:cs="仿宋_GB2312"/>
          <w:sz w:val="24"/>
          <w:szCs w:val="24"/>
        </w:rPr>
      </w:pPr>
      <w:r>
        <w:rPr>
          <w:rFonts w:hint="eastAsia" w:ascii="仿宋_GB2312" w:hAnsi="仿宋_GB2312" w:eastAsia="仿宋_GB2312" w:cs="仿宋_GB2312"/>
          <w:b/>
          <w:bCs/>
          <w:sz w:val="24"/>
          <w:szCs w:val="24"/>
        </w:rPr>
        <w:t>1.2节拍偏差率核算公式</w:t>
      </w:r>
      <w:r>
        <w:rPr>
          <w:rFonts w:hint="eastAsia" w:ascii="仿宋_GB2312" w:hAnsi="仿宋_GB2312" w:eastAsia="仿宋_GB2312" w:cs="仿宋_GB2312"/>
          <w:sz w:val="24"/>
          <w:szCs w:val="24"/>
        </w:rPr>
        <w:t>：</w:t>
      </w:r>
    </w:p>
    <w:p w14:paraId="5B0B7056">
      <w:pPr>
        <w:widowControl/>
        <w:spacing w:line="300" w:lineRule="auto"/>
        <w:ind w:firstLine="480" w:firstLineChars="200"/>
        <w:jc w:val="left"/>
        <w:rPr>
          <w:rFonts w:ascii="仿宋_GB2312" w:hAnsi="仿宋_GB2312" w:eastAsia="仿宋_GB2312" w:cs="仿宋_GB2312"/>
          <w:kern w:val="0"/>
          <w:sz w:val="24"/>
          <w:szCs w:val="24"/>
          <w:lang w:bidi="ar"/>
        </w:rPr>
      </w:pPr>
      <w:r>
        <w:rPr>
          <w:rFonts w:hint="eastAsia" w:ascii="仿宋_GB2312" w:hAnsi="仿宋_GB2312" w:eastAsia="仿宋_GB2312" w:cs="仿宋_GB2312"/>
          <w:kern w:val="0"/>
          <w:sz w:val="24"/>
          <w:szCs w:val="24"/>
          <w:lang w:bidi="ar"/>
        </w:rPr>
        <w:t>节拍偏差率=（实际节拍-约定节拍）÷约定节拍×100%</w:t>
      </w:r>
    </w:p>
    <w:p w14:paraId="60E18CA0">
      <w:pPr>
        <w:widowControl/>
        <w:spacing w:line="300" w:lineRule="auto"/>
        <w:ind w:firstLine="482" w:firstLineChars="200"/>
        <w:jc w:val="left"/>
        <w:rPr>
          <w:rFonts w:ascii="仿宋_GB2312" w:hAnsi="仿宋_GB2312" w:eastAsia="仿宋_GB2312" w:cs="仿宋_GB2312"/>
          <w:sz w:val="24"/>
          <w:szCs w:val="24"/>
        </w:rPr>
      </w:pPr>
      <w:r>
        <w:rPr>
          <w:rFonts w:hint="eastAsia" w:ascii="仿宋_GB2312" w:hAnsi="仿宋_GB2312" w:eastAsia="仿宋_GB2312" w:cs="仿宋_GB2312"/>
          <w:b/>
          <w:bCs/>
          <w:sz w:val="24"/>
          <w:szCs w:val="24"/>
        </w:rPr>
        <w:t>1.3扣款规则</w:t>
      </w:r>
      <w:r>
        <w:rPr>
          <w:rFonts w:hint="eastAsia" w:ascii="仿宋_GB2312" w:hAnsi="仿宋_GB2312" w:eastAsia="仿宋_GB2312" w:cs="仿宋_GB2312"/>
          <w:sz w:val="24"/>
          <w:szCs w:val="24"/>
        </w:rPr>
        <w:t>：</w:t>
      </w:r>
    </w:p>
    <w:p w14:paraId="47DCB9DB">
      <w:pPr>
        <w:widowControl/>
        <w:spacing w:line="300" w:lineRule="auto"/>
        <w:ind w:firstLine="480" w:firstLineChars="200"/>
        <w:jc w:val="left"/>
        <w:rPr>
          <w:rFonts w:ascii="仿宋_GB2312" w:hAnsi="仿宋_GB2312" w:eastAsia="仿宋_GB2312" w:cs="仿宋_GB2312"/>
          <w:kern w:val="0"/>
          <w:sz w:val="24"/>
          <w:szCs w:val="24"/>
          <w:lang w:bidi="ar"/>
        </w:rPr>
      </w:pPr>
      <w:r>
        <w:rPr>
          <w:rFonts w:hint="eastAsia" w:ascii="仿宋_GB2312" w:hAnsi="仿宋_GB2312" w:eastAsia="仿宋_GB2312" w:cs="仿宋_GB2312"/>
          <w:kern w:val="0"/>
          <w:sz w:val="24"/>
          <w:szCs w:val="24"/>
          <w:lang w:bidi="ar"/>
        </w:rPr>
        <w:t>节拍偏差率≤3%：视为允许偏差，不扣款；</w:t>
      </w:r>
    </w:p>
    <w:p w14:paraId="79D2D754">
      <w:pPr>
        <w:widowControl/>
        <w:spacing w:line="300" w:lineRule="auto"/>
        <w:ind w:firstLine="480" w:firstLineChars="200"/>
        <w:jc w:val="left"/>
        <w:rPr>
          <w:rFonts w:ascii="仿宋_GB2312" w:hAnsi="仿宋_GB2312" w:eastAsia="仿宋_GB2312" w:cs="仿宋_GB2312"/>
          <w:kern w:val="0"/>
          <w:sz w:val="24"/>
          <w:szCs w:val="24"/>
          <w:lang w:bidi="ar"/>
        </w:rPr>
      </w:pPr>
      <w:r>
        <w:rPr>
          <w:rFonts w:hint="eastAsia" w:ascii="仿宋_GB2312" w:hAnsi="仿宋_GB2312" w:eastAsia="仿宋_GB2312" w:cs="仿宋_GB2312"/>
          <w:kern w:val="0"/>
          <w:sz w:val="24"/>
          <w:szCs w:val="24"/>
          <w:lang w:bidi="ar"/>
        </w:rPr>
        <w:t>节拍偏差率3%＜偏差率≤10%：偏差每超出1%，扣减设备合同价款的1%；</w:t>
      </w:r>
    </w:p>
    <w:p w14:paraId="289BAA60">
      <w:pPr>
        <w:widowControl/>
        <w:spacing w:line="300" w:lineRule="auto"/>
        <w:ind w:firstLine="480" w:firstLineChars="200"/>
        <w:jc w:val="left"/>
        <w:rPr>
          <w:rFonts w:ascii="仿宋_GB2312" w:hAnsi="仿宋_GB2312" w:eastAsia="仿宋_GB2312" w:cs="仿宋_GB2312"/>
          <w:kern w:val="0"/>
          <w:sz w:val="24"/>
          <w:szCs w:val="24"/>
          <w:lang w:bidi="ar"/>
        </w:rPr>
      </w:pPr>
      <w:r>
        <w:rPr>
          <w:rFonts w:hint="eastAsia" w:ascii="仿宋_GB2312" w:hAnsi="仿宋_GB2312" w:eastAsia="仿宋_GB2312" w:cs="仿宋_GB2312"/>
          <w:kern w:val="0"/>
          <w:sz w:val="24"/>
          <w:szCs w:val="24"/>
          <w:lang w:bidi="ar"/>
        </w:rPr>
        <w:t>节拍偏差率10%＜偏差率≤30%：属重大偏差，偏差每超出1%，扣减设备合同价款的1%；买方有权全部或部分不予验收付款，买方视情况选择解除合同或继续执行合同；</w:t>
      </w:r>
    </w:p>
    <w:p w14:paraId="76E3FE43">
      <w:pPr>
        <w:widowControl/>
        <w:spacing w:line="300" w:lineRule="auto"/>
        <w:ind w:firstLine="480" w:firstLineChars="200"/>
        <w:jc w:val="left"/>
        <w:rPr>
          <w:rFonts w:ascii="仿宋_GB2312" w:hAnsi="仿宋_GB2312" w:eastAsia="仿宋_GB2312" w:cs="仿宋_GB2312"/>
          <w:kern w:val="0"/>
          <w:sz w:val="24"/>
          <w:szCs w:val="24"/>
          <w:lang w:bidi="ar"/>
        </w:rPr>
      </w:pPr>
      <w:r>
        <w:rPr>
          <w:rFonts w:hint="eastAsia" w:ascii="仿宋_GB2312" w:hAnsi="仿宋_GB2312" w:eastAsia="仿宋_GB2312" w:cs="仿宋_GB2312"/>
          <w:kern w:val="0"/>
          <w:sz w:val="24"/>
          <w:szCs w:val="24"/>
          <w:lang w:bidi="ar"/>
        </w:rPr>
        <w:t>节拍偏差率＞30%：属根本违约，买方有权不予验收、不予付款，并有权单方解除合同。</w:t>
      </w:r>
    </w:p>
    <w:p w14:paraId="239E44EE">
      <w:pPr>
        <w:widowControl/>
        <w:spacing w:line="300" w:lineRule="auto"/>
        <w:ind w:firstLine="480" w:firstLineChars="200"/>
        <w:jc w:val="left"/>
        <w:rPr>
          <w:rFonts w:ascii="仿宋_GB2312" w:hAnsi="仿宋_GB2312" w:eastAsia="仿宋_GB2312" w:cs="仿宋_GB2312"/>
          <w:kern w:val="0"/>
          <w:sz w:val="24"/>
          <w:szCs w:val="24"/>
          <w:lang w:bidi="ar"/>
        </w:rPr>
      </w:pPr>
      <w:r>
        <w:rPr>
          <w:rFonts w:hint="eastAsia" w:ascii="仿宋_GB2312" w:hAnsi="仿宋_GB2312" w:eastAsia="仿宋_GB2312" w:cs="仿宋_GB2312"/>
          <w:kern w:val="0"/>
          <w:sz w:val="24"/>
          <w:szCs w:val="24"/>
          <w:lang w:bidi="ar"/>
        </w:rPr>
        <w:t>当项目涉及多个产品需进行节拍验收时，参照双方在合同内约定的各个产品节拍偏离扣款基数；如无明确约定，按扣款比例=(节拍超差产品数量/需验收节拍产品数量)*100%进行折算。</w:t>
      </w:r>
    </w:p>
    <w:p w14:paraId="09C72A38">
      <w:pPr>
        <w:widowControl/>
        <w:spacing w:line="300" w:lineRule="auto"/>
        <w:ind w:firstLine="482" w:firstLineChars="200"/>
        <w:jc w:val="left"/>
        <w:outlineLvl w:val="2"/>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2、自动化率偏差</w:t>
      </w:r>
    </w:p>
    <w:p w14:paraId="38AB4BF5">
      <w:pPr>
        <w:widowControl/>
        <w:spacing w:line="300" w:lineRule="auto"/>
        <w:ind w:firstLine="482" w:firstLineChars="200"/>
        <w:jc w:val="left"/>
        <w:rPr>
          <w:rFonts w:ascii="仿宋_GB2312" w:hAnsi="仿宋_GB2312" w:eastAsia="仿宋_GB2312" w:cs="仿宋_GB2312"/>
          <w:sz w:val="24"/>
          <w:szCs w:val="24"/>
        </w:rPr>
      </w:pPr>
      <w:r>
        <w:rPr>
          <w:rFonts w:hint="eastAsia" w:ascii="仿宋_GB2312" w:hAnsi="仿宋_GB2312" w:eastAsia="仿宋_GB2312" w:cs="仿宋_GB2312"/>
          <w:b/>
          <w:bCs/>
          <w:sz w:val="24"/>
          <w:szCs w:val="24"/>
        </w:rPr>
        <w:t>2.1基准值</w:t>
      </w:r>
      <w:r>
        <w:rPr>
          <w:rFonts w:hint="eastAsia" w:ascii="仿宋_GB2312" w:hAnsi="仿宋_GB2312" w:eastAsia="仿宋_GB2312" w:cs="仿宋_GB2312"/>
          <w:sz w:val="24"/>
          <w:szCs w:val="24"/>
        </w:rPr>
        <w:t>：</w:t>
      </w:r>
    </w:p>
    <w:p w14:paraId="1E8DD6E3">
      <w:pPr>
        <w:widowControl/>
        <w:spacing w:line="300" w:lineRule="auto"/>
        <w:ind w:firstLine="480" w:firstLineChars="20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自动化率是指设备在完成其预定功能时不需要人工干预的程度，以合同</w:t>
      </w:r>
      <w:r>
        <w:rPr>
          <w:rFonts w:hint="eastAsia" w:ascii="仿宋_GB2312" w:hAnsi="仿宋_GB2312" w:eastAsia="仿宋_GB2312" w:cs="仿宋_GB2312"/>
          <w:kern w:val="0"/>
          <w:sz w:val="24"/>
          <w:szCs w:val="24"/>
          <w:lang w:bidi="ar"/>
        </w:rPr>
        <w:t>/技术协议</w:t>
      </w:r>
      <w:r>
        <w:rPr>
          <w:rFonts w:hint="eastAsia" w:ascii="仿宋_GB2312" w:hAnsi="仿宋_GB2312" w:eastAsia="仿宋_GB2312" w:cs="仿宋_GB2312"/>
          <w:sz w:val="24"/>
          <w:szCs w:val="24"/>
        </w:rPr>
        <w:t>约定的</w:t>
      </w:r>
      <w:r>
        <w:rPr>
          <w:rFonts w:hint="eastAsia" w:ascii="仿宋_GB2312" w:hAnsi="仿宋_GB2312" w:eastAsia="仿宋_GB2312" w:cs="仿宋_GB2312"/>
          <w:b/>
          <w:sz w:val="24"/>
          <w:szCs w:val="24"/>
        </w:rPr>
        <w:t>自动化率</w:t>
      </w:r>
      <w:r>
        <w:rPr>
          <w:rFonts w:hint="eastAsia" w:ascii="仿宋_GB2312" w:hAnsi="仿宋_GB2312" w:eastAsia="仿宋_GB2312" w:cs="仿宋_GB2312"/>
          <w:sz w:val="24"/>
          <w:szCs w:val="24"/>
        </w:rPr>
        <w:t>为准，按Q/ZZ 30096《产线自动化率核算规范》内规定的计算方法进行核算。</w:t>
      </w:r>
    </w:p>
    <w:p w14:paraId="427996FC">
      <w:pPr>
        <w:widowControl/>
        <w:spacing w:line="300" w:lineRule="auto"/>
        <w:ind w:firstLine="482" w:firstLineChars="200"/>
        <w:jc w:val="left"/>
        <w:rPr>
          <w:rFonts w:ascii="仿宋_GB2312" w:hAnsi="仿宋_GB2312" w:eastAsia="仿宋_GB2312" w:cs="仿宋_GB2312"/>
          <w:sz w:val="24"/>
          <w:szCs w:val="24"/>
        </w:rPr>
      </w:pPr>
      <w:r>
        <w:rPr>
          <w:rFonts w:hint="eastAsia" w:ascii="仿宋_GB2312" w:hAnsi="仿宋_GB2312" w:eastAsia="仿宋_GB2312" w:cs="仿宋_GB2312"/>
          <w:b/>
          <w:bCs/>
          <w:sz w:val="24"/>
          <w:szCs w:val="24"/>
        </w:rPr>
        <w:t>2.2自动化率偏差核算公式</w:t>
      </w:r>
      <w:r>
        <w:rPr>
          <w:rFonts w:hint="eastAsia" w:ascii="仿宋_GB2312" w:hAnsi="仿宋_GB2312" w:eastAsia="仿宋_GB2312" w:cs="仿宋_GB2312"/>
          <w:sz w:val="24"/>
          <w:szCs w:val="24"/>
        </w:rPr>
        <w:t>：</w:t>
      </w:r>
    </w:p>
    <w:p w14:paraId="4DA21730">
      <w:pPr>
        <w:widowControl/>
        <w:spacing w:line="300" w:lineRule="auto"/>
        <w:ind w:firstLine="480" w:firstLineChars="20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自动化率偏差=约定自动化率-实际达成自动化率</w:t>
      </w:r>
    </w:p>
    <w:p w14:paraId="5E607DE1">
      <w:pPr>
        <w:widowControl/>
        <w:spacing w:line="300" w:lineRule="auto"/>
        <w:ind w:firstLine="482" w:firstLineChars="200"/>
        <w:jc w:val="left"/>
        <w:rPr>
          <w:rFonts w:ascii="仿宋_GB2312" w:hAnsi="仿宋_GB2312" w:eastAsia="仿宋_GB2312" w:cs="仿宋_GB2312"/>
          <w:sz w:val="24"/>
          <w:szCs w:val="24"/>
        </w:rPr>
      </w:pPr>
      <w:r>
        <w:rPr>
          <w:rFonts w:hint="eastAsia" w:ascii="仿宋_GB2312" w:hAnsi="仿宋_GB2312" w:eastAsia="仿宋_GB2312" w:cs="仿宋_GB2312"/>
          <w:b/>
          <w:bCs/>
          <w:sz w:val="24"/>
          <w:szCs w:val="24"/>
        </w:rPr>
        <w:t>2.3扣款规则</w:t>
      </w:r>
      <w:r>
        <w:rPr>
          <w:rFonts w:hint="eastAsia" w:ascii="仿宋_GB2312" w:hAnsi="仿宋_GB2312" w:eastAsia="仿宋_GB2312" w:cs="仿宋_GB2312"/>
          <w:sz w:val="24"/>
          <w:szCs w:val="24"/>
        </w:rPr>
        <w:t>：</w:t>
      </w:r>
    </w:p>
    <w:p w14:paraId="36C9FABA">
      <w:pPr>
        <w:widowControl/>
        <w:spacing w:line="300" w:lineRule="auto"/>
        <w:ind w:firstLine="480" w:firstLineChars="200"/>
        <w:jc w:val="left"/>
        <w:rPr>
          <w:rFonts w:ascii="仿宋_GB2312" w:hAnsi="仿宋_GB2312" w:eastAsia="仿宋_GB2312" w:cs="仿宋_GB2312"/>
          <w:kern w:val="0"/>
          <w:sz w:val="24"/>
          <w:szCs w:val="24"/>
          <w:lang w:bidi="ar"/>
        </w:rPr>
      </w:pPr>
      <w:r>
        <w:rPr>
          <w:rFonts w:hint="eastAsia" w:ascii="仿宋_GB2312" w:hAnsi="仿宋_GB2312" w:eastAsia="仿宋_GB2312" w:cs="仿宋_GB2312"/>
          <w:kern w:val="0"/>
          <w:sz w:val="24"/>
          <w:szCs w:val="24"/>
          <w:lang w:bidi="ar"/>
        </w:rPr>
        <w:t>自动化率偏差率＜【5】%：视为允许偏差，不扣款；</w:t>
      </w:r>
    </w:p>
    <w:p w14:paraId="7DA4912D">
      <w:pPr>
        <w:widowControl/>
        <w:spacing w:line="300" w:lineRule="auto"/>
        <w:ind w:firstLine="480" w:firstLineChars="200"/>
        <w:jc w:val="left"/>
        <w:rPr>
          <w:rFonts w:ascii="仿宋_GB2312" w:hAnsi="仿宋_GB2312" w:eastAsia="仿宋_GB2312" w:cs="仿宋_GB2312"/>
          <w:kern w:val="0"/>
          <w:sz w:val="24"/>
          <w:szCs w:val="24"/>
          <w:lang w:bidi="ar"/>
        </w:rPr>
      </w:pPr>
      <w:r>
        <w:rPr>
          <w:rFonts w:hint="eastAsia" w:ascii="仿宋_GB2312" w:hAnsi="仿宋_GB2312" w:eastAsia="仿宋_GB2312" w:cs="仿宋_GB2312"/>
          <w:kern w:val="0"/>
          <w:sz w:val="24"/>
          <w:szCs w:val="24"/>
          <w:lang w:bidi="ar"/>
        </w:rPr>
        <w:t>【5】%≤自动化率偏差率＜【15】%：偏差每高1%，扣减对应合同价款的0.5%；</w:t>
      </w:r>
    </w:p>
    <w:p w14:paraId="2D6262DC">
      <w:pPr>
        <w:widowControl/>
        <w:spacing w:line="300" w:lineRule="auto"/>
        <w:ind w:firstLine="480" w:firstLineChars="200"/>
        <w:jc w:val="left"/>
        <w:rPr>
          <w:rFonts w:ascii="仿宋_GB2312" w:hAnsi="仿宋_GB2312" w:eastAsia="仿宋_GB2312" w:cs="仿宋_GB2312"/>
          <w:sz w:val="24"/>
          <w:szCs w:val="24"/>
        </w:rPr>
      </w:pPr>
      <w:r>
        <w:rPr>
          <w:rFonts w:hint="eastAsia" w:ascii="仿宋_GB2312" w:hAnsi="仿宋_GB2312" w:eastAsia="仿宋_GB2312" w:cs="仿宋_GB2312"/>
          <w:kern w:val="0"/>
          <w:sz w:val="24"/>
          <w:szCs w:val="24"/>
          <w:lang w:bidi="ar"/>
        </w:rPr>
        <w:t>自动化率偏差率≥【15】%：视为重大偏差，买方有权选择以下任一种扣款方式：①按照额外增加的人工及设备使用年限核算扣款，人工成本按买方实际支出执行扣款，扣款不高于合同总价款的30%；②买方有权全部或部分不予验收付款，并单方解除合同。</w:t>
      </w:r>
    </w:p>
    <w:p w14:paraId="327760F9">
      <w:pPr>
        <w:widowControl/>
        <w:spacing w:line="300" w:lineRule="auto"/>
        <w:ind w:firstLine="482" w:firstLineChars="200"/>
        <w:jc w:val="left"/>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3、功能及性能偏差</w:t>
      </w:r>
    </w:p>
    <w:p w14:paraId="28CFFC23">
      <w:pPr>
        <w:widowControl/>
        <w:spacing w:line="300" w:lineRule="auto"/>
        <w:ind w:firstLine="482" w:firstLineChars="200"/>
        <w:jc w:val="left"/>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3.1核心功能/主要参数不达标（根本违约）</w:t>
      </w:r>
    </w:p>
    <w:p w14:paraId="4E088FB9">
      <w:pPr>
        <w:widowControl/>
        <w:spacing w:line="300" w:lineRule="auto"/>
        <w:ind w:firstLine="480" w:firstLineChars="20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设备主要功能、核心性能指标、关键技术参数未达到合同及附件《技术协议》约定标准或国家、行业标准，导致项目无法实现核心产能、工艺要求不满足、整体验收不合格的，视为卖方根本违约。</w:t>
      </w:r>
    </w:p>
    <w:p w14:paraId="397E9136">
      <w:pPr>
        <w:widowControl/>
        <w:spacing w:line="300" w:lineRule="auto"/>
        <w:ind w:firstLine="480" w:firstLineChars="20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买方有权单方解除合同、无条件全额退货退款，卖方应在买方通知后7个工作日内全额退还买方已支付的全部款项，并承担设备往返运输、拆装、检测、仓储等全部相关费用；同时卖方应按合同总金额的20%向买方支付违约金，违约金不足以弥补买方工期延误、停产损失、第三方索赔等全部实际损失的，卖方应就差额部分另行足额赔偿。</w:t>
      </w:r>
    </w:p>
    <w:p w14:paraId="479598C3">
      <w:pPr>
        <w:widowControl/>
        <w:spacing w:line="300" w:lineRule="auto"/>
        <w:ind w:firstLine="480" w:firstLineChars="20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对于创新性强、技术难度大的挑战性项目，如存在部分关键指标不达标但经买方认定不影响产品、产线使用的，买方可选择让步接收，卖方提供不高于合同总金额的20%的折扣作为对买方让步接收的补偿。</w:t>
      </w:r>
    </w:p>
    <w:p w14:paraId="51124A01">
      <w:pPr>
        <w:widowControl/>
        <w:spacing w:line="300" w:lineRule="auto"/>
        <w:ind w:firstLine="482" w:firstLineChars="200"/>
        <w:jc w:val="left"/>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3.2辅助指标/配置不符（非根本违约）</w:t>
      </w:r>
    </w:p>
    <w:p w14:paraId="45ADE80C">
      <w:pPr>
        <w:widowControl/>
        <w:spacing w:line="300" w:lineRule="auto"/>
        <w:ind w:firstLine="480" w:firstLineChars="20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设备主要功能及核心参数均达标、可实现项目核心用途，但辅助性能指标、选配模块、附件配置、软件功能、外观尺寸等与合同约定不符，仅影响辅助性能或使用体验、不影响项目整体运行的，卖方应无偿补齐缺失配件、将不符项整改至约定标准，由此产生的全部费用由卖方自行承担；若卖方无法整改到位，双方应在30个工作日内按实际交付状态重新核定合同价款，签订书面补充协议并按调整后价格执行结算。买方有权全部或部分不予验收及付款。</w:t>
      </w:r>
    </w:p>
    <w:p w14:paraId="3BABEC7A">
      <w:pPr>
        <w:widowControl/>
        <w:spacing w:line="300" w:lineRule="auto"/>
        <w:ind w:firstLine="482" w:firstLineChars="200"/>
        <w:jc w:val="left"/>
        <w:outlineLvl w:val="1"/>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4、交付期偏差</w:t>
      </w:r>
    </w:p>
    <w:p w14:paraId="4D9BCF2C">
      <w:pPr>
        <w:widowControl/>
        <w:spacing w:line="300" w:lineRule="auto"/>
        <w:ind w:firstLine="482" w:firstLineChars="200"/>
        <w:jc w:val="left"/>
        <w:rPr>
          <w:rFonts w:ascii="仿宋_GB2312" w:hAnsi="仿宋_GB2312" w:eastAsia="仿宋_GB2312" w:cs="仿宋_GB2312"/>
          <w:sz w:val="24"/>
          <w:szCs w:val="24"/>
        </w:rPr>
      </w:pPr>
      <w:r>
        <w:rPr>
          <w:rFonts w:hint="eastAsia" w:ascii="仿宋_GB2312" w:hAnsi="仿宋_GB2312" w:eastAsia="仿宋_GB2312" w:cs="仿宋_GB2312"/>
          <w:b/>
          <w:bCs/>
          <w:sz w:val="24"/>
          <w:szCs w:val="24"/>
        </w:rPr>
        <w:t>4.1交付期偏差：</w:t>
      </w:r>
      <w:r>
        <w:rPr>
          <w:rFonts w:hint="eastAsia" w:ascii="仿宋_GB2312" w:hAnsi="仿宋_GB2312" w:eastAsia="仿宋_GB2312" w:cs="仿宋_GB2312"/>
          <w:sz w:val="24"/>
          <w:szCs w:val="24"/>
        </w:rPr>
        <w:t>指设备到货、安装调试等过程周期超出合同约定的时间。</w:t>
      </w:r>
    </w:p>
    <w:p w14:paraId="6D67B66E">
      <w:pPr>
        <w:widowControl/>
        <w:spacing w:line="300" w:lineRule="auto"/>
        <w:ind w:firstLine="482" w:firstLineChars="200"/>
        <w:jc w:val="left"/>
        <w:rPr>
          <w:rFonts w:ascii="仿宋_GB2312" w:hAnsi="仿宋_GB2312" w:eastAsia="仿宋_GB2312" w:cs="仿宋_GB2312"/>
          <w:sz w:val="24"/>
          <w:szCs w:val="24"/>
        </w:rPr>
      </w:pPr>
      <w:r>
        <w:rPr>
          <w:rFonts w:hint="eastAsia" w:ascii="仿宋_GB2312" w:hAnsi="仿宋_GB2312" w:eastAsia="仿宋_GB2312" w:cs="仿宋_GB2312"/>
          <w:b/>
          <w:bCs/>
          <w:sz w:val="24"/>
          <w:szCs w:val="24"/>
        </w:rPr>
        <w:t>4.2扣款规则：</w:t>
      </w:r>
      <w:r>
        <w:rPr>
          <w:rFonts w:hint="eastAsia" w:ascii="仿宋_GB2312" w:hAnsi="仿宋_GB2312" w:eastAsia="仿宋_GB2312" w:cs="仿宋_GB2312"/>
          <w:sz w:val="24"/>
          <w:szCs w:val="24"/>
        </w:rPr>
        <w:t>到货或安装调试每迟1个工作日，扣减设备合同价款的1%作为违约金，如违约金超过合同总价款的20%或因卖方原因设备未能通过最终验收，买方有权就卖方违约而解除合同，且卖方仍须支付上述违约金，返还买方已支付的设备款（如有），并赔偿由此给买方造成的一切损失。</w:t>
      </w:r>
    </w:p>
    <w:p w14:paraId="3ECE85EF">
      <w:pPr>
        <w:spacing w:line="300" w:lineRule="auto"/>
        <w:ind w:firstLine="482" w:firstLineChars="200"/>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（二）研发、检测类固定资产投资项目</w:t>
      </w:r>
    </w:p>
    <w:p w14:paraId="13F4F1ED">
      <w:pPr>
        <w:widowControl/>
        <w:spacing w:line="300" w:lineRule="auto"/>
        <w:ind w:firstLine="482" w:firstLineChars="200"/>
        <w:jc w:val="left"/>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1、功能及性能偏差</w:t>
      </w:r>
    </w:p>
    <w:p w14:paraId="36F1CB3E">
      <w:pPr>
        <w:widowControl/>
        <w:spacing w:line="300" w:lineRule="auto"/>
        <w:ind w:firstLine="482" w:firstLineChars="200"/>
        <w:jc w:val="left"/>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1.1核心功能/主要参数不达标（根本违约）</w:t>
      </w:r>
    </w:p>
    <w:p w14:paraId="750EE190">
      <w:pPr>
        <w:widowControl/>
        <w:spacing w:line="300" w:lineRule="auto"/>
        <w:ind w:firstLine="480" w:firstLineChars="20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设备主要功能、核心性能指标、关键技术参数未达到合同及附件《技术协议》约定标准或国家、行业标准，导致项目无法实现核心功能、工艺要求不满足、整体验收不合格的，视为卖方根本违约。</w:t>
      </w:r>
    </w:p>
    <w:p w14:paraId="56F03B8F">
      <w:pPr>
        <w:widowControl/>
        <w:spacing w:line="300" w:lineRule="auto"/>
        <w:ind w:firstLine="480" w:firstLineChars="20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买方有权单方解除合同、无条件全额退货退款，卖方应在买方通知后7个工作日内全额退还买方已支付的全部款项，并承担设备往返运输、拆装、检测、仓储等全部相关费用；同时卖方应按合同总金额的20%向买方支付违约金，违约金不足以弥补买方工期延误、停产损失、第三方索赔等全部实际损失的，卖方应就差额部分另行足额赔偿。</w:t>
      </w:r>
    </w:p>
    <w:p w14:paraId="5929CCAB">
      <w:pPr>
        <w:widowControl/>
        <w:spacing w:line="300" w:lineRule="auto"/>
        <w:ind w:firstLine="480" w:firstLineChars="20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对于创新性强、技术难度大的挑战性项目，如存在部分次要指标不达标但经买方认定不影响使用的，买方可选择让步接收，卖方提供不高于合同总金额的20%的折扣作为对买方让步接收的补偿。</w:t>
      </w:r>
    </w:p>
    <w:p w14:paraId="339D8F4B">
      <w:pPr>
        <w:widowControl/>
        <w:spacing w:line="300" w:lineRule="auto"/>
        <w:ind w:left="-363" w:firstLine="723" w:firstLineChars="300"/>
        <w:jc w:val="left"/>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1.2辅助指标/配置不符（非根本违约）</w:t>
      </w:r>
    </w:p>
    <w:p w14:paraId="3E8EFB8D">
      <w:pPr>
        <w:widowControl/>
        <w:spacing w:line="300" w:lineRule="auto"/>
        <w:ind w:firstLine="480" w:firstLineChars="20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设备主要功能及核心参数均达标、可实现项目核心用途，但辅助性能指标、选配模块、附件配置、软件功能、外观尺寸等与合同约定不符，仅影响辅助性能或使用体验、不影响项目整体运行的，卖方应无偿补齐缺失配件、将不符项整改至约定标准，由此产生的全部费用由卖方自行承担；若卖方无法整改到位，双方应在30个工作日内按实际交付状态重新核定合同价款，签订书面补充协议并按调整后价格执行结算。买方有权全部或部分不予验收及付款。</w:t>
      </w:r>
    </w:p>
    <w:p w14:paraId="0E5518C2">
      <w:pPr>
        <w:widowControl/>
        <w:spacing w:line="300" w:lineRule="auto"/>
        <w:ind w:left="-363" w:firstLine="843" w:firstLineChars="350"/>
        <w:jc w:val="left"/>
        <w:rPr>
          <w:rFonts w:ascii="仿宋_GB2312" w:hAnsi="仿宋_GB2312" w:eastAsia="仿宋_GB2312" w:cs="仿宋_GB2312"/>
          <w:sz w:val="24"/>
          <w:szCs w:val="24"/>
        </w:rPr>
      </w:pPr>
      <w:r>
        <w:rPr>
          <w:rFonts w:hint="eastAsia" w:ascii="仿宋_GB2312" w:hAnsi="仿宋_GB2312" w:eastAsia="仿宋_GB2312" w:cs="仿宋_GB2312"/>
          <w:b/>
          <w:bCs/>
          <w:sz w:val="24"/>
          <w:szCs w:val="24"/>
        </w:rPr>
        <w:t>2、交付期偏差</w:t>
      </w:r>
    </w:p>
    <w:p w14:paraId="71A3775B">
      <w:pPr>
        <w:widowControl/>
        <w:spacing w:line="300" w:lineRule="auto"/>
        <w:ind w:firstLine="482" w:firstLineChars="200"/>
        <w:jc w:val="left"/>
        <w:rPr>
          <w:rFonts w:ascii="仿宋_GB2312" w:hAnsi="仿宋_GB2312" w:eastAsia="仿宋_GB2312" w:cs="仿宋_GB2312"/>
          <w:sz w:val="24"/>
          <w:szCs w:val="24"/>
        </w:rPr>
      </w:pPr>
      <w:r>
        <w:rPr>
          <w:rFonts w:hint="eastAsia" w:ascii="仿宋_GB2312" w:hAnsi="仿宋_GB2312" w:eastAsia="仿宋_GB2312" w:cs="仿宋_GB2312"/>
          <w:b/>
          <w:bCs/>
          <w:sz w:val="24"/>
          <w:szCs w:val="24"/>
        </w:rPr>
        <w:t>2.1交付期偏差：</w:t>
      </w:r>
      <w:r>
        <w:rPr>
          <w:rFonts w:hint="eastAsia" w:ascii="仿宋_GB2312" w:hAnsi="仿宋_GB2312" w:eastAsia="仿宋_GB2312" w:cs="仿宋_GB2312"/>
          <w:sz w:val="24"/>
          <w:szCs w:val="24"/>
        </w:rPr>
        <w:t>指设备到货、安装调试等过程，因卖方自身原因造成周期超出合同约定的时间。</w:t>
      </w:r>
    </w:p>
    <w:p w14:paraId="2726D6B2">
      <w:pPr>
        <w:widowControl/>
        <w:spacing w:line="300" w:lineRule="auto"/>
        <w:ind w:firstLine="482" w:firstLineChars="200"/>
        <w:jc w:val="left"/>
        <w:rPr>
          <w:rFonts w:ascii="仿宋_GB2312" w:hAnsi="仿宋_GB2312" w:eastAsia="仿宋_GB2312" w:cs="仿宋_GB2312"/>
          <w:sz w:val="24"/>
          <w:szCs w:val="24"/>
        </w:rPr>
      </w:pPr>
      <w:r>
        <w:rPr>
          <w:rFonts w:hint="eastAsia" w:ascii="仿宋_GB2312" w:hAnsi="仿宋_GB2312" w:eastAsia="仿宋_GB2312" w:cs="仿宋_GB2312"/>
          <w:b/>
          <w:bCs/>
          <w:sz w:val="24"/>
          <w:szCs w:val="24"/>
        </w:rPr>
        <w:t>2.2扣款规则：</w:t>
      </w:r>
      <w:r>
        <w:rPr>
          <w:rFonts w:hint="eastAsia" w:ascii="仿宋_GB2312" w:hAnsi="仿宋_GB2312" w:eastAsia="仿宋_GB2312" w:cs="仿宋_GB2312"/>
          <w:sz w:val="24"/>
          <w:szCs w:val="24"/>
        </w:rPr>
        <w:t>交付期每迟1个工作日，扣减设备合同价款的0.5%，如扣款额超过合同总价款的20%，买方有权就卖方违约而解除合同，且卖方仍须支付上述违约金，并赔偿由此给买方造成的一切损失。</w:t>
      </w:r>
    </w:p>
    <w:p w14:paraId="18072F3A">
      <w:pPr>
        <w:widowControl/>
        <w:spacing w:line="300" w:lineRule="auto"/>
        <w:ind w:firstLine="482" w:firstLineChars="200"/>
        <w:jc w:val="left"/>
        <w:rPr>
          <w:rFonts w:ascii="仿宋_GB2312" w:hAnsi="仿宋_GB2312" w:eastAsia="仿宋_GB2312" w:cs="仿宋_GB2312"/>
          <w:sz w:val="24"/>
          <w:szCs w:val="24"/>
        </w:rPr>
      </w:pPr>
      <w:r>
        <w:rPr>
          <w:rFonts w:hint="eastAsia" w:ascii="仿宋_GB2312" w:hAnsi="仿宋_GB2312" w:eastAsia="仿宋_GB2312" w:cs="仿宋_GB2312"/>
          <w:b/>
          <w:bCs/>
          <w:sz w:val="24"/>
          <w:szCs w:val="24"/>
        </w:rPr>
        <w:t>2.3</w:t>
      </w:r>
      <w:r>
        <w:rPr>
          <w:rFonts w:hint="eastAsia" w:ascii="仿宋_GB2312" w:hAnsi="仿宋_GB2312" w:eastAsia="仿宋_GB2312" w:cs="仿宋_GB2312"/>
          <w:sz w:val="24"/>
          <w:szCs w:val="24"/>
        </w:rPr>
        <w:t>针对研发、检测类试验设备特殊卖方（技术垄断、进口）的超期情况，第一次卖方需提前两个月提出书面延期申请并附最新交货期，经买方研判后出具考核结论；第二次超期时，买方按上述扣款规则进行考核。</w:t>
      </w:r>
    </w:p>
    <w:p w14:paraId="66AB7F43">
      <w:pPr>
        <w:widowControl/>
        <w:spacing w:line="300" w:lineRule="auto"/>
        <w:ind w:firstLine="482" w:firstLineChars="200"/>
        <w:jc w:val="left"/>
        <w:outlineLvl w:val="1"/>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二、考核与执行流程</w:t>
      </w:r>
    </w:p>
    <w:p w14:paraId="5C3E1A36">
      <w:pPr>
        <w:widowControl/>
        <w:spacing w:line="300" w:lineRule="auto"/>
        <w:ind w:firstLine="480" w:firstLineChars="20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1、卖方同意，在买方就索赔扣款及违约金通知卖方后，买方有权直接从</w:t>
      </w:r>
      <w:r>
        <w:rPr>
          <w:rFonts w:hint="eastAsia" w:ascii="仿宋_GB2312" w:hAnsi="仿宋_GB2312" w:eastAsia="仿宋_GB2312" w:cs="仿宋_GB2312"/>
          <w:b/>
          <w:sz w:val="24"/>
          <w:szCs w:val="24"/>
        </w:rPr>
        <w:t>项目尾款、履约保证金或质保金</w:t>
      </w:r>
      <w:r>
        <w:rPr>
          <w:rFonts w:hint="eastAsia" w:ascii="仿宋_GB2312" w:hAnsi="仿宋_GB2312" w:eastAsia="仿宋_GB2312" w:cs="仿宋_GB2312"/>
          <w:sz w:val="24"/>
          <w:szCs w:val="24"/>
        </w:rPr>
        <w:t>中优先抵扣相应款项。若抵扣后仍不足以覆盖索赔扣款及违约金金额，卖方应就剩余部分另行向买方支付。</w:t>
      </w:r>
    </w:p>
    <w:p w14:paraId="55806088">
      <w:pPr>
        <w:widowControl/>
        <w:spacing w:line="300" w:lineRule="auto"/>
        <w:ind w:firstLine="480" w:firstLineChars="20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2、针对同一问题同时触发的多项索赔，不重复扣款，按照索赔金额较高的标准执行，但不同阶段重复发生的不在此限。所有索赔金额不超过合同总金额的30%。</w:t>
      </w:r>
    </w:p>
    <w:p w14:paraId="39043638">
      <w:pPr>
        <w:widowControl/>
        <w:spacing w:line="300" w:lineRule="auto"/>
        <w:ind w:firstLine="482" w:firstLineChars="200"/>
        <w:jc w:val="left"/>
        <w:outlineLvl w:val="1"/>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三、附则</w:t>
      </w:r>
    </w:p>
    <w:p w14:paraId="71A0E300">
      <w:pPr>
        <w:widowControl/>
        <w:spacing w:line="300" w:lineRule="auto"/>
        <w:ind w:firstLine="480" w:firstLineChars="20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本细则作为主合同</w:t>
      </w:r>
      <w:r>
        <w:rPr>
          <w:rFonts w:hint="eastAsia" w:ascii="仿宋_GB2312" w:hAnsi="仿宋_GB2312" w:eastAsia="仿宋_GB2312" w:cs="仿宋_GB2312"/>
          <w:b/>
          <w:sz w:val="24"/>
          <w:szCs w:val="24"/>
        </w:rPr>
        <w:t>有效组成部分</w:t>
      </w:r>
      <w:r>
        <w:rPr>
          <w:rFonts w:hint="eastAsia" w:ascii="仿宋_GB2312" w:hAnsi="仿宋_GB2312" w:eastAsia="仿宋_GB2312" w:cs="仿宋_GB2312"/>
          <w:sz w:val="24"/>
          <w:szCs w:val="24"/>
        </w:rPr>
        <w:t>，与合同、技术协议具有同等法律效力；如本细则内容与合同、技术协议约定有冲突的，以本细则为准。</w:t>
      </w:r>
    </w:p>
    <w:p w14:paraId="44315CFA">
      <w:pPr>
        <w:widowControl/>
        <w:adjustRightInd w:val="0"/>
        <w:snapToGrid w:val="0"/>
        <w:spacing w:line="360" w:lineRule="auto"/>
        <w:ind w:firstLine="480" w:firstLineChars="200"/>
        <w:jc w:val="left"/>
        <w:rPr>
          <w:rFonts w:ascii="仿宋_GB2312" w:hAnsi="仿宋_GB2312" w:eastAsia="仿宋_GB2312" w:cs="仿宋_GB2312"/>
          <w:snapToGrid w:val="0"/>
          <w:color w:val="000000"/>
          <w:kern w:val="0"/>
          <w:sz w:val="24"/>
          <w:szCs w:val="24"/>
          <w:lang w:eastAsia="zh-Hans"/>
        </w:rPr>
      </w:pPr>
    </w:p>
    <w:p w14:paraId="2B30EF94">
      <w:pPr>
        <w:widowControl/>
        <w:adjustRightInd w:val="0"/>
        <w:snapToGrid w:val="0"/>
        <w:spacing w:line="360" w:lineRule="auto"/>
        <w:ind w:firstLine="480" w:firstLineChars="200"/>
        <w:jc w:val="left"/>
        <w:rPr>
          <w:rFonts w:ascii="仿宋_GB2312" w:hAnsi="仿宋_GB2312" w:eastAsia="仿宋_GB2312" w:cs="仿宋_GB2312"/>
          <w:snapToGrid w:val="0"/>
          <w:color w:val="000000"/>
          <w:kern w:val="0"/>
          <w:sz w:val="24"/>
          <w:szCs w:val="24"/>
          <w:lang w:eastAsia="zh-Hans"/>
        </w:rPr>
      </w:pPr>
    </w:p>
    <w:p w14:paraId="608CABF8">
      <w:pPr>
        <w:widowControl/>
        <w:adjustRightInd w:val="0"/>
        <w:snapToGrid w:val="0"/>
        <w:spacing w:line="360" w:lineRule="auto"/>
        <w:jc w:val="left"/>
        <w:rPr>
          <w:rFonts w:ascii="仿宋_GB2312" w:hAnsi="仿宋_GB2312" w:eastAsia="仿宋_GB2312" w:cs="仿宋_GB2312"/>
          <w:snapToGrid w:val="0"/>
          <w:color w:val="000000"/>
          <w:kern w:val="0"/>
          <w:sz w:val="24"/>
          <w:szCs w:val="24"/>
          <w:lang w:eastAsia="zh-Hans"/>
        </w:rPr>
      </w:pPr>
    </w:p>
    <w:bookmarkEnd w:id="77"/>
    <w:p w14:paraId="26038046">
      <w:pPr>
        <w:rPr>
          <w:rFonts w:hint="eastAsia" w:ascii="宋体" w:hAnsi="宋体"/>
          <w:b/>
          <w:iCs/>
          <w:lang w:val="en-US" w:eastAsia="zh-CN"/>
        </w:rPr>
        <w:sectPr>
          <w:headerReference r:id="rId10" w:type="default"/>
          <w:footerReference r:id="rId11" w:type="default"/>
          <w:pgSz w:w="11907" w:h="16840"/>
          <w:pgMar w:top="1702" w:right="1418" w:bottom="1418" w:left="1418" w:header="851" w:footer="822" w:gutter="0"/>
          <w:cols w:space="720" w:num="1"/>
          <w:docGrid w:linePitch="290" w:charSpace="-3931"/>
        </w:sectPr>
      </w:pPr>
      <w:r>
        <w:rPr>
          <w:rFonts w:hint="eastAsia" w:ascii="黑体" w:hAnsi="黑体" w:eastAsia="黑体" w:cstheme="minorEastAsia"/>
          <w:sz w:val="28"/>
          <w:szCs w:val="28"/>
        </w:rPr>
        <w:t>附件三 技术协议书</w:t>
      </w:r>
    </w:p>
    <w:p w14:paraId="00CF46ED">
      <w:pPr>
        <w:keepNext/>
        <w:keepLines/>
        <w:jc w:val="center"/>
        <w:outlineLvl w:val="0"/>
        <w:rPr>
          <w:rFonts w:ascii="Calibri" w:hAnsi="Calibri" w:eastAsia="宋体" w:cs="Times New Roman"/>
          <w:b/>
          <w:bCs/>
          <w:kern w:val="44"/>
          <w:sz w:val="36"/>
          <w:szCs w:val="44"/>
        </w:rPr>
      </w:pPr>
      <w:r>
        <w:rPr>
          <w:rFonts w:hint="eastAsia" w:ascii="Calibri" w:hAnsi="Calibri" w:eastAsia="宋体" w:cs="Times New Roman"/>
          <w:b/>
          <w:bCs/>
          <w:kern w:val="44"/>
          <w:sz w:val="36"/>
          <w:szCs w:val="44"/>
        </w:rPr>
        <w:t>第七部分</w:t>
      </w:r>
      <w:r>
        <w:rPr>
          <w:rFonts w:ascii="Calibri" w:hAnsi="Calibri" w:eastAsia="宋体" w:cs="Times New Roman"/>
          <w:b/>
          <w:bCs/>
          <w:kern w:val="44"/>
          <w:sz w:val="36"/>
          <w:szCs w:val="44"/>
        </w:rPr>
        <w:t xml:space="preserve"> </w:t>
      </w:r>
      <w:r>
        <w:rPr>
          <w:rFonts w:hint="eastAsia" w:ascii="Calibri" w:hAnsi="Calibri" w:eastAsia="宋体" w:cs="Times New Roman"/>
          <w:b/>
          <w:bCs/>
          <w:kern w:val="44"/>
          <w:sz w:val="36"/>
          <w:szCs w:val="44"/>
        </w:rPr>
        <w:t>投标文件附件</w:t>
      </w:r>
      <w:bookmarkEnd w:id="76"/>
    </w:p>
    <w:p w14:paraId="38700406">
      <w:pPr>
        <w:keepNext/>
        <w:keepLines/>
        <w:rPr>
          <w:rFonts w:ascii="Times New Roman" w:hAnsi="Times New Roman" w:eastAsia="宋体" w:cs="Times New Roman"/>
          <w:b/>
          <w:bCs/>
          <w:color w:val="000000"/>
          <w:sz w:val="24"/>
          <w:szCs w:val="24"/>
        </w:rPr>
      </w:pPr>
    </w:p>
    <w:p w14:paraId="3A448AEC">
      <w:pPr>
        <w:pStyle w:val="20"/>
        <w:rPr>
          <w:rFonts w:ascii="Times New Roman" w:hAnsi="Times New Roman" w:eastAsia="宋体" w:cs="Times New Roman"/>
          <w:b/>
          <w:bCs/>
          <w:color w:val="000000"/>
          <w:sz w:val="24"/>
          <w:szCs w:val="24"/>
        </w:rPr>
      </w:pPr>
    </w:p>
    <w:p w14:paraId="5075586E">
      <w:pPr>
        <w:spacing w:line="420" w:lineRule="exact"/>
        <w:ind w:firstLine="480" w:firstLineChars="200"/>
        <w:rPr>
          <w:rFonts w:ascii="宋体" w:hAnsi="宋体" w:eastAsia="宋体" w:cs="宋体"/>
          <w:sz w:val="24"/>
          <w:szCs w:val="24"/>
        </w:rPr>
      </w:pPr>
      <w:r>
        <w:rPr>
          <w:rFonts w:hint="eastAsia" w:ascii="宋体" w:hAnsi="宋体" w:eastAsia="宋体" w:cs="宋体"/>
          <w:sz w:val="24"/>
          <w:szCs w:val="24"/>
        </w:rPr>
        <w:t>说明：</w:t>
      </w:r>
    </w:p>
    <w:p w14:paraId="48D5B6DC">
      <w:pPr>
        <w:spacing w:line="420" w:lineRule="exact"/>
        <w:ind w:firstLine="480" w:firstLineChars="200"/>
        <w:rPr>
          <w:rFonts w:ascii="宋体" w:hAnsi="宋体" w:eastAsia="宋体" w:cs="宋体"/>
          <w:sz w:val="24"/>
          <w:szCs w:val="24"/>
        </w:rPr>
      </w:pPr>
      <w:r>
        <w:rPr>
          <w:rFonts w:hint="eastAsia" w:ascii="宋体" w:hAnsi="宋体" w:eastAsia="宋体" w:cs="宋体"/>
          <w:sz w:val="24"/>
          <w:szCs w:val="24"/>
        </w:rPr>
        <w:t>1.投标人须认真填写和提交本部分中的附件文件；</w:t>
      </w:r>
    </w:p>
    <w:p w14:paraId="77D55F2F">
      <w:pPr>
        <w:spacing w:line="420" w:lineRule="exact"/>
        <w:ind w:firstLine="480" w:firstLineChars="200"/>
        <w:rPr>
          <w:rFonts w:ascii="宋体" w:hAnsi="宋体" w:eastAsia="宋体" w:cs="宋体"/>
          <w:sz w:val="24"/>
          <w:szCs w:val="24"/>
        </w:rPr>
      </w:pPr>
      <w:r>
        <w:rPr>
          <w:rFonts w:hint="eastAsia" w:ascii="宋体" w:hAnsi="宋体" w:eastAsia="宋体" w:cs="宋体"/>
          <w:sz w:val="24"/>
          <w:szCs w:val="24"/>
        </w:rPr>
        <w:t>2.对附件文件中所要求的内容应给予明确的答复；</w:t>
      </w:r>
    </w:p>
    <w:p w14:paraId="7BF1E997">
      <w:pPr>
        <w:spacing w:line="420" w:lineRule="exact"/>
        <w:ind w:firstLine="480" w:firstLineChars="200"/>
        <w:rPr>
          <w:rFonts w:ascii="宋体" w:hAnsi="宋体" w:eastAsia="宋体" w:cs="宋体"/>
          <w:sz w:val="24"/>
          <w:szCs w:val="24"/>
        </w:rPr>
      </w:pPr>
      <w:r>
        <w:rPr>
          <w:rFonts w:hint="eastAsia" w:ascii="宋体" w:hAnsi="宋体" w:eastAsia="宋体" w:cs="宋体"/>
          <w:sz w:val="24"/>
          <w:szCs w:val="24"/>
        </w:rPr>
        <w:t>3.附件文件的签字人应保证其对一切问题的答复、所做的声明及出具的资格资质文件、资料等具有真实性和准确性；</w:t>
      </w:r>
    </w:p>
    <w:p w14:paraId="043A1AED">
      <w:pPr>
        <w:spacing w:line="420" w:lineRule="exact"/>
        <w:ind w:firstLine="480" w:firstLineChars="200"/>
        <w:rPr>
          <w:rFonts w:ascii="宋体" w:hAnsi="宋体" w:eastAsia="宋体" w:cs="宋体"/>
          <w:sz w:val="24"/>
          <w:szCs w:val="24"/>
        </w:rPr>
      </w:pPr>
      <w:r>
        <w:rPr>
          <w:rFonts w:hint="eastAsia" w:ascii="宋体" w:hAnsi="宋体" w:eastAsia="宋体" w:cs="宋体"/>
          <w:sz w:val="24"/>
          <w:szCs w:val="24"/>
        </w:rPr>
        <w:t>4.招标人将对投标人提交的文件、资料等内容予以保密，但不退还；</w:t>
      </w:r>
    </w:p>
    <w:p w14:paraId="100FF6F1">
      <w:pPr>
        <w:spacing w:line="420" w:lineRule="exact"/>
        <w:ind w:firstLine="480" w:firstLineChars="200"/>
        <w:rPr>
          <w:rFonts w:ascii="宋体" w:hAnsi="宋体" w:eastAsia="宋体" w:cs="宋体"/>
          <w:sz w:val="24"/>
          <w:szCs w:val="24"/>
        </w:rPr>
      </w:pPr>
      <w:r>
        <w:rPr>
          <w:rFonts w:hint="eastAsia" w:ascii="宋体" w:hAnsi="宋体" w:eastAsia="宋体" w:cs="宋体"/>
          <w:sz w:val="24"/>
          <w:szCs w:val="24"/>
        </w:rPr>
        <w:t>5.所有附件文件应以中文书写，作为投标文件的组成部分。</w:t>
      </w:r>
    </w:p>
    <w:p w14:paraId="70A00616">
      <w:pPr>
        <w:pStyle w:val="20"/>
        <w:rPr>
          <w:rFonts w:ascii="Times New Roman" w:hAnsi="Times New Roman" w:eastAsia="宋体" w:cs="Times New Roman"/>
          <w:b/>
          <w:bCs/>
          <w:color w:val="000000"/>
          <w:sz w:val="24"/>
          <w:szCs w:val="24"/>
        </w:rPr>
        <w:sectPr>
          <w:footerReference r:id="rId14" w:type="first"/>
          <w:headerReference r:id="rId12" w:type="default"/>
          <w:footerReference r:id="rId13" w:type="default"/>
          <w:pgSz w:w="11906" w:h="16838"/>
          <w:pgMar w:top="1588" w:right="1418" w:bottom="1134" w:left="1418" w:header="851" w:footer="992" w:gutter="0"/>
          <w:cols w:space="720" w:num="1"/>
          <w:titlePg/>
          <w:docGrid w:type="lines" w:linePitch="312" w:charSpace="0"/>
        </w:sectPr>
      </w:pPr>
    </w:p>
    <w:p w14:paraId="5A2ABB20">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w:t>
      </w:r>
      <w:r>
        <w:rPr>
          <w:rFonts w:ascii="Times New Roman" w:hAnsi="Times New Roman" w:eastAsia="宋体" w:cs="Times New Roman"/>
          <w:b/>
          <w:bCs/>
          <w:color w:val="000000"/>
          <w:sz w:val="24"/>
          <w:szCs w:val="24"/>
        </w:rPr>
        <w:t>1</w:t>
      </w:r>
      <w:bookmarkStart w:id="98" w:name="_Toc212369550"/>
      <w:bookmarkStart w:id="99" w:name="_Toc639004"/>
      <w:bookmarkStart w:id="100" w:name="_Toc353881012"/>
      <w:bookmarkStart w:id="101" w:name="_Toc25811"/>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投标函</w:t>
      </w:r>
      <w:bookmarkEnd w:id="98"/>
      <w:bookmarkEnd w:id="99"/>
      <w:bookmarkEnd w:id="100"/>
      <w:bookmarkEnd w:id="101"/>
    </w:p>
    <w:p w14:paraId="01FB5047">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致：</w:t>
      </w:r>
    </w:p>
    <w:p w14:paraId="21435F2E">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根据贵方</w:t>
      </w:r>
      <w:r>
        <w:rPr>
          <w:rFonts w:hint="eastAsia" w:ascii="宋体" w:hAnsi="宋体" w:eastAsia="宋体" w:cs="宋体"/>
          <w:sz w:val="24"/>
          <w:szCs w:val="24"/>
          <w:u w:val="single"/>
        </w:rPr>
        <w:t xml:space="preserve"> </w:t>
      </w:r>
      <w:r>
        <w:rPr>
          <w:rFonts w:ascii="宋体" w:hAnsi="宋体" w:eastAsia="宋体" w:cs="宋体"/>
          <w:sz w:val="24"/>
          <w:szCs w:val="24"/>
          <w:u w:val="single"/>
        </w:rPr>
        <w:t xml:space="preserve">            </w:t>
      </w:r>
      <w:r>
        <w:rPr>
          <w:rFonts w:hint="eastAsia" w:ascii="宋体" w:hAnsi="宋体" w:eastAsia="宋体" w:cs="Times New Roman"/>
          <w:bCs/>
          <w:snapToGrid w:val="0"/>
          <w:color w:val="000000"/>
          <w:kern w:val="0"/>
          <w:sz w:val="24"/>
          <w:szCs w:val="24"/>
        </w:rPr>
        <w:t>招标公告</w:t>
      </w:r>
      <w:r>
        <w:rPr>
          <w:rFonts w:hint="eastAsia" w:ascii="宋体" w:hAnsi="宋体" w:eastAsia="宋体" w:cs="Times New Roman"/>
          <w:color w:val="000000"/>
          <w:sz w:val="24"/>
          <w:szCs w:val="24"/>
        </w:rPr>
        <w:t>，</w:t>
      </w:r>
      <w:r>
        <w:rPr>
          <w:rFonts w:ascii="宋体" w:hAnsi="宋体" w:eastAsia="宋体" w:cs="Times New Roman"/>
          <w:b/>
          <w:color w:val="000000"/>
          <w:sz w:val="24"/>
          <w:szCs w:val="24"/>
          <w:u w:val="single"/>
        </w:rPr>
        <w:t xml:space="preserve">            </w:t>
      </w:r>
      <w:r>
        <w:rPr>
          <w:rFonts w:hint="eastAsia" w:ascii="宋体" w:hAnsi="宋体" w:eastAsia="宋体" w:cs="Times New Roman"/>
          <w:color w:val="000000"/>
          <w:sz w:val="24"/>
          <w:szCs w:val="24"/>
        </w:rPr>
        <w:t>投标公司，</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法人代表人为</w:t>
      </w:r>
      <w:r>
        <w:rPr>
          <w:rFonts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，正式授权</w:t>
      </w:r>
      <w:r>
        <w:rPr>
          <w:rFonts w:ascii="宋体" w:hAnsi="宋体" w:eastAsia="宋体" w:cs="Times New Roman"/>
          <w:color w:val="000000"/>
          <w:sz w:val="24"/>
          <w:szCs w:val="24"/>
          <w:u w:val="single"/>
        </w:rPr>
        <w:t xml:space="preserve">           </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提交纸质投标文件：资质证明文件、商务文件和技术文件正本一份；电子版投标文件一份。</w:t>
      </w:r>
    </w:p>
    <w:p w14:paraId="30A721B6">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据此函，签字代表宣布同意如下：</w:t>
      </w:r>
    </w:p>
    <w:p w14:paraId="16C4FDDD">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1</w:t>
      </w:r>
      <w:r>
        <w:rPr>
          <w:rFonts w:hint="eastAsia" w:ascii="宋体" w:hAnsi="宋体" w:eastAsia="宋体" w:cs="Times New Roman"/>
          <w:color w:val="000000"/>
          <w:sz w:val="24"/>
          <w:szCs w:val="24"/>
        </w:rPr>
        <w:t>.投标人已详细审查全部“招标文件”，包括修改文件（如有的话）以及全部参考资料和有关附件，已经了解我方对于招标文件、采购过程、采购结果有依法进行询问、质疑、投诉的权利及相关渠道和要求。</w:t>
      </w:r>
    </w:p>
    <w:p w14:paraId="1E4BCA59">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2</w:t>
      </w:r>
      <w:r>
        <w:rPr>
          <w:rFonts w:hint="eastAsia" w:ascii="宋体" w:hAnsi="宋体" w:eastAsia="宋体" w:cs="Times New Roman"/>
          <w:color w:val="000000"/>
          <w:sz w:val="24"/>
          <w:szCs w:val="24"/>
        </w:rPr>
        <w:t>.投标人在投标之前已经与贵方进行了充分的沟通，完全理解并接受招标文件的各项规定和要求，对招标文件的合理性、合法性不再有异议。</w:t>
      </w:r>
    </w:p>
    <w:p w14:paraId="5C9E819C">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3</w:t>
      </w:r>
      <w:r>
        <w:rPr>
          <w:rFonts w:hint="eastAsia" w:ascii="宋体" w:hAnsi="宋体" w:eastAsia="宋体" w:cs="Times New Roman"/>
          <w:color w:val="000000"/>
          <w:sz w:val="24"/>
          <w:szCs w:val="24"/>
        </w:rPr>
        <w:t>.本投标有效期自开标日起</w:t>
      </w:r>
      <w:r>
        <w:rPr>
          <w:rFonts w:ascii="宋体" w:hAnsi="宋体" w:eastAsia="宋体" w:cs="Times New Roman"/>
          <w:bCs/>
          <w:color w:val="000000"/>
          <w:sz w:val="24"/>
          <w:szCs w:val="24"/>
          <w:u w:val="single"/>
        </w:rPr>
        <w:t xml:space="preserve"> 90</w:t>
      </w:r>
      <w:r>
        <w:rPr>
          <w:rFonts w:hint="eastAsia" w:ascii="宋体" w:hAnsi="宋体" w:eastAsia="宋体" w:cs="Times New Roman"/>
          <w:color w:val="000000"/>
          <w:sz w:val="24"/>
          <w:szCs w:val="24"/>
        </w:rPr>
        <w:t>个日历日。</w:t>
      </w:r>
    </w:p>
    <w:p w14:paraId="47DF303D">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4</w:t>
      </w:r>
      <w:r>
        <w:rPr>
          <w:rFonts w:hint="eastAsia" w:ascii="宋体" w:hAnsi="宋体" w:eastAsia="宋体" w:cs="Times New Roman"/>
          <w:color w:val="000000"/>
          <w:sz w:val="24"/>
          <w:szCs w:val="24"/>
        </w:rPr>
        <w:t>.如中标，本投标文件至本项目合同履行完毕止均保持有效，本投标人将按“招标文件”及政府采购法律、法规的规定履行合同责任和义务。</w:t>
      </w:r>
    </w:p>
    <w:p w14:paraId="584A6395">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5</w:t>
      </w:r>
      <w:r>
        <w:rPr>
          <w:rFonts w:hint="eastAsia" w:ascii="宋体" w:hAnsi="宋体" w:eastAsia="宋体" w:cs="Times New Roman"/>
          <w:color w:val="000000"/>
          <w:sz w:val="24"/>
          <w:szCs w:val="24"/>
        </w:rPr>
        <w:t>.投标人同意按照贵方要求提供与投标有关的一切数据或资料。</w:t>
      </w:r>
    </w:p>
    <w:p w14:paraId="38DB39A6">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6</w:t>
      </w:r>
      <w:r>
        <w:rPr>
          <w:rFonts w:hint="eastAsia" w:ascii="宋体" w:hAnsi="宋体" w:eastAsia="宋体" w:cs="Times New Roman"/>
          <w:color w:val="000000"/>
          <w:sz w:val="24"/>
          <w:szCs w:val="24"/>
        </w:rPr>
        <w:t>.与本投标有关的一切正式往来信函请寄：</w:t>
      </w:r>
    </w:p>
    <w:p w14:paraId="4D3F6C12">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地址：</w:t>
      </w:r>
      <w:r>
        <w:rPr>
          <w:rFonts w:ascii="宋体" w:hAnsi="宋体" w:eastAsia="宋体" w:cs="Times New Roman"/>
          <w:color w:val="000000"/>
          <w:sz w:val="24"/>
          <w:szCs w:val="24"/>
        </w:rPr>
        <w:t xml:space="preserve">                             </w:t>
      </w:r>
    </w:p>
    <w:p w14:paraId="1521D56B">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邮编：</w:t>
      </w:r>
      <w:r>
        <w:rPr>
          <w:rFonts w:ascii="宋体" w:hAnsi="宋体" w:eastAsia="宋体" w:cs="Times New Roman"/>
          <w:color w:val="000000"/>
          <w:sz w:val="24"/>
          <w:szCs w:val="24"/>
        </w:rPr>
        <w:t xml:space="preserve">        </w:t>
      </w:r>
    </w:p>
    <w:p w14:paraId="4E052C68">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电话：</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传真：</w:t>
      </w:r>
      <w:r>
        <w:rPr>
          <w:rFonts w:ascii="宋体" w:hAnsi="宋体" w:eastAsia="宋体" w:cs="Times New Roman"/>
          <w:color w:val="000000"/>
          <w:sz w:val="24"/>
          <w:szCs w:val="24"/>
        </w:rPr>
        <w:t xml:space="preserve">                   </w:t>
      </w:r>
    </w:p>
    <w:p w14:paraId="37857703">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投标人代表姓名：</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职务：</w:t>
      </w:r>
      <w:r>
        <w:rPr>
          <w:rFonts w:ascii="宋体" w:hAnsi="宋体" w:eastAsia="宋体" w:cs="Times New Roman"/>
          <w:color w:val="000000"/>
          <w:sz w:val="24"/>
          <w:szCs w:val="24"/>
        </w:rPr>
        <w:t xml:space="preserve">          </w:t>
      </w:r>
    </w:p>
    <w:p w14:paraId="163370C7">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开户银行：</w:t>
      </w:r>
      <w:r>
        <w:rPr>
          <w:rFonts w:ascii="宋体" w:hAnsi="宋体" w:eastAsia="宋体" w:cs="Times New Roman"/>
          <w:color w:val="000000"/>
          <w:sz w:val="24"/>
          <w:szCs w:val="24"/>
        </w:rPr>
        <w:t xml:space="preserve">                   </w:t>
      </w:r>
    </w:p>
    <w:p w14:paraId="4E7A4F18">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银行帐号：</w:t>
      </w:r>
      <w:r>
        <w:rPr>
          <w:rFonts w:ascii="宋体" w:hAnsi="宋体" w:eastAsia="宋体" w:cs="Times New Roman"/>
          <w:color w:val="000000"/>
          <w:sz w:val="24"/>
          <w:szCs w:val="24"/>
        </w:rPr>
        <w:t xml:space="preserve">                   </w:t>
      </w:r>
    </w:p>
    <w:p w14:paraId="45392C87">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hint="eastAsia" w:ascii="宋体" w:hAnsi="宋体" w:eastAsia="宋体" w:cs="Times New Roman"/>
          <w:bCs/>
          <w:color w:val="000000"/>
          <w:sz w:val="24"/>
          <w:szCs w:val="24"/>
        </w:rPr>
        <w:t>盖章）</w:t>
      </w:r>
      <w:r>
        <w:rPr>
          <w:rFonts w:ascii="宋体" w:hAnsi="宋体" w:eastAsia="宋体" w:cs="Times New Roman"/>
          <w:color w:val="000000"/>
          <w:sz w:val="24"/>
          <w:szCs w:val="24"/>
        </w:rPr>
        <w:t xml:space="preserve">: </w:t>
      </w:r>
    </w:p>
    <w:p w14:paraId="3D6E0498">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授权代表签字</w:t>
      </w:r>
      <w:r>
        <w:rPr>
          <w:rFonts w:hint="eastAsia" w:ascii="宋体" w:hAnsi="宋体" w:eastAsia="宋体" w:cs="Times New Roman"/>
          <w:bCs/>
          <w:color w:val="000000"/>
          <w:sz w:val="24"/>
          <w:szCs w:val="24"/>
        </w:rPr>
        <w:t>：</w:t>
      </w:r>
    </w:p>
    <w:p w14:paraId="40B314FC">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日期：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385D11B9">
      <w:pPr>
        <w:rPr>
          <w:rFonts w:ascii="黑体" w:hAnsi="Calibri" w:eastAsia="黑体" w:cs="Times New Roman"/>
          <w:color w:val="000000"/>
          <w:sz w:val="24"/>
          <w:szCs w:val="24"/>
        </w:rPr>
      </w:pPr>
      <w:r>
        <w:rPr>
          <w:rFonts w:ascii="宋体" w:hAnsi="宋体" w:eastAsia="宋体" w:cs="Times New Roman"/>
          <w:b/>
          <w:bCs/>
          <w:kern w:val="0"/>
          <w:sz w:val="24"/>
          <w:szCs w:val="24"/>
          <w:lang w:val="en-US" w:eastAsia="zh-CN" w:bidi="ar-SA"/>
        </w:rPr>
        <w:br w:type="page"/>
      </w:r>
    </w:p>
    <w:p w14:paraId="13CE3027">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w:t>
      </w:r>
      <w:r>
        <w:rPr>
          <w:rFonts w:ascii="Times New Roman" w:hAnsi="Times New Roman" w:eastAsia="宋体" w:cs="Times New Roman"/>
          <w:b/>
          <w:bCs/>
          <w:color w:val="000000"/>
          <w:sz w:val="24"/>
          <w:szCs w:val="24"/>
        </w:rPr>
        <w:t xml:space="preserve">2 </w:t>
      </w:r>
      <w:r>
        <w:rPr>
          <w:rFonts w:hint="eastAsia" w:ascii="Times New Roman" w:hAnsi="Times New Roman" w:eastAsia="宋体" w:cs="Times New Roman"/>
          <w:b/>
          <w:bCs/>
          <w:color w:val="000000"/>
          <w:sz w:val="24"/>
          <w:szCs w:val="24"/>
        </w:rPr>
        <w:t>法定代表人授权委托书</w:t>
      </w:r>
    </w:p>
    <w:p w14:paraId="558A18C6">
      <w:pPr>
        <w:adjustRightInd w:val="0"/>
        <w:snapToGrid w:val="0"/>
        <w:spacing w:before="93" w:beforeLines="30" w:line="240" w:lineRule="exact"/>
        <w:jc w:val="center"/>
        <w:rPr>
          <w:rFonts w:ascii="宋体" w:hAnsi="Calibri" w:eastAsia="宋体" w:cs="Times New Roman"/>
          <w:sz w:val="24"/>
          <w:szCs w:val="20"/>
        </w:rPr>
      </w:pPr>
    </w:p>
    <w:p w14:paraId="70DD9222">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本授权委托书声明：我＿＿＿＿＿＿＿（姓名）系＿＿＿＿＿＿＿＿＿＿＿＿＿＿＿＿＿＿＿＿＿＿＿＿＿＿＿＿（投标人全称）的法定代表人，就</w:t>
      </w:r>
      <w:r>
        <w:rPr>
          <w:rFonts w:ascii="宋体" w:hAnsi="宋体" w:eastAsia="宋体" w:cs="Times New Roman"/>
          <w:b/>
          <w:bCs/>
          <w:color w:val="000000"/>
          <w:sz w:val="24"/>
          <w:szCs w:val="24"/>
          <w:u w:val="single"/>
        </w:rPr>
        <w:t xml:space="preserve"> </w:t>
      </w:r>
      <w:r>
        <w:rPr>
          <w:rFonts w:hint="eastAsia" w:ascii="宋体" w:hAnsi="宋体" w:eastAsia="宋体" w:cs="宋体"/>
          <w:sz w:val="24"/>
          <w:szCs w:val="24"/>
          <w:u w:val="single"/>
        </w:rPr>
        <w:t xml:space="preserve"> </w:t>
      </w:r>
      <w:r>
        <w:rPr>
          <w:rFonts w:ascii="宋体" w:hAnsi="宋体" w:eastAsia="宋体" w:cs="宋体"/>
          <w:sz w:val="24"/>
          <w:szCs w:val="24"/>
          <w:u w:val="single"/>
        </w:rPr>
        <w:t xml:space="preserve">             </w:t>
      </w:r>
      <w:r>
        <w:rPr>
          <w:rFonts w:hint="eastAsia" w:ascii="宋体" w:hAnsi="宋体" w:eastAsia="宋体" w:cs="宋体"/>
          <w:sz w:val="24"/>
          <w:szCs w:val="24"/>
          <w:u w:val="single"/>
        </w:rPr>
        <w:t xml:space="preserve">（招标编号 </w:t>
      </w:r>
      <w:r>
        <w:rPr>
          <w:rFonts w:ascii="宋体" w:hAnsi="宋体" w:eastAsia="宋体" w:cs="宋体"/>
          <w:sz w:val="24"/>
          <w:szCs w:val="24"/>
          <w:u w:val="single"/>
        </w:rPr>
        <w:t xml:space="preserve">  </w:t>
      </w:r>
      <w:r>
        <w:rPr>
          <w:rFonts w:hint="eastAsia" w:ascii="宋体" w:hAnsi="宋体" w:eastAsia="宋体" w:cs="宋体"/>
          <w:sz w:val="24"/>
          <w:szCs w:val="24"/>
          <w:u w:val="single"/>
        </w:rPr>
        <w:t>）</w:t>
      </w:r>
      <w:r>
        <w:rPr>
          <w:rFonts w:hint="eastAsia" w:ascii="宋体" w:hAnsi="宋体" w:eastAsia="宋体" w:cs="Times New Roman"/>
          <w:color w:val="000000"/>
          <w:sz w:val="24"/>
          <w:szCs w:val="24"/>
        </w:rPr>
        <w:t>现授权委托＿＿＿＿＿＿＿＿＿＿＿＿＿＿＿＿＿＿＿＿＿＿＿＿＿＿＿＿（单位名称）的＿＿＿＿＿＿＿＿（姓名、职务）为我公司全权代表，全权代表在投标文件、评标过程中的书面承诺、合同等所签署的一切文件和处理与之有关的一切事务，我均予以承认。</w:t>
      </w:r>
    </w:p>
    <w:p w14:paraId="7F3C271F">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全权代表无转委权。特此委托。</w:t>
      </w:r>
    </w:p>
    <w:tbl>
      <w:tblPr>
        <w:tblStyle w:val="42"/>
        <w:tblW w:w="859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3994D4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tcBorders>
              <w:top w:val="single" w:color="auto" w:sz="4" w:space="0"/>
              <w:bottom w:val="single" w:color="auto" w:sz="4" w:space="0"/>
            </w:tcBorders>
            <w:vAlign w:val="center"/>
          </w:tcPr>
          <w:p w14:paraId="41B5CB5E">
            <w:pPr>
              <w:adjustRightInd w:val="0"/>
              <w:snapToGrid w:val="0"/>
              <w:spacing w:before="72" w:beforeLines="30" w:line="312" w:lineRule="auto"/>
              <w:jc w:val="center"/>
              <w:rPr>
                <w:rFonts w:ascii="宋体" w:hAnsi="Calibri" w:eastAsia="宋体" w:cs="Times New Roman"/>
                <w:sz w:val="24"/>
                <w:szCs w:val="20"/>
              </w:rPr>
            </w:pPr>
            <w:r>
              <w:rPr>
                <w:rFonts w:hint="eastAsia" w:ascii="宋体" w:hAnsi="宋体" w:eastAsia="宋体" w:cs="Times New Roman"/>
                <w:sz w:val="24"/>
                <w:szCs w:val="20"/>
              </w:rPr>
              <w:t>附法人身份证明复印件（</w:t>
            </w:r>
            <w:r>
              <w:rPr>
                <w:rFonts w:hint="eastAsia" w:ascii="宋体" w:hAnsi="宋体" w:eastAsia="宋体" w:cs="Times New Roman"/>
                <w:color w:val="000000" w:themeColor="text1"/>
                <w:sz w:val="24"/>
                <w:szCs w:val="20"/>
                <w14:textFill>
                  <w14:solidFill>
                    <w14:schemeClr w14:val="tx1"/>
                  </w14:solidFill>
                </w14:textFill>
              </w:rPr>
              <w:t>正反面）</w:t>
            </w:r>
          </w:p>
          <w:p w14:paraId="7647BFC5">
            <w:pPr>
              <w:adjustRightInd w:val="0"/>
              <w:snapToGrid w:val="0"/>
              <w:spacing w:before="72" w:beforeLines="30" w:line="312" w:lineRule="auto"/>
              <w:jc w:val="center"/>
              <w:rPr>
                <w:rFonts w:ascii="宋体" w:hAnsi="Calibri" w:eastAsia="宋体" w:cs="Times New Roman"/>
                <w:sz w:val="24"/>
                <w:szCs w:val="20"/>
              </w:rPr>
            </w:pPr>
            <w:r>
              <w:rPr>
                <w:rFonts w:hint="eastAsia" w:ascii="宋体" w:hAnsi="宋体" w:eastAsia="宋体" w:cs="Times New Roman"/>
                <w:sz w:val="24"/>
                <w:szCs w:val="20"/>
              </w:rPr>
              <w:t>附授权代理人身份证明复印件（正反面）</w:t>
            </w:r>
          </w:p>
        </w:tc>
      </w:tr>
    </w:tbl>
    <w:p w14:paraId="1DAD622E">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全权代表姓名：</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性别：</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年龄：</w:t>
      </w:r>
    </w:p>
    <w:p w14:paraId="1F9C3BB4">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单位：</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部门：</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职务：</w:t>
      </w:r>
    </w:p>
    <w:p w14:paraId="47AB3CAF">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法定代表人签字或盖章</w:t>
      </w:r>
      <w:r>
        <w:rPr>
          <w:rFonts w:ascii="宋体" w:hAnsi="宋体" w:eastAsia="宋体" w:cs="Times New Roman"/>
          <w:color w:val="000000"/>
          <w:sz w:val="24"/>
          <w:szCs w:val="24"/>
        </w:rPr>
        <w:t xml:space="preserve">                          </w:t>
      </w:r>
    </w:p>
    <w:p w14:paraId="0F43ECAE">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被授权人签字</w:t>
      </w:r>
      <w:r>
        <w:rPr>
          <w:rFonts w:ascii="宋体" w:hAnsi="宋体" w:eastAsia="宋体" w:cs="Times New Roman"/>
          <w:color w:val="000000"/>
          <w:sz w:val="24"/>
          <w:szCs w:val="24"/>
        </w:rPr>
        <w:t xml:space="preserve">  </w:t>
      </w:r>
    </w:p>
    <w:p w14:paraId="3BDB804A">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被授权人电话：</w:t>
      </w:r>
      <w:r>
        <w:rPr>
          <w:rFonts w:ascii="宋体" w:hAnsi="宋体" w:eastAsia="宋体" w:cs="Times New Roman"/>
          <w:color w:val="000000"/>
          <w:sz w:val="24"/>
          <w:szCs w:val="24"/>
        </w:rPr>
        <w:t xml:space="preserve">                          </w:t>
      </w:r>
    </w:p>
    <w:p w14:paraId="6ED56FBF">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投标人名称（公章）</w:t>
      </w:r>
      <w:r>
        <w:rPr>
          <w:rFonts w:ascii="宋体" w:hAnsi="宋体" w:eastAsia="宋体" w:cs="Times New Roman"/>
          <w:color w:val="000000"/>
          <w:sz w:val="24"/>
          <w:szCs w:val="24"/>
        </w:rPr>
        <w:t xml:space="preserve">                       </w:t>
      </w:r>
    </w:p>
    <w:p w14:paraId="0D2CDC90">
      <w:pPr>
        <w:spacing w:line="460" w:lineRule="exact"/>
        <w:ind w:firstLine="5520" w:firstLineChars="2300"/>
        <w:rPr>
          <w:rFonts w:ascii="宋体" w:hAnsi="Calibri" w:eastAsia="宋体" w:cs="Times New Roman"/>
          <w:sz w:val="24"/>
          <w:szCs w:val="20"/>
          <w:u w:val="single"/>
        </w:rPr>
      </w:pP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7D8F2F2B">
      <w:pPr>
        <w:rPr>
          <w:rFonts w:ascii="Calibri" w:hAnsi="Calibri" w:eastAsia="黑体" w:cs="Times New Roman"/>
          <w:b/>
          <w:bCs/>
          <w:color w:val="000000"/>
          <w:sz w:val="28"/>
          <w:szCs w:val="20"/>
        </w:rPr>
      </w:pPr>
    </w:p>
    <w:p w14:paraId="4827698F">
      <w:pPr>
        <w:pStyle w:val="20"/>
        <w:rPr>
          <w:rFonts w:ascii="Calibri" w:hAnsi="Calibri" w:eastAsia="黑体" w:cs="Times New Roman"/>
          <w:b/>
          <w:bCs/>
          <w:color w:val="000000"/>
          <w:sz w:val="28"/>
          <w:szCs w:val="20"/>
        </w:rPr>
        <w:sectPr>
          <w:pgSz w:w="11906" w:h="16838"/>
          <w:pgMar w:top="1588" w:right="1418" w:bottom="1134" w:left="1418" w:header="851" w:footer="992" w:gutter="0"/>
          <w:cols w:space="720" w:num="1"/>
          <w:titlePg/>
          <w:docGrid w:type="lines" w:linePitch="312" w:charSpace="0"/>
        </w:sectPr>
      </w:pPr>
    </w:p>
    <w:p w14:paraId="36AAE982">
      <w:pPr>
        <w:keepNext/>
        <w:keepLines/>
        <w:outlineLvl w:val="3"/>
        <w:rPr>
          <w:rFonts w:ascii="Times New Roman" w:hAnsi="Times New Roman" w:eastAsia="宋体" w:cs="Times New Roman"/>
          <w:b/>
          <w:bCs/>
          <w:color w:val="000000"/>
          <w:sz w:val="24"/>
          <w:szCs w:val="24"/>
        </w:rPr>
      </w:pPr>
      <w:r>
        <w:rPr>
          <w:rFonts w:hint="eastAsia" w:ascii="宋体" w:hAnsi="宋体" w:eastAsia="宋体" w:cs="宋体"/>
          <w:spacing w:val="-17"/>
          <w:sz w:val="24"/>
          <w:szCs w:val="24"/>
          <w14:textOutline w14:w="4356" w14:cap="sq" w14:cmpd="sng" w14:algn="ctr">
            <w14:solidFill>
              <w14:srgbClr w14:val="000000"/>
            </w14:solidFill>
            <w14:prstDash w14:val="solid"/>
            <w14:bevel/>
          </w14:textOutline>
        </w:rPr>
        <w:t>附</w:t>
      </w:r>
      <w:r>
        <w:rPr>
          <w:rFonts w:hint="eastAsia" w:ascii="宋体" w:hAnsi="宋体" w:eastAsia="宋体" w:cs="宋体"/>
          <w:spacing w:val="-14"/>
          <w:sz w:val="24"/>
          <w:szCs w:val="24"/>
          <w14:textOutline w14:w="4356" w14:cap="sq" w14:cmpd="sng" w14:algn="ctr">
            <w14:solidFill>
              <w14:srgbClr w14:val="000000"/>
            </w14:solidFill>
            <w14:prstDash w14:val="solid"/>
            <w14:bevel/>
          </w14:textOutline>
        </w:rPr>
        <w:t>件</w:t>
      </w:r>
      <w:r>
        <w:rPr>
          <w:rFonts w:ascii="宋体" w:hAnsi="宋体" w:eastAsia="宋体" w:cs="宋体"/>
          <w:spacing w:val="-17"/>
          <w:sz w:val="24"/>
          <w:szCs w:val="24"/>
          <w14:textOutline w14:w="4356" w14:cap="sq" w14:cmpd="sng" w14:algn="ctr">
            <w14:solidFill>
              <w14:srgbClr w14:val="000000"/>
            </w14:solidFill>
            <w14:prstDash w14:val="solid"/>
            <w14:bevel/>
          </w14:textOutline>
        </w:rPr>
        <w:t>3</w:t>
      </w:r>
      <w:r>
        <w:rPr>
          <w:rFonts w:hint="eastAsia" w:ascii="宋体" w:hAnsi="宋体" w:eastAsia="宋体" w:cs="宋体"/>
          <w:spacing w:val="-17"/>
          <w:sz w:val="24"/>
          <w:szCs w:val="24"/>
          <w14:textOutline w14:w="4356" w14:cap="sq" w14:cmpd="sng" w14:algn="ctr">
            <w14:solidFill>
              <w14:srgbClr w14:val="000000"/>
            </w14:solidFill>
            <w14:prstDash w14:val="solid"/>
            <w14:bevel/>
          </w14:textOutline>
        </w:rPr>
        <w:t xml:space="preserve"> </w:t>
      </w:r>
      <w:r>
        <w:rPr>
          <w:rFonts w:hint="eastAsia" w:ascii="宋体" w:hAnsi="宋体" w:eastAsia="宋体" w:cs="宋体"/>
          <w:spacing w:val="15"/>
          <w:position w:val="3"/>
          <w:sz w:val="24"/>
          <w:szCs w:val="24"/>
          <w14:textOutline w14:w="4356" w14:cap="sq" w14:cmpd="sng" w14:algn="ctr">
            <w14:solidFill>
              <w14:srgbClr w14:val="000000"/>
            </w14:solidFill>
            <w14:prstDash w14:val="solid"/>
            <w14:bevel/>
          </w14:textOutline>
        </w:rPr>
        <w:t>投</w:t>
      </w:r>
      <w:r>
        <w:rPr>
          <w:rFonts w:hint="eastAsia" w:ascii="宋体" w:hAnsi="宋体" w:eastAsia="宋体" w:cs="宋体"/>
          <w:spacing w:val="8"/>
          <w:position w:val="3"/>
          <w:sz w:val="24"/>
          <w:szCs w:val="24"/>
          <w14:textOutline w14:w="4356" w14:cap="sq" w14:cmpd="sng" w14:algn="ctr">
            <w14:solidFill>
              <w14:srgbClr w14:val="000000"/>
            </w14:solidFill>
            <w14:prstDash w14:val="solid"/>
            <w14:bevel/>
          </w14:textOutline>
        </w:rPr>
        <w:t>标人基本情况</w:t>
      </w:r>
      <w:r>
        <w:rPr>
          <w:rFonts w:ascii="宋体" w:hAnsi="宋体" w:eastAsia="宋体" w:cs="宋体"/>
          <w:spacing w:val="-9"/>
          <w:sz w:val="24"/>
          <w:szCs w:val="24"/>
          <w14:textOutline w14:w="4356" w14:cap="flat" w14:cmpd="sng" w14:algn="ctr">
            <w14:solidFill>
              <w14:srgbClr w14:val="000000"/>
            </w14:solidFill>
            <w14:prstDash w14:val="solid"/>
            <w14:miter w14:val="0"/>
          </w14:textOutline>
        </w:rPr>
        <w:t>表</w:t>
      </w:r>
      <w:r>
        <w:rPr>
          <w:rFonts w:ascii="宋体" w:hAnsi="宋体" w:eastAsia="宋体" w:cs="宋体"/>
          <w:spacing w:val="-7"/>
          <w:sz w:val="24"/>
          <w:szCs w:val="24"/>
        </w:rPr>
        <w:t xml:space="preserve"> </w:t>
      </w:r>
      <w:r>
        <w:rPr>
          <w:rFonts w:ascii="宋体" w:hAnsi="宋体" w:eastAsia="宋体" w:cs="宋体"/>
          <w:spacing w:val="-7"/>
          <w:sz w:val="24"/>
          <w:szCs w:val="24"/>
          <w14:textOutline w14:w="4356" w14:cap="flat" w14:cmpd="sng" w14:algn="ctr">
            <w14:solidFill>
              <w14:srgbClr w14:val="000000"/>
            </w14:solidFill>
            <w14:prstDash w14:val="solid"/>
            <w14:miter w14:val="0"/>
          </w14:textOutline>
        </w:rPr>
        <w:t>1</w:t>
      </w:r>
      <w:r>
        <w:rPr>
          <w:rFonts w:hint="eastAsia" w:ascii="宋体" w:hAnsi="宋体" w:eastAsia="宋体" w:cs="宋体"/>
          <w:spacing w:val="-7"/>
          <w:sz w:val="24"/>
          <w:szCs w:val="24"/>
          <w14:textOutline w14:w="4356" w14:cap="flat" w14:cmpd="sng" w14:algn="ctr">
            <w14:solidFill>
              <w14:srgbClr w14:val="000000"/>
            </w14:solidFill>
            <w14:prstDash w14:val="solid"/>
            <w14:miter w14:val="0"/>
          </w14:textOutline>
        </w:rPr>
        <w:t xml:space="preserve"> </w:t>
      </w:r>
      <w:r>
        <w:rPr>
          <w:rFonts w:hint="eastAsia" w:ascii="Times New Roman" w:hAnsi="Times New Roman" w:eastAsia="宋体" w:cs="Times New Roman"/>
          <w:b/>
          <w:bCs/>
          <w:color w:val="000000"/>
          <w:sz w:val="24"/>
          <w:szCs w:val="24"/>
        </w:rPr>
        <w:t>投标人基本情况表</w:t>
      </w:r>
    </w:p>
    <w:p w14:paraId="0F8D347A">
      <w:pPr>
        <w:keepNext/>
        <w:keepLines/>
        <w:outlineLvl w:val="2"/>
        <w:rPr>
          <w:rFonts w:ascii="宋体" w:hAnsi="宋体" w:eastAsia="宋体" w:cs="宋体"/>
          <w:spacing w:val="-9"/>
          <w:sz w:val="24"/>
          <w:szCs w:val="24"/>
          <w14:textOutline w14:w="4356" w14:cap="flat" w14:cmpd="sng" w14:algn="ctr">
            <w14:solidFill>
              <w14:srgbClr w14:val="000000"/>
            </w14:solidFill>
            <w14:prstDash w14:val="solid"/>
            <w14:miter w14:val="0"/>
          </w14:textOutline>
        </w:rPr>
      </w:pPr>
    </w:p>
    <w:tbl>
      <w:tblPr>
        <w:tblStyle w:val="135"/>
        <w:tblpPr w:leftFromText="180" w:rightFromText="180" w:vertAnchor="text" w:horzAnchor="page" w:tblpX="1053" w:tblpY="310"/>
        <w:tblOverlap w:val="never"/>
        <w:tblW w:w="945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56"/>
        <w:gridCol w:w="990"/>
        <w:gridCol w:w="1530"/>
        <w:gridCol w:w="1063"/>
        <w:gridCol w:w="1097"/>
        <w:gridCol w:w="1310"/>
        <w:gridCol w:w="1510"/>
      </w:tblGrid>
      <w:tr w14:paraId="33C782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1" w:hRule="atLeast"/>
        </w:trPr>
        <w:tc>
          <w:tcPr>
            <w:tcW w:w="1956" w:type="dxa"/>
          </w:tcPr>
          <w:p w14:paraId="2CF16FAD">
            <w:pPr>
              <w:pStyle w:val="137"/>
              <w:spacing w:before="114"/>
              <w:ind w:left="720"/>
            </w:pPr>
            <w:r>
              <w:t xml:space="preserve">企业名称 </w:t>
            </w:r>
          </w:p>
        </w:tc>
        <w:tc>
          <w:tcPr>
            <w:tcW w:w="4680" w:type="dxa"/>
            <w:gridSpan w:val="4"/>
            <w:vAlign w:val="center"/>
          </w:tcPr>
          <w:p w14:paraId="4555FE7D">
            <w:pPr>
              <w:widowControl/>
              <w:jc w:val="center"/>
              <w:textAlignment w:val="center"/>
              <w:rPr>
                <w:rFonts w:ascii="宋体" w:hAnsi="宋体" w:eastAsia="宋体" w:cs="宋体"/>
                <w:color w:val="000000" w:themeColor="text1"/>
                <w14:textFill>
                  <w14:solidFill>
                    <w14:schemeClr w14:val="tx1"/>
                  </w14:solidFill>
                </w14:textFill>
              </w:rPr>
            </w:pPr>
          </w:p>
        </w:tc>
        <w:tc>
          <w:tcPr>
            <w:tcW w:w="1310" w:type="dxa"/>
          </w:tcPr>
          <w:p w14:paraId="0F10D58F">
            <w:pPr>
              <w:pStyle w:val="137"/>
              <w:spacing w:before="106"/>
              <w:ind w:left="154" w:right="26"/>
              <w:jc w:val="center"/>
              <w:rPr>
                <w:color w:val="000000" w:themeColor="text1"/>
                <w14:textFill>
                  <w14:solidFill>
                    <w14:schemeClr w14:val="tx1"/>
                  </w14:solidFill>
                </w14:textFill>
              </w:rPr>
            </w:pPr>
            <w:r>
              <w:rPr>
                <w:color w:val="000000" w:themeColor="text1"/>
                <w14:textFill>
                  <w14:solidFill>
                    <w14:schemeClr w14:val="tx1"/>
                  </w14:solidFill>
                </w14:textFill>
              </w:rPr>
              <w:t xml:space="preserve">联系人 </w:t>
            </w:r>
          </w:p>
        </w:tc>
        <w:tc>
          <w:tcPr>
            <w:tcW w:w="1510" w:type="dxa"/>
            <w:vAlign w:val="center"/>
          </w:tcPr>
          <w:p w14:paraId="13DD81C1">
            <w:pPr>
              <w:widowControl/>
              <w:jc w:val="center"/>
              <w:textAlignment w:val="center"/>
              <w:rPr>
                <w:rFonts w:ascii="宋体" w:hAnsi="宋体" w:eastAsia="宋体" w:cs="宋体"/>
                <w:color w:val="000000" w:themeColor="text1"/>
                <w:szCs w:val="21"/>
                <w14:textFill>
                  <w14:solidFill>
                    <w14:schemeClr w14:val="tx1"/>
                  </w14:solidFill>
                </w14:textFill>
              </w:rPr>
            </w:pPr>
          </w:p>
        </w:tc>
      </w:tr>
      <w:tr w14:paraId="615393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2" w:hRule="atLeast"/>
        </w:trPr>
        <w:tc>
          <w:tcPr>
            <w:tcW w:w="1956" w:type="dxa"/>
          </w:tcPr>
          <w:p w14:paraId="07E3B472">
            <w:pPr>
              <w:pStyle w:val="137"/>
              <w:spacing w:before="114"/>
              <w:ind w:left="720"/>
            </w:pPr>
            <w:r>
              <w:t xml:space="preserve">企业地址 </w:t>
            </w:r>
          </w:p>
        </w:tc>
        <w:tc>
          <w:tcPr>
            <w:tcW w:w="4680" w:type="dxa"/>
            <w:gridSpan w:val="4"/>
            <w:vAlign w:val="center"/>
          </w:tcPr>
          <w:p w14:paraId="458E1DE7">
            <w:pPr>
              <w:widowControl/>
              <w:jc w:val="center"/>
              <w:textAlignment w:val="center"/>
              <w:rPr>
                <w:rFonts w:ascii="宋体" w:hAnsi="宋体" w:eastAsia="宋体" w:cs="宋体"/>
                <w:color w:val="000000" w:themeColor="text1"/>
                <w14:textFill>
                  <w14:solidFill>
                    <w14:schemeClr w14:val="tx1"/>
                  </w14:solidFill>
                </w14:textFill>
              </w:rPr>
            </w:pPr>
          </w:p>
        </w:tc>
        <w:tc>
          <w:tcPr>
            <w:tcW w:w="1310" w:type="dxa"/>
          </w:tcPr>
          <w:p w14:paraId="781E125D">
            <w:pPr>
              <w:pStyle w:val="137"/>
              <w:spacing w:before="106"/>
              <w:ind w:left="154" w:right="26"/>
              <w:jc w:val="center"/>
              <w:rPr>
                <w:color w:val="000000" w:themeColor="text1"/>
                <w14:textFill>
                  <w14:solidFill>
                    <w14:schemeClr w14:val="tx1"/>
                  </w14:solidFill>
                </w14:textFill>
              </w:rPr>
            </w:pPr>
            <w:r>
              <w:rPr>
                <w:color w:val="000000" w:themeColor="text1"/>
                <w14:textFill>
                  <w14:solidFill>
                    <w14:schemeClr w14:val="tx1"/>
                  </w14:solidFill>
                </w14:textFill>
              </w:rPr>
              <w:t xml:space="preserve">联系人电话 </w:t>
            </w:r>
          </w:p>
        </w:tc>
        <w:tc>
          <w:tcPr>
            <w:tcW w:w="1510" w:type="dxa"/>
            <w:vAlign w:val="center"/>
          </w:tcPr>
          <w:p w14:paraId="34B365C2">
            <w:pPr>
              <w:widowControl/>
              <w:jc w:val="center"/>
              <w:textAlignment w:val="center"/>
              <w:rPr>
                <w:rFonts w:ascii="宋体" w:hAnsi="宋体" w:eastAsia="宋体" w:cs="宋体"/>
                <w:color w:val="000000" w:themeColor="text1"/>
                <w:szCs w:val="21"/>
                <w14:textFill>
                  <w14:solidFill>
                    <w14:schemeClr w14:val="tx1"/>
                  </w14:solidFill>
                </w14:textFill>
              </w:rPr>
            </w:pPr>
          </w:p>
        </w:tc>
      </w:tr>
      <w:tr w14:paraId="1971DA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6" w:hRule="atLeast"/>
        </w:trPr>
        <w:tc>
          <w:tcPr>
            <w:tcW w:w="1956" w:type="dxa"/>
          </w:tcPr>
          <w:p w14:paraId="5E514EE9">
            <w:pPr>
              <w:pStyle w:val="137"/>
              <w:spacing w:before="111"/>
              <w:ind w:left="720"/>
            </w:pPr>
            <w:r>
              <w:t xml:space="preserve">企业性质 </w:t>
            </w:r>
          </w:p>
        </w:tc>
        <w:tc>
          <w:tcPr>
            <w:tcW w:w="4680" w:type="dxa"/>
            <w:gridSpan w:val="4"/>
            <w:vAlign w:val="center"/>
          </w:tcPr>
          <w:p w14:paraId="704D18AF">
            <w:pPr>
              <w:widowControl/>
              <w:jc w:val="center"/>
              <w:textAlignment w:val="center"/>
              <w:rPr>
                <w:rFonts w:ascii="宋体" w:hAnsi="宋体" w:eastAsia="宋体" w:cs="宋体"/>
                <w:color w:val="000000" w:themeColor="text1"/>
                <w14:textFill>
                  <w14:solidFill>
                    <w14:schemeClr w14:val="tx1"/>
                  </w14:solidFill>
                </w14:textFill>
              </w:rPr>
            </w:pPr>
          </w:p>
        </w:tc>
        <w:tc>
          <w:tcPr>
            <w:tcW w:w="1310" w:type="dxa"/>
          </w:tcPr>
          <w:p w14:paraId="58B8DBD2">
            <w:pPr>
              <w:pStyle w:val="137"/>
              <w:spacing w:before="103"/>
              <w:ind w:left="154" w:right="26"/>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注册时间</w:t>
            </w:r>
            <w:r>
              <w:rPr>
                <w:color w:val="000000" w:themeColor="text1"/>
                <w14:textFill>
                  <w14:solidFill>
                    <w14:schemeClr w14:val="tx1"/>
                  </w14:solidFill>
                </w14:textFill>
              </w:rPr>
              <w:t xml:space="preserve"> </w:t>
            </w:r>
          </w:p>
        </w:tc>
        <w:tc>
          <w:tcPr>
            <w:tcW w:w="1510" w:type="dxa"/>
            <w:vAlign w:val="center"/>
          </w:tcPr>
          <w:p w14:paraId="46D5F702">
            <w:pPr>
              <w:widowControl/>
              <w:jc w:val="center"/>
              <w:textAlignment w:val="center"/>
              <w:rPr>
                <w:rFonts w:ascii="宋体" w:hAnsi="宋体" w:eastAsia="宋体" w:cs="宋体"/>
                <w:color w:val="000000" w:themeColor="text1"/>
                <w:szCs w:val="21"/>
                <w14:textFill>
                  <w14:solidFill>
                    <w14:schemeClr w14:val="tx1"/>
                  </w14:solidFill>
                </w14:textFill>
              </w:rPr>
            </w:pPr>
          </w:p>
        </w:tc>
      </w:tr>
      <w:tr w14:paraId="037101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1956" w:type="dxa"/>
          </w:tcPr>
          <w:p w14:paraId="3FE774DC">
            <w:pPr>
              <w:pStyle w:val="137"/>
              <w:spacing w:before="111"/>
              <w:ind w:left="509"/>
              <w:rPr>
                <w:highlight w:val="yellow"/>
              </w:rPr>
            </w:pPr>
            <w:r>
              <w:t xml:space="preserve">企业法人代表  </w:t>
            </w:r>
          </w:p>
        </w:tc>
        <w:tc>
          <w:tcPr>
            <w:tcW w:w="4680" w:type="dxa"/>
            <w:gridSpan w:val="4"/>
          </w:tcPr>
          <w:p w14:paraId="2D7AE474">
            <w:pPr>
              <w:pStyle w:val="4"/>
            </w:pPr>
          </w:p>
        </w:tc>
        <w:tc>
          <w:tcPr>
            <w:tcW w:w="1310" w:type="dxa"/>
          </w:tcPr>
          <w:p w14:paraId="5E9B0962">
            <w:pPr>
              <w:pStyle w:val="137"/>
              <w:spacing w:before="103"/>
              <w:ind w:right="26"/>
              <w:jc w:val="center"/>
              <w:rPr>
                <w:color w:val="000000" w:themeColor="text1"/>
                <w14:textFill>
                  <w14:solidFill>
                    <w14:schemeClr w14:val="tx1"/>
                  </w14:solidFill>
                </w14:textFill>
              </w:rPr>
            </w:pPr>
            <w:r>
              <w:rPr>
                <w:color w:val="000000" w:themeColor="text1"/>
                <w14:textFill>
                  <w14:solidFill>
                    <w14:schemeClr w14:val="tx1"/>
                  </w14:solidFill>
                </w14:textFill>
              </w:rPr>
              <w:t>企业资质</w:t>
            </w:r>
          </w:p>
        </w:tc>
        <w:tc>
          <w:tcPr>
            <w:tcW w:w="1510" w:type="dxa"/>
            <w:vAlign w:val="center"/>
          </w:tcPr>
          <w:p w14:paraId="7CC3ED3C">
            <w:pPr>
              <w:widowControl/>
              <w:jc w:val="center"/>
              <w:textAlignment w:val="center"/>
              <w:rPr>
                <w:rFonts w:ascii="宋体" w:hAnsi="宋体" w:eastAsia="宋体" w:cs="宋体"/>
                <w:color w:val="000000" w:themeColor="text1"/>
                <w:szCs w:val="21"/>
                <w14:textFill>
                  <w14:solidFill>
                    <w14:schemeClr w14:val="tx1"/>
                  </w14:solidFill>
                </w14:textFill>
              </w:rPr>
            </w:pPr>
          </w:p>
        </w:tc>
      </w:tr>
      <w:tr w14:paraId="755F7E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956" w:type="dxa"/>
          </w:tcPr>
          <w:p w14:paraId="215611BC">
            <w:pPr>
              <w:pStyle w:val="137"/>
              <w:spacing w:before="114"/>
              <w:ind w:left="720"/>
            </w:pPr>
            <w:r>
              <w:t xml:space="preserve">品牌区分 </w:t>
            </w:r>
          </w:p>
        </w:tc>
        <w:tc>
          <w:tcPr>
            <w:tcW w:w="7500" w:type="dxa"/>
            <w:gridSpan w:val="6"/>
          </w:tcPr>
          <w:p w14:paraId="7DF32F03">
            <w:pPr>
              <w:pStyle w:val="137"/>
              <w:spacing w:before="106"/>
              <w:ind w:left="401"/>
            </w:pPr>
            <w:r>
              <w:t xml:space="preserve"> </w:t>
            </w:r>
            <w:r>
              <w:rPr/>
              <w:sym w:font="Wingdings 2" w:char="00A3"/>
            </w:r>
            <w:r>
              <w:t xml:space="preserve">自产 </w:t>
            </w:r>
            <w:r>
              <w:rPr/>
              <w:sym w:font="Wingdings 2" w:char="00A3"/>
            </w:r>
            <w:r>
              <w:t xml:space="preserve">总代理 </w:t>
            </w:r>
            <w:r>
              <w:rPr/>
              <w:sym w:font="Wingdings 2" w:char="00A3"/>
            </w:r>
            <w:r>
              <w:t xml:space="preserve">代理  </w:t>
            </w:r>
            <w:r>
              <w:rPr/>
              <w:sym w:font="Wingdings 2" w:char="00A3"/>
            </w:r>
            <w:r>
              <w:t xml:space="preserve">经销 </w:t>
            </w:r>
          </w:p>
        </w:tc>
      </w:tr>
      <w:tr w14:paraId="1A206F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956" w:type="dxa"/>
          </w:tcPr>
          <w:p w14:paraId="6B84CA71">
            <w:pPr>
              <w:pStyle w:val="137"/>
              <w:spacing w:before="178"/>
              <w:ind w:left="720"/>
            </w:pPr>
            <w:r>
              <w:t xml:space="preserve">品牌名称 </w:t>
            </w:r>
          </w:p>
        </w:tc>
        <w:tc>
          <w:tcPr>
            <w:tcW w:w="3583" w:type="dxa"/>
            <w:gridSpan w:val="3"/>
            <w:vAlign w:val="center"/>
          </w:tcPr>
          <w:p w14:paraId="60573813">
            <w:pPr>
              <w:widowControl/>
              <w:rPr>
                <w:rFonts w:ascii="宋体" w:hAnsi="宋体" w:eastAsia="仿宋_GB2312"/>
                <w:kern w:val="0"/>
                <w:szCs w:val="21"/>
                <w:lang w:bidi="ar"/>
              </w:rPr>
            </w:pPr>
          </w:p>
        </w:tc>
        <w:tc>
          <w:tcPr>
            <w:tcW w:w="1097" w:type="dxa"/>
          </w:tcPr>
          <w:p w14:paraId="0D0F27D1">
            <w:pPr>
              <w:pStyle w:val="137"/>
              <w:spacing w:before="15"/>
              <w:ind w:left="279"/>
            </w:pPr>
            <w:r>
              <w:rPr>
                <w:spacing w:val="-2"/>
              </w:rPr>
              <w:t>质量</w:t>
            </w:r>
            <w:r>
              <w:t xml:space="preserve"> </w:t>
            </w:r>
          </w:p>
          <w:p w14:paraId="19773A85">
            <w:pPr>
              <w:pStyle w:val="137"/>
              <w:spacing w:before="30" w:line="277" w:lineRule="exact"/>
              <w:ind w:left="279"/>
            </w:pPr>
            <w:r>
              <w:rPr>
                <w:rFonts w:hint="eastAsia"/>
              </w:rPr>
              <w:t>体系</w:t>
            </w:r>
          </w:p>
        </w:tc>
        <w:tc>
          <w:tcPr>
            <w:tcW w:w="2820" w:type="dxa"/>
            <w:gridSpan w:val="2"/>
          </w:tcPr>
          <w:p w14:paraId="0E0CBFA2">
            <w:pPr>
              <w:pStyle w:val="137"/>
              <w:spacing w:before="158"/>
              <w:jc w:val="center"/>
              <w:rPr>
                <w:sz w:val="24"/>
              </w:rPr>
            </w:pPr>
            <w:r>
              <w:rPr>
                <w:rFonts w:hint="eastAsia"/>
                <w:kern w:val="0"/>
                <w:szCs w:val="21"/>
                <w:lang w:bidi="ar"/>
              </w:rPr>
              <w:t>/</w:t>
            </w:r>
          </w:p>
        </w:tc>
      </w:tr>
      <w:tr w14:paraId="464DD6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9456" w:type="dxa"/>
            <w:gridSpan w:val="7"/>
          </w:tcPr>
          <w:p w14:paraId="6974F0FC">
            <w:pPr>
              <w:pStyle w:val="137"/>
              <w:spacing w:before="149"/>
              <w:ind w:left="3345" w:right="3223"/>
              <w:jc w:val="center"/>
            </w:pPr>
            <w:r>
              <w:rPr>
                <w:rFonts w:hint="eastAsia"/>
                <w:szCs w:val="21"/>
              </w:rPr>
              <w:t>单位概况</w:t>
            </w:r>
          </w:p>
        </w:tc>
      </w:tr>
      <w:tr w14:paraId="3F74E5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5" w:hRule="atLeast"/>
        </w:trPr>
        <w:tc>
          <w:tcPr>
            <w:tcW w:w="1956" w:type="dxa"/>
            <w:vAlign w:val="center"/>
          </w:tcPr>
          <w:p w14:paraId="332EB0BB">
            <w:pPr>
              <w:widowControl/>
              <w:jc w:val="center"/>
              <w:textAlignment w:val="center"/>
              <w:rPr>
                <w:rFonts w:ascii="宋体" w:hAnsi="宋体" w:eastAsia="宋体" w:cs="宋体"/>
                <w:szCs w:val="21"/>
              </w:rPr>
            </w:pPr>
            <w:r>
              <w:rPr>
                <w:rFonts w:hint="eastAsia" w:ascii="宋体" w:hAnsi="宋体" w:eastAsia="宋体" w:cs="宋体"/>
                <w:spacing w:val="-2"/>
                <w:szCs w:val="21"/>
              </w:rPr>
              <w:t>参保</w:t>
            </w:r>
            <w:r>
              <w:rPr>
                <w:rFonts w:ascii="宋体" w:hAnsi="宋体" w:eastAsia="宋体" w:cs="宋体"/>
                <w:spacing w:val="-2"/>
                <w:szCs w:val="21"/>
              </w:rPr>
              <w:t>职工总人</w:t>
            </w:r>
            <w:r>
              <w:rPr>
                <w:rFonts w:ascii="宋体" w:hAnsi="宋体" w:eastAsia="宋体" w:cs="宋体"/>
                <w:spacing w:val="-1"/>
                <w:szCs w:val="21"/>
              </w:rPr>
              <w:t>数</w:t>
            </w:r>
          </w:p>
        </w:tc>
        <w:tc>
          <w:tcPr>
            <w:tcW w:w="990" w:type="dxa"/>
            <w:vAlign w:val="center"/>
          </w:tcPr>
          <w:p w14:paraId="213EC728">
            <w:pPr>
              <w:widowControl/>
              <w:textAlignment w:val="center"/>
              <w:rPr>
                <w:rFonts w:ascii="宋体" w:hAnsi="宋体" w:eastAsia="宋体" w:cs="宋体"/>
                <w:szCs w:val="21"/>
              </w:rPr>
            </w:pPr>
          </w:p>
        </w:tc>
        <w:tc>
          <w:tcPr>
            <w:tcW w:w="1530" w:type="dxa"/>
            <w:vAlign w:val="center"/>
          </w:tcPr>
          <w:p w14:paraId="006B1F7A">
            <w:pPr>
              <w:widowControl/>
              <w:jc w:val="center"/>
              <w:textAlignment w:val="center"/>
              <w:rPr>
                <w:rFonts w:ascii="宋体" w:hAnsi="宋体" w:eastAsia="宋体" w:cs="宋体"/>
                <w:szCs w:val="21"/>
              </w:rPr>
            </w:pPr>
            <w:r>
              <w:rPr>
                <w:rFonts w:ascii="宋体" w:hAnsi="宋体" w:eastAsia="宋体" w:cs="宋体"/>
                <w:spacing w:val="-2"/>
                <w:szCs w:val="21"/>
              </w:rPr>
              <w:t>工程技术人</w:t>
            </w:r>
            <w:r>
              <w:rPr>
                <w:rFonts w:ascii="宋体" w:hAnsi="宋体" w:eastAsia="宋体" w:cs="宋体"/>
                <w:spacing w:val="-1"/>
                <w:szCs w:val="21"/>
              </w:rPr>
              <w:t>员</w:t>
            </w:r>
          </w:p>
        </w:tc>
        <w:tc>
          <w:tcPr>
            <w:tcW w:w="1063" w:type="dxa"/>
            <w:vAlign w:val="center"/>
          </w:tcPr>
          <w:p w14:paraId="28A34BE9">
            <w:pPr>
              <w:widowControl/>
              <w:jc w:val="center"/>
              <w:textAlignment w:val="center"/>
              <w:rPr>
                <w:rFonts w:ascii="宋体" w:hAnsi="宋体" w:eastAsia="宋体" w:cs="宋体"/>
                <w:szCs w:val="21"/>
              </w:rPr>
            </w:pPr>
          </w:p>
        </w:tc>
        <w:tc>
          <w:tcPr>
            <w:tcW w:w="1097" w:type="dxa"/>
            <w:vAlign w:val="center"/>
          </w:tcPr>
          <w:p w14:paraId="1BA3F327">
            <w:pPr>
              <w:widowControl/>
              <w:textAlignment w:val="center"/>
              <w:rPr>
                <w:rFonts w:ascii="宋体" w:hAnsi="宋体" w:eastAsia="宋体" w:cs="宋体"/>
                <w:szCs w:val="21"/>
              </w:rPr>
            </w:pPr>
            <w:r>
              <w:rPr>
                <w:rFonts w:ascii="宋体" w:hAnsi="宋体" w:eastAsia="宋体" w:cs="宋体"/>
                <w:spacing w:val="-3"/>
                <w:szCs w:val="21"/>
              </w:rPr>
              <w:t>生</w:t>
            </w:r>
            <w:r>
              <w:rPr>
                <w:rFonts w:ascii="宋体" w:hAnsi="宋体" w:eastAsia="宋体" w:cs="宋体"/>
                <w:spacing w:val="-2"/>
                <w:szCs w:val="21"/>
              </w:rPr>
              <w:t>产</w:t>
            </w:r>
            <w:r>
              <w:rPr>
                <w:rFonts w:hint="eastAsia" w:ascii="宋体" w:hAnsi="宋体" w:eastAsia="宋体" w:cs="宋体"/>
                <w:spacing w:val="-2"/>
                <w:szCs w:val="21"/>
              </w:rPr>
              <w:t>、销售人员</w:t>
            </w:r>
          </w:p>
        </w:tc>
        <w:tc>
          <w:tcPr>
            <w:tcW w:w="2820" w:type="dxa"/>
            <w:gridSpan w:val="2"/>
            <w:vAlign w:val="center"/>
          </w:tcPr>
          <w:p w14:paraId="7BB3E569">
            <w:pPr>
              <w:widowControl/>
              <w:jc w:val="center"/>
              <w:textAlignment w:val="center"/>
              <w:rPr>
                <w:rFonts w:ascii="宋体" w:hAnsi="宋体" w:eastAsia="宋体" w:cs="宋体"/>
                <w:szCs w:val="21"/>
              </w:rPr>
            </w:pPr>
          </w:p>
        </w:tc>
      </w:tr>
      <w:tr w14:paraId="38D007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5" w:hRule="atLeast"/>
        </w:trPr>
        <w:tc>
          <w:tcPr>
            <w:tcW w:w="1956" w:type="dxa"/>
            <w:vAlign w:val="center"/>
          </w:tcPr>
          <w:p w14:paraId="028A5F27">
            <w:pPr>
              <w:widowControl/>
              <w:jc w:val="center"/>
              <w:textAlignment w:val="center"/>
              <w:rPr>
                <w:rFonts w:ascii="宋体" w:hAnsi="宋体" w:eastAsia="宋体" w:cs="宋体"/>
                <w:szCs w:val="21"/>
              </w:rPr>
            </w:pPr>
            <w:r>
              <w:rPr>
                <w:rFonts w:hint="eastAsia" w:ascii="宋体" w:hAnsi="宋体" w:eastAsia="宋体" w:cs="宋体"/>
                <w:kern w:val="0"/>
                <w:szCs w:val="21"/>
                <w:lang w:bidi="ar"/>
              </w:rPr>
              <w:t>企业优势、关键产品特点</w:t>
            </w:r>
          </w:p>
        </w:tc>
        <w:tc>
          <w:tcPr>
            <w:tcW w:w="7500" w:type="dxa"/>
            <w:gridSpan w:val="6"/>
            <w:vAlign w:val="center"/>
          </w:tcPr>
          <w:p w14:paraId="11710B6D">
            <w:pPr>
              <w:widowControl/>
              <w:jc w:val="left"/>
              <w:rPr>
                <w:rFonts w:ascii="宋体" w:hAnsi="宋体" w:eastAsia="宋体" w:cs="宋体"/>
                <w:szCs w:val="21"/>
              </w:rPr>
            </w:pPr>
            <w:r>
              <w:rPr>
                <w:rFonts w:hint="eastAsia" w:ascii="宋体" w:hAnsi="宋体" w:eastAsia="宋体" w:cs="宋体"/>
                <w:kern w:val="0"/>
                <w:szCs w:val="21"/>
                <w:lang w:bidi="ar"/>
              </w:rPr>
              <w:t>　</w:t>
            </w:r>
          </w:p>
        </w:tc>
      </w:tr>
      <w:tr w14:paraId="1B1275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6" w:hRule="atLeast"/>
        </w:trPr>
        <w:tc>
          <w:tcPr>
            <w:tcW w:w="1956" w:type="dxa"/>
            <w:vAlign w:val="center"/>
          </w:tcPr>
          <w:p w14:paraId="1FB02B22">
            <w:pPr>
              <w:widowControl/>
              <w:jc w:val="center"/>
              <w:textAlignment w:val="center"/>
              <w:rPr>
                <w:rFonts w:ascii="宋体" w:hAnsi="宋体" w:eastAsia="宋体" w:cs="宋体"/>
                <w:szCs w:val="21"/>
              </w:rPr>
            </w:pPr>
            <w:r>
              <w:rPr>
                <w:rFonts w:hint="eastAsia" w:ascii="宋体" w:hAnsi="宋体" w:eastAsia="宋体" w:cs="宋体"/>
                <w:color w:val="000000"/>
                <w:kern w:val="0"/>
                <w:szCs w:val="21"/>
                <w:lang w:bidi="ar"/>
              </w:rPr>
              <w:t>企业行业水平及行业口碑</w:t>
            </w:r>
          </w:p>
        </w:tc>
        <w:tc>
          <w:tcPr>
            <w:tcW w:w="7500" w:type="dxa"/>
            <w:gridSpan w:val="6"/>
            <w:vAlign w:val="center"/>
          </w:tcPr>
          <w:p w14:paraId="44736C67">
            <w:pPr>
              <w:widowControl/>
              <w:jc w:val="left"/>
              <w:rPr>
                <w:rFonts w:ascii="宋体" w:hAnsi="宋体" w:eastAsia="宋体" w:cs="宋体"/>
                <w:szCs w:val="21"/>
              </w:rPr>
            </w:pPr>
            <w:r>
              <w:rPr>
                <w:rFonts w:hint="eastAsia" w:ascii="宋体" w:hAnsi="宋体" w:eastAsia="宋体" w:cs="宋体"/>
                <w:kern w:val="0"/>
                <w:szCs w:val="21"/>
                <w:lang w:bidi="ar"/>
              </w:rPr>
              <w:t>　</w:t>
            </w:r>
          </w:p>
        </w:tc>
      </w:tr>
      <w:tr w14:paraId="223B7C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9" w:hRule="atLeast"/>
        </w:trPr>
        <w:tc>
          <w:tcPr>
            <w:tcW w:w="1956" w:type="dxa"/>
            <w:vAlign w:val="center"/>
          </w:tcPr>
          <w:p w14:paraId="2E44A108">
            <w:pPr>
              <w:widowControl/>
              <w:jc w:val="center"/>
              <w:textAlignment w:val="center"/>
              <w:rPr>
                <w:rFonts w:ascii="宋体" w:hAnsi="宋体" w:eastAsia="宋体" w:cs="宋体"/>
                <w:szCs w:val="21"/>
              </w:rPr>
            </w:pPr>
            <w:r>
              <w:rPr>
                <w:rFonts w:ascii="宋体" w:hAnsi="宋体" w:eastAsia="宋体" w:cs="宋体"/>
                <w:spacing w:val="-10"/>
                <w:szCs w:val="21"/>
              </w:rPr>
              <w:t>公</w:t>
            </w:r>
            <w:r>
              <w:rPr>
                <w:rFonts w:ascii="宋体" w:hAnsi="宋体" w:eastAsia="宋体" w:cs="宋体"/>
                <w:spacing w:val="-7"/>
                <w:szCs w:val="21"/>
              </w:rPr>
              <w:t>司</w:t>
            </w:r>
            <w:r>
              <w:rPr>
                <w:rFonts w:ascii="宋体" w:hAnsi="宋体" w:eastAsia="宋体" w:cs="宋体"/>
                <w:spacing w:val="-5"/>
                <w:szCs w:val="21"/>
              </w:rPr>
              <w:t>现有主要研发、</w:t>
            </w:r>
            <w:r>
              <w:rPr>
                <w:rFonts w:ascii="宋体" w:hAnsi="宋体" w:eastAsia="宋体" w:cs="宋体"/>
                <w:szCs w:val="21"/>
              </w:rPr>
              <w:t xml:space="preserve"> </w:t>
            </w:r>
            <w:r>
              <w:rPr>
                <w:rFonts w:ascii="宋体" w:hAnsi="宋体" w:eastAsia="宋体" w:cs="宋体"/>
                <w:spacing w:val="-4"/>
                <w:szCs w:val="21"/>
              </w:rPr>
              <w:t>实</w:t>
            </w:r>
            <w:r>
              <w:rPr>
                <w:rFonts w:ascii="宋体" w:hAnsi="宋体" w:eastAsia="宋体" w:cs="宋体"/>
                <w:spacing w:val="-2"/>
                <w:szCs w:val="21"/>
              </w:rPr>
              <w:t>验、生产设备</w:t>
            </w:r>
          </w:p>
        </w:tc>
        <w:tc>
          <w:tcPr>
            <w:tcW w:w="7500" w:type="dxa"/>
            <w:gridSpan w:val="6"/>
            <w:vAlign w:val="center"/>
          </w:tcPr>
          <w:p w14:paraId="19E28600">
            <w:pPr>
              <w:widowControl/>
              <w:jc w:val="left"/>
              <w:rPr>
                <w:rFonts w:ascii="宋体" w:hAnsi="宋体" w:eastAsia="宋体" w:cs="宋体"/>
                <w:szCs w:val="21"/>
              </w:rPr>
            </w:pPr>
            <w:r>
              <w:rPr>
                <w:rFonts w:hint="eastAsia" w:ascii="宋体" w:hAnsi="宋体" w:eastAsia="宋体" w:cs="宋体"/>
                <w:kern w:val="0"/>
                <w:szCs w:val="21"/>
                <w:lang w:bidi="ar"/>
              </w:rPr>
              <w:t>　</w:t>
            </w:r>
          </w:p>
        </w:tc>
      </w:tr>
      <w:tr w14:paraId="1BA88C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5" w:hRule="atLeast"/>
        </w:trPr>
        <w:tc>
          <w:tcPr>
            <w:tcW w:w="1956" w:type="dxa"/>
            <w:vAlign w:val="center"/>
          </w:tcPr>
          <w:p w14:paraId="5F25084E">
            <w:pPr>
              <w:widowControl/>
              <w:jc w:val="center"/>
              <w:textAlignment w:val="center"/>
              <w:rPr>
                <w:rFonts w:ascii="宋体" w:hAnsi="宋体" w:eastAsia="宋体" w:cs="宋体"/>
                <w:szCs w:val="21"/>
              </w:rPr>
            </w:pPr>
            <w:r>
              <w:rPr>
                <w:rFonts w:hint="eastAsia" w:ascii="宋体" w:hAnsi="宋体" w:eastAsia="宋体" w:cs="宋体"/>
                <w:kern w:val="0"/>
                <w:szCs w:val="21"/>
                <w:lang w:bidi="ar"/>
              </w:rPr>
              <w:t>近三或五年企业类似业绩及履约情况</w:t>
            </w:r>
          </w:p>
        </w:tc>
        <w:tc>
          <w:tcPr>
            <w:tcW w:w="7500" w:type="dxa"/>
            <w:gridSpan w:val="6"/>
            <w:vAlign w:val="center"/>
          </w:tcPr>
          <w:p w14:paraId="2ABC7A32">
            <w:pPr>
              <w:widowControl/>
              <w:jc w:val="left"/>
              <w:rPr>
                <w:rFonts w:ascii="宋体" w:hAnsi="宋体" w:eastAsia="宋体" w:cs="宋体"/>
                <w:szCs w:val="21"/>
              </w:rPr>
            </w:pPr>
            <w:r>
              <w:rPr>
                <w:rFonts w:hint="eastAsia" w:ascii="宋体" w:hAnsi="宋体" w:eastAsia="宋体" w:cs="宋体"/>
                <w:kern w:val="0"/>
                <w:szCs w:val="21"/>
                <w:lang w:bidi="ar"/>
              </w:rPr>
              <w:t>　</w:t>
            </w:r>
          </w:p>
        </w:tc>
      </w:tr>
      <w:tr w14:paraId="2F77A4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956" w:type="dxa"/>
            <w:vAlign w:val="center"/>
          </w:tcPr>
          <w:p w14:paraId="2C16AD82">
            <w:pPr>
              <w:widowControl/>
              <w:jc w:val="center"/>
              <w:textAlignment w:val="center"/>
              <w:rPr>
                <w:rFonts w:ascii="宋体" w:hAnsi="宋体" w:eastAsia="宋体" w:cs="宋体"/>
                <w:szCs w:val="21"/>
              </w:rPr>
            </w:pPr>
            <w:r>
              <w:rPr>
                <w:rFonts w:hint="eastAsia" w:ascii="宋体" w:hAnsi="宋体" w:eastAsia="宋体" w:cs="宋体"/>
                <w:kern w:val="0"/>
                <w:szCs w:val="21"/>
                <w:lang w:bidi="ar"/>
              </w:rPr>
              <w:t>售后服务及质量</w:t>
            </w:r>
          </w:p>
        </w:tc>
        <w:tc>
          <w:tcPr>
            <w:tcW w:w="7500" w:type="dxa"/>
            <w:gridSpan w:val="6"/>
            <w:vAlign w:val="center"/>
          </w:tcPr>
          <w:p w14:paraId="7D0B242C">
            <w:pPr>
              <w:widowControl/>
              <w:jc w:val="left"/>
              <w:rPr>
                <w:rFonts w:ascii="宋体" w:hAnsi="宋体" w:eastAsia="宋体" w:cs="宋体"/>
                <w:szCs w:val="21"/>
              </w:rPr>
            </w:pPr>
            <w:r>
              <w:rPr>
                <w:rFonts w:hint="eastAsia" w:ascii="宋体" w:hAnsi="宋体" w:eastAsia="宋体" w:cs="宋体"/>
                <w:kern w:val="0"/>
                <w:szCs w:val="21"/>
                <w:lang w:bidi="ar"/>
              </w:rPr>
              <w:t>　</w:t>
            </w:r>
          </w:p>
        </w:tc>
      </w:tr>
      <w:tr w14:paraId="0A3B88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956" w:type="dxa"/>
            <w:vAlign w:val="center"/>
          </w:tcPr>
          <w:p w14:paraId="1BFEABCE">
            <w:pPr>
              <w:widowControl/>
              <w:textAlignment w:val="center"/>
              <w:rPr>
                <w:rFonts w:ascii="宋体" w:hAnsi="宋体" w:eastAsia="宋体" w:cs="宋体"/>
                <w:kern w:val="0"/>
                <w:szCs w:val="21"/>
                <w:lang w:bidi="ar"/>
              </w:rPr>
            </w:pPr>
            <w:r>
              <w:rPr>
                <w:rFonts w:ascii="宋体" w:hAnsi="宋体" w:eastAsia="宋体" w:cs="宋体"/>
                <w:spacing w:val="-4"/>
                <w:szCs w:val="21"/>
              </w:rPr>
              <w:t>对本项目在设计、制造、进度、财务等方面采取的组织措施和相</w:t>
            </w:r>
            <w:r>
              <w:rPr>
                <w:rFonts w:ascii="宋体" w:hAnsi="宋体" w:eastAsia="宋体" w:cs="宋体"/>
                <w:spacing w:val="-2"/>
                <w:szCs w:val="21"/>
              </w:rPr>
              <w:t>关</w:t>
            </w:r>
            <w:r>
              <w:rPr>
                <w:rFonts w:ascii="宋体" w:hAnsi="宋体" w:eastAsia="宋体" w:cs="宋体"/>
                <w:spacing w:val="-3"/>
                <w:szCs w:val="21"/>
              </w:rPr>
              <w:t>人</w:t>
            </w:r>
            <w:r>
              <w:rPr>
                <w:rFonts w:ascii="宋体" w:hAnsi="宋体" w:eastAsia="宋体" w:cs="宋体"/>
                <w:spacing w:val="-2"/>
                <w:szCs w:val="21"/>
              </w:rPr>
              <w:t>员简介</w:t>
            </w:r>
          </w:p>
        </w:tc>
        <w:tc>
          <w:tcPr>
            <w:tcW w:w="7500" w:type="dxa"/>
            <w:gridSpan w:val="6"/>
            <w:vAlign w:val="center"/>
          </w:tcPr>
          <w:p w14:paraId="1411CEE9">
            <w:pPr>
              <w:widowControl/>
              <w:jc w:val="left"/>
              <w:rPr>
                <w:rFonts w:ascii="宋体" w:hAnsi="宋体" w:eastAsia="宋体" w:cs="宋体"/>
                <w:kern w:val="0"/>
                <w:szCs w:val="21"/>
                <w:lang w:bidi="ar"/>
              </w:rPr>
            </w:pPr>
          </w:p>
        </w:tc>
      </w:tr>
    </w:tbl>
    <w:p w14:paraId="3CCBD96D">
      <w:pPr>
        <w:pStyle w:val="20"/>
        <w:rPr>
          <w:rFonts w:ascii="Times New Roman" w:hAnsi="Times New Roman" w:eastAsia="宋体" w:cs="Times New Roman"/>
          <w:b/>
          <w:bCs/>
          <w:color w:val="000000"/>
          <w:sz w:val="24"/>
          <w:szCs w:val="24"/>
        </w:rPr>
      </w:pPr>
    </w:p>
    <w:p w14:paraId="761F6D72">
      <w:pPr>
        <w:pStyle w:val="20"/>
        <w:rPr>
          <w:rFonts w:ascii="Times New Roman" w:hAnsi="Times New Roman" w:eastAsia="宋体" w:cs="Times New Roman"/>
          <w:b/>
          <w:bCs/>
          <w:color w:val="000000"/>
          <w:sz w:val="24"/>
          <w:szCs w:val="24"/>
        </w:rPr>
      </w:pPr>
    </w:p>
    <w:p w14:paraId="55A7584F">
      <w:pPr>
        <w:pStyle w:val="20"/>
        <w:rPr>
          <w:rFonts w:ascii="Calibri" w:hAnsi="Calibri" w:eastAsia="宋体" w:cs="Times New Roman"/>
          <w:szCs w:val="20"/>
        </w:rPr>
      </w:pPr>
    </w:p>
    <w:p w14:paraId="555037DD">
      <w:pPr>
        <w:pStyle w:val="20"/>
        <w:rPr>
          <w:rFonts w:ascii="Calibri" w:hAnsi="Calibri" w:eastAsia="宋体" w:cs="Times New Roman"/>
          <w:szCs w:val="20"/>
        </w:rPr>
      </w:pPr>
    </w:p>
    <w:p w14:paraId="497925DC">
      <w:pPr>
        <w:pStyle w:val="20"/>
        <w:rPr>
          <w:rFonts w:ascii="Calibri" w:hAnsi="Calibri" w:eastAsia="宋体" w:cs="Times New Roman"/>
          <w:szCs w:val="20"/>
        </w:rPr>
      </w:pPr>
    </w:p>
    <w:p w14:paraId="1E6B3D59">
      <w:pPr>
        <w:pStyle w:val="20"/>
        <w:rPr>
          <w:rFonts w:ascii="Calibri" w:hAnsi="Calibri" w:eastAsia="宋体" w:cs="Times New Roman"/>
          <w:szCs w:val="20"/>
        </w:rPr>
      </w:pPr>
    </w:p>
    <w:p w14:paraId="2AA34E89">
      <w:pPr>
        <w:pStyle w:val="20"/>
        <w:rPr>
          <w:rFonts w:ascii="Calibri" w:hAnsi="Calibri" w:eastAsia="宋体" w:cs="Times New Roman"/>
          <w:szCs w:val="20"/>
        </w:rPr>
      </w:pPr>
    </w:p>
    <w:p w14:paraId="049A9653">
      <w:pPr>
        <w:pStyle w:val="20"/>
        <w:rPr>
          <w:rFonts w:ascii="Calibri" w:hAnsi="Calibri" w:eastAsia="宋体" w:cs="Times New Roman"/>
          <w:szCs w:val="20"/>
        </w:rPr>
      </w:pPr>
    </w:p>
    <w:p w14:paraId="4256CA3D">
      <w:pPr>
        <w:pStyle w:val="20"/>
        <w:rPr>
          <w:rFonts w:ascii="Calibri" w:hAnsi="Calibri" w:eastAsia="宋体" w:cs="Times New Roman"/>
          <w:szCs w:val="20"/>
        </w:rPr>
      </w:pPr>
    </w:p>
    <w:p w14:paraId="0E13F017">
      <w:pPr>
        <w:pStyle w:val="20"/>
        <w:rPr>
          <w:rFonts w:ascii="Calibri" w:hAnsi="Calibri" w:eastAsia="宋体" w:cs="Times New Roman"/>
          <w:szCs w:val="20"/>
        </w:rPr>
      </w:pPr>
    </w:p>
    <w:p w14:paraId="4FB238EE">
      <w:pPr>
        <w:pStyle w:val="20"/>
        <w:rPr>
          <w:rFonts w:ascii="Calibri" w:hAnsi="Calibri" w:eastAsia="宋体" w:cs="Times New Roman"/>
          <w:szCs w:val="20"/>
        </w:rPr>
      </w:pPr>
    </w:p>
    <w:p w14:paraId="35C7CB76">
      <w:pPr>
        <w:pStyle w:val="20"/>
        <w:rPr>
          <w:rFonts w:ascii="Calibri" w:hAnsi="Calibri" w:eastAsia="宋体" w:cs="Times New Roman"/>
          <w:szCs w:val="20"/>
        </w:rPr>
      </w:pPr>
    </w:p>
    <w:p w14:paraId="3E4B3998">
      <w:pPr>
        <w:pStyle w:val="20"/>
        <w:outlineLvl w:val="3"/>
        <w:rPr>
          <w:rFonts w:ascii="Times New Roman" w:hAnsi="Times New Roman" w:eastAsia="宋体" w:cs="Times New Roman"/>
          <w:b/>
          <w:bCs/>
          <w:color w:val="000000"/>
          <w:sz w:val="24"/>
          <w:szCs w:val="24"/>
        </w:rPr>
      </w:pPr>
      <w:r>
        <w:rPr>
          <w:rFonts w:hAnsi="宋体" w:eastAsia="宋体" w:cs="宋体"/>
          <w:spacing w:val="-9"/>
          <w:sz w:val="24"/>
          <w:szCs w:val="24"/>
          <w14:textOutline w14:w="4356" w14:cap="flat" w14:cmpd="sng" w14:algn="ctr">
            <w14:solidFill>
              <w14:srgbClr w14:val="000000"/>
            </w14:solidFill>
            <w14:prstDash w14:val="solid"/>
            <w14:miter w14:val="0"/>
          </w14:textOutline>
        </w:rPr>
        <w:t>表</w:t>
      </w:r>
      <w:r>
        <w:rPr>
          <w:rFonts w:hAnsi="宋体" w:eastAsia="宋体" w:cs="宋体"/>
          <w:spacing w:val="-7"/>
          <w:sz w:val="24"/>
          <w:szCs w:val="24"/>
        </w:rPr>
        <w:t xml:space="preserve"> </w:t>
      </w:r>
      <w:r>
        <w:rPr>
          <w:rFonts w:hAnsi="宋体" w:eastAsia="宋体" w:cs="宋体"/>
          <w:spacing w:val="-7"/>
          <w:sz w:val="24"/>
          <w:szCs w:val="24"/>
          <w14:textOutline w14:w="4356" w14:cap="flat" w14:cmpd="sng" w14:algn="ctr">
            <w14:solidFill>
              <w14:srgbClr w14:val="000000"/>
            </w14:solidFill>
            <w14:prstDash w14:val="solid"/>
            <w14:miter w14:val="0"/>
          </w14:textOutline>
        </w:rPr>
        <w:t>2</w:t>
      </w:r>
      <w:r>
        <w:rPr>
          <w:rFonts w:hint="eastAsia" w:hAnsi="宋体" w:eastAsia="宋体" w:cs="宋体"/>
          <w:spacing w:val="-7"/>
          <w:sz w:val="24"/>
          <w:szCs w:val="24"/>
          <w14:textOutline w14:w="4356" w14:cap="flat" w14:cmpd="sng" w14:algn="ctr">
            <w14:solidFill>
              <w14:srgbClr w14:val="000000"/>
            </w14:solidFill>
            <w14:prstDash w14:val="solid"/>
            <w14:miter w14:val="0"/>
          </w14:textOutline>
        </w:rPr>
        <w:t xml:space="preserve"> </w:t>
      </w:r>
      <w:r>
        <w:rPr>
          <w:rFonts w:hint="eastAsia" w:ascii="Times New Roman" w:hAnsi="Times New Roman" w:eastAsia="宋体" w:cs="Times New Roman"/>
          <w:b/>
          <w:bCs/>
          <w:color w:val="000000"/>
          <w:sz w:val="24"/>
          <w:szCs w:val="24"/>
        </w:rPr>
        <w:t>资产情况汇总表</w:t>
      </w:r>
    </w:p>
    <w:p w14:paraId="66ED59E1">
      <w:pPr>
        <w:pStyle w:val="20"/>
        <w:rPr>
          <w:rFonts w:ascii="Times New Roman" w:hAnsi="Times New Roman" w:eastAsia="宋体" w:cs="Times New Roman"/>
          <w:b/>
          <w:bCs/>
          <w:color w:val="000000"/>
          <w:sz w:val="24"/>
          <w:szCs w:val="24"/>
        </w:rPr>
      </w:pP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84"/>
        <w:gridCol w:w="1287"/>
        <w:gridCol w:w="1288"/>
        <w:gridCol w:w="1290"/>
      </w:tblGrid>
      <w:tr w14:paraId="56EE4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449" w:type="dxa"/>
            <w:gridSpan w:val="4"/>
            <w:vAlign w:val="center"/>
          </w:tcPr>
          <w:p w14:paraId="3A9DE887">
            <w:pPr>
              <w:spacing w:line="440" w:lineRule="exact"/>
              <w:jc w:val="center"/>
              <w:rPr>
                <w:rFonts w:ascii="宋体" w:hAnsi="宋体"/>
                <w:szCs w:val="24"/>
              </w:rPr>
            </w:pPr>
            <w:r>
              <w:rPr>
                <w:rFonts w:ascii="宋体" w:hAnsi="宋体" w:eastAsia="宋体"/>
                <w:color w:val="000000"/>
                <w:sz w:val="24"/>
                <w:szCs w:val="24"/>
                <w:u w:val="single"/>
              </w:rPr>
              <w:t xml:space="preserve">                   </w:t>
            </w:r>
            <w:r>
              <w:rPr>
                <w:rFonts w:hint="eastAsia" w:ascii="宋体" w:hAnsi="宋体" w:eastAsia="宋体"/>
                <w:color w:val="000000"/>
                <w:sz w:val="24"/>
                <w:szCs w:val="24"/>
              </w:rPr>
              <w:t>公司资产情况汇总表</w:t>
            </w:r>
          </w:p>
        </w:tc>
      </w:tr>
      <w:tr w14:paraId="2BD8F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0E9C9C3D">
            <w:pPr>
              <w:spacing w:line="440" w:lineRule="exact"/>
              <w:jc w:val="center"/>
              <w:rPr>
                <w:rFonts w:ascii="宋体" w:hAnsi="宋体"/>
                <w:color w:val="000000"/>
                <w:sz w:val="24"/>
                <w:szCs w:val="24"/>
              </w:rPr>
            </w:pPr>
            <w:r>
              <w:rPr>
                <w:rFonts w:hint="eastAsia" w:ascii="宋体" w:hAnsi="宋体" w:eastAsia="宋体"/>
                <w:color w:val="000000"/>
                <w:sz w:val="24"/>
                <w:szCs w:val="24"/>
              </w:rPr>
              <w:t>注册资金（万元）</w:t>
            </w:r>
          </w:p>
        </w:tc>
        <w:tc>
          <w:tcPr>
            <w:tcW w:w="3865" w:type="dxa"/>
            <w:gridSpan w:val="3"/>
          </w:tcPr>
          <w:p w14:paraId="292281C4">
            <w:pPr>
              <w:spacing w:line="440" w:lineRule="exact"/>
              <w:jc w:val="center"/>
              <w:rPr>
                <w:rFonts w:ascii="宋体" w:hAnsi="宋体"/>
                <w:color w:val="000000"/>
                <w:sz w:val="24"/>
                <w:szCs w:val="24"/>
              </w:rPr>
            </w:pPr>
          </w:p>
        </w:tc>
      </w:tr>
      <w:tr w14:paraId="00A35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3DD9E797">
            <w:pPr>
              <w:spacing w:line="440" w:lineRule="exact"/>
              <w:jc w:val="center"/>
              <w:rPr>
                <w:rFonts w:ascii="宋体" w:hAnsi="宋体"/>
                <w:color w:val="000000"/>
                <w:sz w:val="24"/>
                <w:szCs w:val="24"/>
              </w:rPr>
            </w:pPr>
            <w:r>
              <w:rPr>
                <w:rFonts w:ascii="宋体" w:hAnsi="宋体" w:eastAsia="宋体"/>
                <w:color w:val="000000"/>
                <w:sz w:val="24"/>
                <w:szCs w:val="24"/>
              </w:rPr>
              <w:t>实收资金（万元）</w:t>
            </w:r>
          </w:p>
        </w:tc>
        <w:tc>
          <w:tcPr>
            <w:tcW w:w="3865" w:type="dxa"/>
            <w:gridSpan w:val="3"/>
          </w:tcPr>
          <w:p w14:paraId="6B9650B6">
            <w:pPr>
              <w:spacing w:line="440" w:lineRule="exact"/>
              <w:jc w:val="center"/>
              <w:rPr>
                <w:rFonts w:ascii="宋体" w:hAnsi="宋体"/>
                <w:color w:val="000000"/>
                <w:sz w:val="24"/>
                <w:szCs w:val="24"/>
              </w:rPr>
            </w:pPr>
          </w:p>
        </w:tc>
      </w:tr>
      <w:tr w14:paraId="1B69E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14C8FE66">
            <w:pPr>
              <w:spacing w:line="440" w:lineRule="exact"/>
              <w:jc w:val="center"/>
              <w:rPr>
                <w:rFonts w:ascii="宋体" w:hAnsi="宋体"/>
                <w:color w:val="000000"/>
                <w:sz w:val="24"/>
                <w:szCs w:val="24"/>
              </w:rPr>
            </w:pPr>
            <w:r>
              <w:rPr>
                <w:rFonts w:hint="eastAsia" w:ascii="宋体" w:hAnsi="宋体" w:eastAsia="宋体"/>
                <w:color w:val="000000"/>
                <w:sz w:val="24"/>
                <w:szCs w:val="24"/>
              </w:rPr>
              <w:t>年度资产情况</w:t>
            </w:r>
          </w:p>
        </w:tc>
        <w:tc>
          <w:tcPr>
            <w:tcW w:w="1287" w:type="dxa"/>
            <w:vAlign w:val="center"/>
          </w:tcPr>
          <w:p w14:paraId="7DD44F0B">
            <w:pPr>
              <w:spacing w:line="440" w:lineRule="exact"/>
              <w:jc w:val="center"/>
              <w:rPr>
                <w:rFonts w:ascii="宋体" w:hAnsi="宋体"/>
                <w:color w:val="000000"/>
                <w:sz w:val="24"/>
                <w:szCs w:val="24"/>
              </w:rPr>
            </w:pPr>
            <w:r>
              <w:rPr>
                <w:rFonts w:hint="eastAsia" w:ascii="宋体" w:hAnsi="宋体" w:eastAsia="宋体"/>
                <w:color w:val="000000"/>
                <w:sz w:val="24"/>
                <w:szCs w:val="24"/>
              </w:rPr>
              <w:t>202</w:t>
            </w:r>
            <w:r>
              <w:rPr>
                <w:rFonts w:ascii="宋体" w:hAnsi="宋体" w:eastAsia="宋体"/>
                <w:color w:val="000000"/>
                <w:sz w:val="24"/>
                <w:szCs w:val="24"/>
              </w:rPr>
              <w:t>3</w:t>
            </w:r>
            <w:r>
              <w:rPr>
                <w:rFonts w:hint="eastAsia" w:ascii="宋体" w:hAnsi="宋体" w:eastAsia="宋体"/>
                <w:color w:val="000000"/>
                <w:sz w:val="24"/>
                <w:szCs w:val="24"/>
              </w:rPr>
              <w:t>年</w:t>
            </w:r>
          </w:p>
        </w:tc>
        <w:tc>
          <w:tcPr>
            <w:tcW w:w="1288" w:type="dxa"/>
            <w:vAlign w:val="center"/>
          </w:tcPr>
          <w:p w14:paraId="54E942FB">
            <w:pPr>
              <w:spacing w:line="440" w:lineRule="exact"/>
              <w:jc w:val="center"/>
              <w:rPr>
                <w:rFonts w:ascii="宋体" w:hAnsi="宋体"/>
                <w:color w:val="000000"/>
                <w:sz w:val="24"/>
                <w:szCs w:val="24"/>
              </w:rPr>
            </w:pPr>
            <w:r>
              <w:rPr>
                <w:rFonts w:hint="eastAsia" w:ascii="宋体" w:hAnsi="宋体" w:eastAsia="宋体"/>
                <w:color w:val="000000"/>
                <w:sz w:val="24"/>
                <w:szCs w:val="24"/>
              </w:rPr>
              <w:t>202</w:t>
            </w:r>
            <w:r>
              <w:rPr>
                <w:rFonts w:ascii="宋体" w:hAnsi="宋体" w:eastAsia="宋体"/>
                <w:color w:val="000000"/>
                <w:sz w:val="24"/>
                <w:szCs w:val="24"/>
              </w:rPr>
              <w:t>4</w:t>
            </w:r>
            <w:r>
              <w:rPr>
                <w:rFonts w:hint="eastAsia" w:ascii="宋体" w:hAnsi="宋体" w:eastAsia="宋体"/>
                <w:color w:val="000000"/>
                <w:sz w:val="24"/>
                <w:szCs w:val="24"/>
              </w:rPr>
              <w:t>年</w:t>
            </w:r>
          </w:p>
        </w:tc>
        <w:tc>
          <w:tcPr>
            <w:tcW w:w="1288" w:type="dxa"/>
            <w:vAlign w:val="center"/>
          </w:tcPr>
          <w:p w14:paraId="13BB81A9">
            <w:pPr>
              <w:spacing w:line="440" w:lineRule="exact"/>
              <w:jc w:val="center"/>
              <w:rPr>
                <w:rFonts w:ascii="宋体" w:hAnsi="宋体"/>
                <w:color w:val="000000"/>
                <w:sz w:val="24"/>
                <w:szCs w:val="24"/>
              </w:rPr>
            </w:pPr>
            <w:r>
              <w:rPr>
                <w:rFonts w:hint="eastAsia" w:ascii="宋体" w:hAnsi="宋体" w:eastAsia="宋体"/>
                <w:color w:val="000000"/>
                <w:sz w:val="24"/>
                <w:szCs w:val="24"/>
              </w:rPr>
              <w:t>202</w:t>
            </w:r>
            <w:r>
              <w:rPr>
                <w:rFonts w:ascii="宋体" w:hAnsi="宋体" w:eastAsia="宋体"/>
                <w:color w:val="000000"/>
                <w:sz w:val="24"/>
                <w:szCs w:val="24"/>
              </w:rPr>
              <w:t>5</w:t>
            </w:r>
            <w:r>
              <w:rPr>
                <w:rFonts w:hint="eastAsia" w:ascii="宋体" w:hAnsi="宋体" w:eastAsia="宋体"/>
                <w:color w:val="000000"/>
                <w:sz w:val="24"/>
                <w:szCs w:val="24"/>
              </w:rPr>
              <w:t>年</w:t>
            </w:r>
          </w:p>
        </w:tc>
      </w:tr>
      <w:tr w14:paraId="21157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48FB8C50">
            <w:pPr>
              <w:spacing w:line="440" w:lineRule="exact"/>
              <w:jc w:val="center"/>
              <w:rPr>
                <w:rFonts w:ascii="宋体" w:hAnsi="宋体"/>
                <w:color w:val="000000"/>
                <w:sz w:val="24"/>
                <w:szCs w:val="24"/>
              </w:rPr>
            </w:pPr>
            <w:r>
              <w:rPr>
                <w:rFonts w:hint="eastAsia" w:ascii="宋体" w:hAnsi="宋体" w:eastAsia="宋体"/>
                <w:color w:val="000000"/>
                <w:sz w:val="24"/>
                <w:szCs w:val="24"/>
              </w:rPr>
              <w:t>流动资产（万元）</w:t>
            </w:r>
          </w:p>
        </w:tc>
        <w:tc>
          <w:tcPr>
            <w:tcW w:w="1287" w:type="dxa"/>
          </w:tcPr>
          <w:p w14:paraId="7542ADBB">
            <w:pPr>
              <w:spacing w:line="440" w:lineRule="exact"/>
              <w:jc w:val="center"/>
              <w:rPr>
                <w:rFonts w:ascii="宋体" w:hAnsi="宋体"/>
                <w:color w:val="000000"/>
                <w:sz w:val="24"/>
                <w:szCs w:val="24"/>
              </w:rPr>
            </w:pPr>
          </w:p>
        </w:tc>
        <w:tc>
          <w:tcPr>
            <w:tcW w:w="1288" w:type="dxa"/>
          </w:tcPr>
          <w:p w14:paraId="1A0FC284">
            <w:pPr>
              <w:spacing w:line="440" w:lineRule="exact"/>
              <w:jc w:val="center"/>
              <w:rPr>
                <w:rFonts w:ascii="宋体" w:hAnsi="宋体"/>
                <w:color w:val="000000"/>
                <w:sz w:val="24"/>
                <w:szCs w:val="24"/>
              </w:rPr>
            </w:pPr>
          </w:p>
        </w:tc>
        <w:tc>
          <w:tcPr>
            <w:tcW w:w="1288" w:type="dxa"/>
          </w:tcPr>
          <w:p w14:paraId="69A604DD">
            <w:pPr>
              <w:spacing w:line="440" w:lineRule="exact"/>
              <w:jc w:val="center"/>
              <w:rPr>
                <w:rFonts w:ascii="宋体" w:hAnsi="宋体"/>
                <w:color w:val="000000"/>
                <w:sz w:val="24"/>
                <w:szCs w:val="24"/>
              </w:rPr>
            </w:pPr>
          </w:p>
        </w:tc>
      </w:tr>
      <w:tr w14:paraId="0949F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4F0FABB8">
            <w:pPr>
              <w:spacing w:line="440" w:lineRule="exact"/>
              <w:jc w:val="center"/>
              <w:rPr>
                <w:rFonts w:ascii="宋体" w:hAnsi="宋体"/>
                <w:color w:val="000000"/>
                <w:sz w:val="24"/>
                <w:szCs w:val="24"/>
              </w:rPr>
            </w:pPr>
            <w:r>
              <w:rPr>
                <w:rFonts w:hint="eastAsia" w:ascii="宋体" w:hAnsi="宋体" w:eastAsia="宋体"/>
                <w:color w:val="000000"/>
                <w:sz w:val="24"/>
                <w:szCs w:val="24"/>
              </w:rPr>
              <w:t>非流动资产（万元）</w:t>
            </w:r>
          </w:p>
        </w:tc>
        <w:tc>
          <w:tcPr>
            <w:tcW w:w="1287" w:type="dxa"/>
          </w:tcPr>
          <w:p w14:paraId="273B8085">
            <w:pPr>
              <w:spacing w:line="440" w:lineRule="exact"/>
              <w:jc w:val="center"/>
              <w:rPr>
                <w:rFonts w:ascii="宋体" w:hAnsi="宋体"/>
                <w:color w:val="000000"/>
                <w:sz w:val="24"/>
                <w:szCs w:val="24"/>
              </w:rPr>
            </w:pPr>
          </w:p>
        </w:tc>
        <w:tc>
          <w:tcPr>
            <w:tcW w:w="1288" w:type="dxa"/>
          </w:tcPr>
          <w:p w14:paraId="30BE3D84">
            <w:pPr>
              <w:spacing w:line="440" w:lineRule="exact"/>
              <w:jc w:val="center"/>
              <w:rPr>
                <w:rFonts w:ascii="宋体" w:hAnsi="宋体"/>
                <w:color w:val="000000"/>
                <w:sz w:val="24"/>
                <w:szCs w:val="24"/>
              </w:rPr>
            </w:pPr>
          </w:p>
        </w:tc>
        <w:tc>
          <w:tcPr>
            <w:tcW w:w="1288" w:type="dxa"/>
          </w:tcPr>
          <w:p w14:paraId="0D4ACA92">
            <w:pPr>
              <w:spacing w:line="440" w:lineRule="exact"/>
              <w:jc w:val="center"/>
              <w:rPr>
                <w:rFonts w:ascii="宋体" w:hAnsi="宋体"/>
                <w:color w:val="000000"/>
                <w:sz w:val="24"/>
                <w:szCs w:val="24"/>
              </w:rPr>
            </w:pPr>
          </w:p>
        </w:tc>
      </w:tr>
      <w:tr w14:paraId="5964E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76E76796">
            <w:pPr>
              <w:spacing w:line="440" w:lineRule="exact"/>
              <w:jc w:val="center"/>
              <w:rPr>
                <w:rFonts w:ascii="宋体" w:hAnsi="宋体"/>
                <w:color w:val="000000"/>
                <w:sz w:val="24"/>
                <w:szCs w:val="24"/>
              </w:rPr>
            </w:pPr>
            <w:r>
              <w:rPr>
                <w:rFonts w:hint="eastAsia" w:ascii="宋体" w:hAnsi="宋体" w:eastAsia="宋体"/>
                <w:color w:val="000000"/>
                <w:sz w:val="24"/>
                <w:szCs w:val="24"/>
              </w:rPr>
              <w:t>营业收入（万元）</w:t>
            </w:r>
          </w:p>
        </w:tc>
        <w:tc>
          <w:tcPr>
            <w:tcW w:w="1287" w:type="dxa"/>
          </w:tcPr>
          <w:p w14:paraId="267DD8F5">
            <w:pPr>
              <w:spacing w:line="440" w:lineRule="exact"/>
              <w:jc w:val="center"/>
              <w:rPr>
                <w:rFonts w:ascii="宋体" w:hAnsi="宋体"/>
                <w:color w:val="000000"/>
                <w:sz w:val="24"/>
                <w:szCs w:val="24"/>
                <w:highlight w:val="yellow"/>
              </w:rPr>
            </w:pPr>
          </w:p>
        </w:tc>
        <w:tc>
          <w:tcPr>
            <w:tcW w:w="1288" w:type="dxa"/>
          </w:tcPr>
          <w:p w14:paraId="44F90565">
            <w:pPr>
              <w:spacing w:line="440" w:lineRule="exact"/>
              <w:jc w:val="center"/>
              <w:rPr>
                <w:rFonts w:ascii="宋体" w:hAnsi="宋体"/>
                <w:color w:val="000000"/>
                <w:sz w:val="24"/>
                <w:szCs w:val="24"/>
                <w:highlight w:val="yellow"/>
              </w:rPr>
            </w:pPr>
          </w:p>
        </w:tc>
        <w:tc>
          <w:tcPr>
            <w:tcW w:w="1288" w:type="dxa"/>
          </w:tcPr>
          <w:p w14:paraId="2050DE18">
            <w:pPr>
              <w:spacing w:line="440" w:lineRule="exact"/>
              <w:jc w:val="center"/>
              <w:rPr>
                <w:rFonts w:ascii="宋体" w:hAnsi="宋体"/>
                <w:color w:val="000000"/>
                <w:sz w:val="24"/>
                <w:szCs w:val="24"/>
                <w:highlight w:val="yellow"/>
              </w:rPr>
            </w:pPr>
          </w:p>
        </w:tc>
      </w:tr>
      <w:tr w14:paraId="63477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1044BE7F">
            <w:pPr>
              <w:spacing w:line="440" w:lineRule="exact"/>
              <w:jc w:val="center"/>
              <w:rPr>
                <w:rFonts w:ascii="宋体" w:hAnsi="宋体"/>
                <w:color w:val="000000"/>
                <w:sz w:val="24"/>
                <w:szCs w:val="24"/>
              </w:rPr>
            </w:pPr>
            <w:r>
              <w:rPr>
                <w:rFonts w:hint="eastAsia" w:ascii="宋体" w:hAnsi="宋体" w:eastAsia="宋体"/>
                <w:color w:val="000000"/>
                <w:sz w:val="24"/>
                <w:szCs w:val="24"/>
              </w:rPr>
              <w:t>年底资产总值（万元）</w:t>
            </w:r>
          </w:p>
        </w:tc>
        <w:tc>
          <w:tcPr>
            <w:tcW w:w="1287" w:type="dxa"/>
          </w:tcPr>
          <w:p w14:paraId="384CBC12">
            <w:pPr>
              <w:spacing w:line="440" w:lineRule="exact"/>
              <w:jc w:val="center"/>
              <w:rPr>
                <w:rFonts w:ascii="宋体" w:hAnsi="宋体"/>
                <w:color w:val="000000"/>
                <w:sz w:val="24"/>
                <w:szCs w:val="24"/>
              </w:rPr>
            </w:pPr>
          </w:p>
        </w:tc>
        <w:tc>
          <w:tcPr>
            <w:tcW w:w="1288" w:type="dxa"/>
          </w:tcPr>
          <w:p w14:paraId="72D7BF46">
            <w:pPr>
              <w:spacing w:line="440" w:lineRule="exact"/>
              <w:jc w:val="center"/>
              <w:rPr>
                <w:rFonts w:ascii="宋体" w:hAnsi="宋体"/>
                <w:color w:val="000000"/>
                <w:sz w:val="24"/>
                <w:szCs w:val="24"/>
              </w:rPr>
            </w:pPr>
          </w:p>
        </w:tc>
        <w:tc>
          <w:tcPr>
            <w:tcW w:w="1288" w:type="dxa"/>
          </w:tcPr>
          <w:p w14:paraId="59D1DE3C">
            <w:pPr>
              <w:spacing w:line="440" w:lineRule="exact"/>
              <w:jc w:val="center"/>
              <w:rPr>
                <w:rFonts w:ascii="宋体" w:hAnsi="宋体"/>
                <w:color w:val="000000"/>
                <w:sz w:val="24"/>
                <w:szCs w:val="24"/>
              </w:rPr>
            </w:pPr>
          </w:p>
        </w:tc>
      </w:tr>
      <w:tr w14:paraId="29CDD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48892970">
            <w:pPr>
              <w:spacing w:line="440" w:lineRule="exact"/>
              <w:jc w:val="center"/>
              <w:rPr>
                <w:rFonts w:ascii="宋体" w:hAnsi="宋体"/>
                <w:color w:val="000000"/>
                <w:sz w:val="24"/>
                <w:szCs w:val="24"/>
              </w:rPr>
            </w:pPr>
            <w:r>
              <w:rPr>
                <w:rFonts w:hint="eastAsia" w:ascii="宋体" w:hAnsi="宋体" w:eastAsia="宋体"/>
                <w:color w:val="000000"/>
                <w:sz w:val="24"/>
                <w:szCs w:val="24"/>
              </w:rPr>
              <w:t>年底负债总值（万元）</w:t>
            </w:r>
          </w:p>
        </w:tc>
        <w:tc>
          <w:tcPr>
            <w:tcW w:w="1287" w:type="dxa"/>
          </w:tcPr>
          <w:p w14:paraId="5107922A">
            <w:pPr>
              <w:spacing w:line="440" w:lineRule="exact"/>
              <w:jc w:val="center"/>
              <w:rPr>
                <w:rFonts w:ascii="宋体" w:hAnsi="宋体"/>
                <w:color w:val="000000"/>
                <w:sz w:val="24"/>
                <w:szCs w:val="24"/>
              </w:rPr>
            </w:pPr>
          </w:p>
        </w:tc>
        <w:tc>
          <w:tcPr>
            <w:tcW w:w="1288" w:type="dxa"/>
          </w:tcPr>
          <w:p w14:paraId="2A7F455A">
            <w:pPr>
              <w:spacing w:line="440" w:lineRule="exact"/>
              <w:jc w:val="center"/>
              <w:rPr>
                <w:rFonts w:ascii="宋体" w:hAnsi="宋体"/>
                <w:color w:val="000000"/>
                <w:sz w:val="24"/>
                <w:szCs w:val="24"/>
              </w:rPr>
            </w:pPr>
          </w:p>
        </w:tc>
        <w:tc>
          <w:tcPr>
            <w:tcW w:w="1288" w:type="dxa"/>
          </w:tcPr>
          <w:p w14:paraId="6F945D57">
            <w:pPr>
              <w:spacing w:line="440" w:lineRule="exact"/>
              <w:jc w:val="center"/>
              <w:rPr>
                <w:rFonts w:ascii="宋体" w:hAnsi="宋体"/>
                <w:color w:val="000000"/>
                <w:sz w:val="24"/>
                <w:szCs w:val="24"/>
              </w:rPr>
            </w:pPr>
          </w:p>
        </w:tc>
      </w:tr>
      <w:tr w14:paraId="45DBE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5898BB75">
            <w:pPr>
              <w:spacing w:line="440" w:lineRule="exact"/>
              <w:jc w:val="center"/>
              <w:rPr>
                <w:rFonts w:ascii="宋体" w:hAnsi="宋体"/>
                <w:color w:val="000000"/>
                <w:sz w:val="24"/>
                <w:szCs w:val="24"/>
              </w:rPr>
            </w:pPr>
            <w:r>
              <w:rPr>
                <w:rFonts w:ascii="宋体" w:hAnsi="宋体" w:eastAsia="宋体"/>
                <w:color w:val="000000"/>
                <w:sz w:val="24"/>
                <w:szCs w:val="24"/>
              </w:rPr>
              <w:t>资产负债率</w:t>
            </w:r>
            <w:r>
              <w:rPr>
                <w:rFonts w:hint="eastAsia" w:ascii="宋体" w:hAnsi="宋体" w:eastAsia="宋体"/>
                <w:color w:val="000000"/>
                <w:sz w:val="24"/>
                <w:szCs w:val="24"/>
              </w:rPr>
              <w:t>（  %）</w:t>
            </w:r>
          </w:p>
        </w:tc>
        <w:tc>
          <w:tcPr>
            <w:tcW w:w="1287" w:type="dxa"/>
          </w:tcPr>
          <w:p w14:paraId="765C6D70">
            <w:pPr>
              <w:spacing w:line="440" w:lineRule="exact"/>
              <w:jc w:val="center"/>
              <w:rPr>
                <w:rFonts w:ascii="宋体" w:hAnsi="宋体"/>
                <w:color w:val="000000"/>
                <w:sz w:val="24"/>
                <w:szCs w:val="24"/>
                <w:highlight w:val="yellow"/>
              </w:rPr>
            </w:pPr>
          </w:p>
        </w:tc>
        <w:tc>
          <w:tcPr>
            <w:tcW w:w="1288" w:type="dxa"/>
          </w:tcPr>
          <w:p w14:paraId="52DF5E24">
            <w:pPr>
              <w:spacing w:line="440" w:lineRule="exact"/>
              <w:jc w:val="center"/>
              <w:rPr>
                <w:rFonts w:ascii="宋体" w:hAnsi="宋体"/>
                <w:color w:val="000000"/>
                <w:sz w:val="24"/>
                <w:szCs w:val="24"/>
                <w:highlight w:val="yellow"/>
              </w:rPr>
            </w:pPr>
          </w:p>
        </w:tc>
        <w:tc>
          <w:tcPr>
            <w:tcW w:w="1288" w:type="dxa"/>
          </w:tcPr>
          <w:p w14:paraId="5E2B800A">
            <w:pPr>
              <w:spacing w:line="440" w:lineRule="exact"/>
              <w:jc w:val="center"/>
              <w:rPr>
                <w:rFonts w:ascii="宋体" w:hAnsi="宋体"/>
                <w:color w:val="000000"/>
                <w:sz w:val="24"/>
                <w:szCs w:val="24"/>
                <w:highlight w:val="yellow"/>
              </w:rPr>
            </w:pPr>
          </w:p>
        </w:tc>
      </w:tr>
      <w:tr w14:paraId="5D806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214F04CF">
            <w:pPr>
              <w:spacing w:line="440" w:lineRule="exact"/>
              <w:jc w:val="center"/>
              <w:rPr>
                <w:rFonts w:ascii="宋体" w:hAnsi="宋体"/>
                <w:color w:val="000000"/>
                <w:sz w:val="24"/>
                <w:szCs w:val="24"/>
              </w:rPr>
            </w:pPr>
            <w:r>
              <w:rPr>
                <w:rFonts w:hint="eastAsia" w:ascii="宋体" w:hAnsi="宋体" w:eastAsia="宋体"/>
                <w:color w:val="000000"/>
                <w:sz w:val="24"/>
                <w:szCs w:val="24"/>
              </w:rPr>
              <w:t>净利润（万元）</w:t>
            </w:r>
          </w:p>
        </w:tc>
        <w:tc>
          <w:tcPr>
            <w:tcW w:w="1287" w:type="dxa"/>
          </w:tcPr>
          <w:p w14:paraId="6F783597">
            <w:pPr>
              <w:spacing w:line="440" w:lineRule="exact"/>
              <w:jc w:val="center"/>
              <w:rPr>
                <w:rFonts w:ascii="宋体" w:hAnsi="宋体"/>
                <w:color w:val="000000"/>
                <w:sz w:val="24"/>
                <w:szCs w:val="24"/>
                <w:highlight w:val="yellow"/>
              </w:rPr>
            </w:pPr>
          </w:p>
        </w:tc>
        <w:tc>
          <w:tcPr>
            <w:tcW w:w="1288" w:type="dxa"/>
          </w:tcPr>
          <w:p w14:paraId="71ACCB21">
            <w:pPr>
              <w:spacing w:line="440" w:lineRule="exact"/>
              <w:jc w:val="center"/>
              <w:rPr>
                <w:rFonts w:ascii="宋体" w:hAnsi="宋体"/>
                <w:color w:val="000000"/>
                <w:sz w:val="24"/>
                <w:szCs w:val="24"/>
                <w:highlight w:val="yellow"/>
              </w:rPr>
            </w:pPr>
          </w:p>
        </w:tc>
        <w:tc>
          <w:tcPr>
            <w:tcW w:w="1288" w:type="dxa"/>
          </w:tcPr>
          <w:p w14:paraId="0CF992C6">
            <w:pPr>
              <w:spacing w:line="440" w:lineRule="exact"/>
              <w:jc w:val="center"/>
              <w:rPr>
                <w:rFonts w:ascii="宋体" w:hAnsi="宋体"/>
                <w:color w:val="000000"/>
                <w:sz w:val="24"/>
                <w:szCs w:val="24"/>
                <w:highlight w:val="yellow"/>
              </w:rPr>
            </w:pPr>
          </w:p>
        </w:tc>
      </w:tr>
      <w:tr w14:paraId="001FA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2297C99C">
            <w:pPr>
              <w:spacing w:line="440" w:lineRule="exact"/>
              <w:jc w:val="center"/>
              <w:rPr>
                <w:rFonts w:ascii="宋体" w:hAnsi="宋体"/>
                <w:color w:val="000000"/>
                <w:sz w:val="24"/>
                <w:szCs w:val="24"/>
              </w:rPr>
            </w:pPr>
            <w:r>
              <w:rPr>
                <w:rFonts w:hint="eastAsia" w:ascii="宋体" w:hAnsi="宋体" w:eastAsia="宋体"/>
                <w:color w:val="000000"/>
                <w:sz w:val="24"/>
                <w:szCs w:val="24"/>
              </w:rPr>
              <w:t>未分配利润（万元）</w:t>
            </w:r>
          </w:p>
        </w:tc>
        <w:tc>
          <w:tcPr>
            <w:tcW w:w="1287" w:type="dxa"/>
          </w:tcPr>
          <w:p w14:paraId="341E3120">
            <w:pPr>
              <w:spacing w:line="440" w:lineRule="exact"/>
              <w:jc w:val="center"/>
              <w:rPr>
                <w:rFonts w:ascii="宋体" w:hAnsi="宋体"/>
                <w:color w:val="000000"/>
                <w:sz w:val="24"/>
                <w:szCs w:val="24"/>
              </w:rPr>
            </w:pPr>
          </w:p>
        </w:tc>
        <w:tc>
          <w:tcPr>
            <w:tcW w:w="1288" w:type="dxa"/>
          </w:tcPr>
          <w:p w14:paraId="054F6F19">
            <w:pPr>
              <w:spacing w:line="440" w:lineRule="exact"/>
              <w:jc w:val="center"/>
              <w:rPr>
                <w:rFonts w:ascii="宋体" w:hAnsi="宋体"/>
                <w:color w:val="000000"/>
                <w:sz w:val="24"/>
                <w:szCs w:val="24"/>
              </w:rPr>
            </w:pPr>
          </w:p>
        </w:tc>
        <w:tc>
          <w:tcPr>
            <w:tcW w:w="1288" w:type="dxa"/>
          </w:tcPr>
          <w:p w14:paraId="5365B6B9">
            <w:pPr>
              <w:spacing w:line="440" w:lineRule="exact"/>
              <w:jc w:val="center"/>
              <w:rPr>
                <w:rFonts w:ascii="宋体" w:hAnsi="宋体"/>
                <w:color w:val="000000"/>
                <w:sz w:val="24"/>
                <w:szCs w:val="24"/>
              </w:rPr>
            </w:pPr>
          </w:p>
        </w:tc>
      </w:tr>
      <w:tr w14:paraId="1B582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59D256CC">
            <w:pPr>
              <w:spacing w:line="440" w:lineRule="exact"/>
              <w:jc w:val="center"/>
              <w:rPr>
                <w:rFonts w:ascii="宋体" w:hAnsi="宋体"/>
                <w:color w:val="000000"/>
                <w:sz w:val="24"/>
                <w:szCs w:val="24"/>
              </w:rPr>
            </w:pPr>
            <w:r>
              <w:rPr>
                <w:rFonts w:hint="eastAsia" w:ascii="宋体" w:hAnsi="宋体" w:eastAsia="宋体"/>
                <w:color w:val="000000"/>
                <w:sz w:val="24"/>
                <w:szCs w:val="24"/>
              </w:rPr>
              <w:t>营运</w:t>
            </w:r>
            <w:r>
              <w:rPr>
                <w:rFonts w:ascii="宋体" w:hAnsi="宋体" w:eastAsia="宋体"/>
                <w:color w:val="000000"/>
                <w:sz w:val="24"/>
                <w:szCs w:val="24"/>
              </w:rPr>
              <w:t>资</w:t>
            </w:r>
            <w:r>
              <w:rPr>
                <w:rFonts w:hint="eastAsia" w:ascii="宋体" w:hAnsi="宋体" w:eastAsia="宋体"/>
                <w:color w:val="000000"/>
                <w:sz w:val="24"/>
                <w:szCs w:val="24"/>
              </w:rPr>
              <w:t>金</w:t>
            </w:r>
          </w:p>
        </w:tc>
        <w:tc>
          <w:tcPr>
            <w:tcW w:w="1287" w:type="dxa"/>
          </w:tcPr>
          <w:p w14:paraId="7558C73E">
            <w:pPr>
              <w:spacing w:line="440" w:lineRule="exact"/>
              <w:jc w:val="center"/>
              <w:rPr>
                <w:rFonts w:ascii="宋体" w:hAnsi="宋体"/>
                <w:color w:val="000000"/>
                <w:sz w:val="24"/>
                <w:szCs w:val="24"/>
              </w:rPr>
            </w:pPr>
          </w:p>
        </w:tc>
        <w:tc>
          <w:tcPr>
            <w:tcW w:w="1288" w:type="dxa"/>
          </w:tcPr>
          <w:p w14:paraId="69E09CC4">
            <w:pPr>
              <w:spacing w:line="440" w:lineRule="exact"/>
              <w:jc w:val="center"/>
              <w:rPr>
                <w:rFonts w:ascii="宋体" w:hAnsi="宋体"/>
                <w:color w:val="000000"/>
                <w:sz w:val="24"/>
                <w:szCs w:val="24"/>
              </w:rPr>
            </w:pPr>
          </w:p>
        </w:tc>
        <w:tc>
          <w:tcPr>
            <w:tcW w:w="1288" w:type="dxa"/>
          </w:tcPr>
          <w:p w14:paraId="68EB0629">
            <w:pPr>
              <w:spacing w:line="440" w:lineRule="exact"/>
              <w:jc w:val="center"/>
              <w:rPr>
                <w:rFonts w:ascii="宋体" w:hAnsi="宋体"/>
                <w:color w:val="000000"/>
                <w:sz w:val="24"/>
                <w:szCs w:val="24"/>
              </w:rPr>
            </w:pPr>
          </w:p>
        </w:tc>
      </w:tr>
      <w:tr w14:paraId="09671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21235530">
            <w:pPr>
              <w:spacing w:line="440" w:lineRule="exact"/>
              <w:jc w:val="center"/>
              <w:rPr>
                <w:rFonts w:ascii="宋体" w:hAnsi="宋体"/>
                <w:color w:val="000000"/>
                <w:sz w:val="24"/>
                <w:szCs w:val="24"/>
              </w:rPr>
            </w:pPr>
            <w:r>
              <w:rPr>
                <w:rFonts w:hint="eastAsia" w:ascii="宋体" w:hAnsi="宋体" w:eastAsia="宋体"/>
                <w:color w:val="000000"/>
                <w:sz w:val="24"/>
                <w:szCs w:val="24"/>
              </w:rPr>
              <w:t>（本年营业收入-上年营业收入）÷上年营业收入</w:t>
            </w:r>
          </w:p>
        </w:tc>
        <w:tc>
          <w:tcPr>
            <w:tcW w:w="1287" w:type="dxa"/>
          </w:tcPr>
          <w:p w14:paraId="6387C670">
            <w:pPr>
              <w:spacing w:line="440" w:lineRule="exact"/>
              <w:jc w:val="center"/>
              <w:rPr>
                <w:rFonts w:ascii="宋体" w:hAnsi="宋体"/>
                <w:color w:val="000000"/>
                <w:sz w:val="24"/>
                <w:szCs w:val="24"/>
              </w:rPr>
            </w:pPr>
          </w:p>
        </w:tc>
        <w:tc>
          <w:tcPr>
            <w:tcW w:w="1288" w:type="dxa"/>
          </w:tcPr>
          <w:p w14:paraId="6AD492C6">
            <w:pPr>
              <w:spacing w:line="440" w:lineRule="exact"/>
              <w:jc w:val="center"/>
              <w:rPr>
                <w:rFonts w:ascii="宋体" w:hAnsi="宋体"/>
                <w:color w:val="000000"/>
                <w:sz w:val="24"/>
                <w:szCs w:val="24"/>
              </w:rPr>
            </w:pPr>
          </w:p>
        </w:tc>
        <w:tc>
          <w:tcPr>
            <w:tcW w:w="1288" w:type="dxa"/>
          </w:tcPr>
          <w:p w14:paraId="780F98D5">
            <w:pPr>
              <w:spacing w:line="440" w:lineRule="exact"/>
              <w:jc w:val="center"/>
              <w:rPr>
                <w:rFonts w:ascii="宋体" w:hAnsi="宋体"/>
                <w:color w:val="000000"/>
                <w:sz w:val="24"/>
                <w:szCs w:val="24"/>
              </w:rPr>
            </w:pPr>
          </w:p>
        </w:tc>
      </w:tr>
    </w:tbl>
    <w:p w14:paraId="5373EC65">
      <w:pPr>
        <w:spacing w:line="660" w:lineRule="exact"/>
        <w:ind w:firstLine="240" w:firstLineChars="100"/>
        <w:rPr>
          <w:rFonts w:ascii="宋体" w:hAnsi="Calibri" w:eastAsia="宋体" w:cs="Times New Roman"/>
          <w:sz w:val="24"/>
          <w:szCs w:val="20"/>
        </w:rPr>
      </w:pPr>
      <w:r>
        <w:rPr>
          <w:rFonts w:hint="eastAsia" w:ascii="宋体" w:hAnsi="宋体" w:eastAsia="宋体" w:cs="Times New Roman"/>
          <w:sz w:val="24"/>
          <w:szCs w:val="20"/>
        </w:rPr>
        <w:t>投标人：（盖章）</w:t>
      </w:r>
    </w:p>
    <w:p w14:paraId="2140BADB">
      <w:pPr>
        <w:spacing w:line="660" w:lineRule="exact"/>
        <w:ind w:firstLine="240" w:firstLineChars="100"/>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4B4D2712">
      <w:pPr>
        <w:spacing w:line="660" w:lineRule="exact"/>
        <w:ind w:firstLine="240" w:firstLineChars="100"/>
        <w:rPr>
          <w:rFonts w:ascii="宋体" w:hAnsi="宋体"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62DDF86E">
      <w:pPr>
        <w:spacing w:line="660" w:lineRule="exact"/>
        <w:ind w:firstLine="240" w:firstLineChars="100"/>
        <w:rPr>
          <w:rFonts w:ascii="宋体" w:hAnsi="宋体" w:eastAsia="宋体" w:cs="Times New Roman"/>
          <w:sz w:val="24"/>
          <w:szCs w:val="20"/>
        </w:rPr>
      </w:pPr>
      <w:r>
        <w:rPr>
          <w:rFonts w:ascii="宋体" w:hAnsi="宋体" w:eastAsia="宋体" w:cs="Times New Roman"/>
          <w:sz w:val="24"/>
          <w:szCs w:val="20"/>
        </w:rPr>
        <w:br w:type="page"/>
      </w:r>
    </w:p>
    <w:p w14:paraId="6AF0CC8A">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附件4</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保密承诺函</w:t>
      </w:r>
    </w:p>
    <w:p w14:paraId="32E3C22B">
      <w:pPr>
        <w:spacing w:line="240" w:lineRule="exact"/>
        <w:jc w:val="center"/>
        <w:rPr>
          <w:rFonts w:ascii="宋体" w:hAnsi="Calibri" w:eastAsia="宋体" w:cs="Times New Roman"/>
          <w:b/>
          <w:bCs/>
          <w:sz w:val="36"/>
          <w:szCs w:val="20"/>
        </w:rPr>
      </w:pPr>
    </w:p>
    <w:p w14:paraId="669CC529">
      <w:pPr>
        <w:spacing w:line="360" w:lineRule="auto"/>
        <w:rPr>
          <w:rFonts w:ascii="宋体" w:hAnsi="宋体" w:eastAsia="宋体" w:cs="宋体"/>
          <w:sz w:val="24"/>
          <w:szCs w:val="24"/>
          <w:u w:val="single"/>
        </w:rPr>
      </w:pPr>
      <w:r>
        <w:rPr>
          <w:rFonts w:hint="eastAsia" w:ascii="宋体" w:hAnsi="宋体" w:eastAsia="宋体" w:cs="Times New Roman"/>
          <w:sz w:val="24"/>
          <w:szCs w:val="20"/>
        </w:rPr>
        <w:t>项目名称：</w:t>
      </w:r>
      <w:r>
        <w:rPr>
          <w:rFonts w:hint="eastAsia" w:ascii="宋体" w:hAnsi="宋体" w:eastAsia="宋体" w:cs="宋体"/>
          <w:sz w:val="24"/>
          <w:szCs w:val="24"/>
          <w:u w:val="single"/>
        </w:rPr>
        <w:t xml:space="preserve"> </w:t>
      </w:r>
      <w:r>
        <w:rPr>
          <w:rFonts w:ascii="宋体" w:hAnsi="宋体" w:eastAsia="宋体" w:cs="宋体"/>
          <w:sz w:val="24"/>
          <w:szCs w:val="24"/>
          <w:u w:val="single"/>
        </w:rPr>
        <w:t xml:space="preserve">              </w:t>
      </w:r>
    </w:p>
    <w:p w14:paraId="2744920F">
      <w:pPr>
        <w:spacing w:line="360" w:lineRule="auto"/>
        <w:rPr>
          <w:rFonts w:ascii="宋体" w:hAnsi="Calibri" w:eastAsia="宋体" w:cs="Times New Roman"/>
          <w:b/>
          <w:bCs/>
          <w:sz w:val="24"/>
          <w:szCs w:val="20"/>
        </w:rPr>
      </w:pPr>
      <w:r>
        <w:rPr>
          <w:rFonts w:hint="eastAsia" w:ascii="宋体" w:hAnsi="宋体" w:eastAsia="宋体" w:cs="Times New Roman"/>
          <w:b/>
          <w:bCs/>
          <w:sz w:val="24"/>
          <w:szCs w:val="20"/>
        </w:rPr>
        <w:t>中国重汽集团</w:t>
      </w:r>
      <w:r>
        <w:rPr>
          <w:rFonts w:hint="eastAsia" w:ascii="宋体" w:hAnsi="宋体" w:eastAsia="宋体" w:cs="Times New Roman"/>
          <w:b/>
          <w:bCs/>
          <w:sz w:val="24"/>
          <w:szCs w:val="20"/>
          <w:lang w:eastAsia="zh-CN"/>
        </w:rPr>
        <w:t>泰安五岳</w:t>
      </w:r>
      <w:r>
        <w:rPr>
          <w:rFonts w:hint="eastAsia" w:ascii="宋体" w:hAnsi="宋体" w:eastAsia="宋体" w:cs="Times New Roman"/>
          <w:b/>
          <w:bCs/>
          <w:sz w:val="24"/>
          <w:szCs w:val="20"/>
        </w:rPr>
        <w:t>有限公司：</w:t>
      </w:r>
    </w:p>
    <w:p w14:paraId="0CA40CF7">
      <w:pPr>
        <w:spacing w:line="360" w:lineRule="auto"/>
        <w:ind w:firstLine="480"/>
        <w:rPr>
          <w:rFonts w:ascii="宋体" w:hAnsi="Calibri" w:eastAsia="宋体" w:cs="Times New Roman"/>
          <w:sz w:val="24"/>
          <w:szCs w:val="20"/>
        </w:rPr>
      </w:pPr>
      <w:r>
        <w:rPr>
          <w:rFonts w:hint="eastAsia" w:ascii="宋体" w:hAnsi="宋体" w:eastAsia="宋体" w:cs="Times New Roman"/>
          <w:sz w:val="24"/>
          <w:szCs w:val="20"/>
        </w:rPr>
        <w:t>我代表（投标人名称）对招标人的商业秘密作如下承诺：</w:t>
      </w:r>
    </w:p>
    <w:p w14:paraId="0C920619">
      <w:pPr>
        <w:spacing w:line="360" w:lineRule="auto"/>
        <w:ind w:left="479" w:leftChars="228"/>
        <w:rPr>
          <w:rFonts w:ascii="宋体" w:hAnsi="宋体" w:eastAsia="宋体" w:cs="Times New Roman"/>
          <w:sz w:val="24"/>
          <w:szCs w:val="20"/>
          <w:u w:val="single"/>
        </w:rPr>
      </w:pPr>
      <w:r>
        <w:rPr>
          <w:rFonts w:ascii="宋体" w:hAnsi="宋体" w:eastAsia="宋体" w:cs="Times New Roman"/>
          <w:sz w:val="24"/>
          <w:szCs w:val="20"/>
          <w:u w:val="single"/>
        </w:rPr>
        <w:t xml:space="preserve">    </w:t>
      </w:r>
      <w:r>
        <w:rPr>
          <w:rFonts w:hint="eastAsia" w:ascii="宋体" w:hAnsi="宋体" w:eastAsia="宋体" w:cs="Times New Roman"/>
          <w:sz w:val="24"/>
          <w:szCs w:val="20"/>
          <w:u w:val="single"/>
        </w:rPr>
        <w:t>无论是否中标、是否签署合同，对获得的招标人商业秘密（包括但不限于产品和/或装备的技术文件、制造文件、实验文件和销售及售后服务文件等，如报告、通知、记录、会议纪要、备忘录、图纸、草图、样品、模型、企业标准、软件；不论以何种形式提供，如光盘、磁盘、录像带、照片或其他表述，无论该信息是以口头还是书面方式还是何种语言提供、是否标识为保密，也无论该等信息储存于任何载体）承担保密责任。</w:t>
      </w:r>
    </w:p>
    <w:p w14:paraId="5900A08E">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081C5FA0">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438D3027">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A7D1665">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4BD0EC72">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90B9D65">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DA1E636">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07097A24">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19F665C">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B26A280">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0434E27E">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7BE1B504">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CEA51F7">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64573FC7">
      <w:pPr>
        <w:spacing w:line="360" w:lineRule="auto"/>
        <w:ind w:firstLine="480" w:firstLineChars="200"/>
        <w:rPr>
          <w:rFonts w:ascii="宋体" w:hAnsi="宋体" w:eastAsia="宋体" w:cs="Times New Roman"/>
          <w:sz w:val="24"/>
          <w:szCs w:val="20"/>
          <w:u w:val="single"/>
        </w:rPr>
      </w:pPr>
    </w:p>
    <w:p w14:paraId="0236A757">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投标人：（盖章）</w:t>
      </w:r>
    </w:p>
    <w:p w14:paraId="05BE5341">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法定代表人（委托代理人）：（签字）</w:t>
      </w:r>
    </w:p>
    <w:p w14:paraId="718CA341">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日</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251AF11F">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br w:type="page"/>
      </w:r>
    </w:p>
    <w:p w14:paraId="42E07AAC">
      <w:pPr>
        <w:spacing w:line="360" w:lineRule="auto"/>
        <w:ind w:firstLine="480" w:firstLineChars="200"/>
        <w:rPr>
          <w:rFonts w:ascii="宋体" w:hAnsi="宋体" w:eastAsia="宋体" w:cs="Times New Roman"/>
          <w:color w:val="000000"/>
          <w:sz w:val="24"/>
          <w:szCs w:val="24"/>
        </w:rPr>
      </w:pPr>
    </w:p>
    <w:p w14:paraId="6817B013">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宋体"/>
          <w:b/>
          <w:bCs/>
          <w:color w:val="000000"/>
          <w:sz w:val="24"/>
          <w:szCs w:val="24"/>
        </w:rPr>
        <w:t>附件5</w:t>
      </w:r>
      <w:r>
        <w:rPr>
          <w:rFonts w:hint="eastAsia" w:ascii="Times New Roman" w:hAnsi="Times New Roman" w:eastAsia="宋体" w:cs="Times New Roman"/>
          <w:b/>
          <w:bCs/>
          <w:color w:val="000000"/>
          <w:sz w:val="24"/>
          <w:szCs w:val="24"/>
        </w:rPr>
        <w:t>技术规格偏离表</w:t>
      </w:r>
    </w:p>
    <w:p w14:paraId="6FCAB53F">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eastAsia" w:ascii="宋体" w:hAnsi="宋体" w:eastAsia="宋体" w:cs="宋体"/>
          <w:sz w:val="24"/>
          <w:szCs w:val="24"/>
          <w:u w:val="single"/>
        </w:rPr>
        <w:t xml:space="preserve"> </w:t>
      </w:r>
      <w:r>
        <w:rPr>
          <w:rFonts w:ascii="宋体" w:hAnsi="宋体" w:eastAsia="宋体" w:cs="宋体"/>
          <w:sz w:val="24"/>
          <w:szCs w:val="24"/>
          <w:u w:val="single"/>
        </w:rPr>
        <w:t xml:space="preserve">               </w:t>
      </w:r>
      <w:r>
        <w:rPr>
          <w:rFonts w:ascii="宋体" w:hAnsi="宋体" w:eastAsia="宋体" w:cs="Times New Roman"/>
          <w:color w:val="000000"/>
          <w:sz w:val="24"/>
          <w:szCs w:val="24"/>
        </w:rPr>
        <w:t xml:space="preserve">                                                           </w:t>
      </w:r>
    </w:p>
    <w:tbl>
      <w:tblPr>
        <w:tblStyle w:val="42"/>
        <w:tblW w:w="90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5"/>
        <w:gridCol w:w="3449"/>
        <w:gridCol w:w="2414"/>
        <w:gridCol w:w="1608"/>
      </w:tblGrid>
      <w:tr w14:paraId="64930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vAlign w:val="center"/>
          </w:tcPr>
          <w:p w14:paraId="4E9824C0">
            <w:pPr>
              <w:jc w:val="center"/>
              <w:rPr>
                <w:rFonts w:ascii="Times New Roman" w:hAnsi="Times New Roman" w:eastAsia="宋体" w:cs="Times New Roman"/>
                <w:b/>
                <w:szCs w:val="20"/>
              </w:rPr>
            </w:pPr>
            <w:r>
              <w:rPr>
                <w:rFonts w:hint="eastAsia" w:ascii="宋体" w:hAnsi="宋体" w:eastAsia="宋体" w:cs="宋体"/>
                <w:b/>
                <w:szCs w:val="20"/>
              </w:rPr>
              <w:t>序号</w:t>
            </w:r>
          </w:p>
        </w:tc>
        <w:tc>
          <w:tcPr>
            <w:tcW w:w="3449" w:type="dxa"/>
            <w:vAlign w:val="center"/>
          </w:tcPr>
          <w:p w14:paraId="3DC6C51F">
            <w:pPr>
              <w:jc w:val="center"/>
              <w:rPr>
                <w:rFonts w:ascii="Times New Roman" w:hAnsi="Times New Roman" w:eastAsia="宋体" w:cs="Times New Roman"/>
                <w:b/>
                <w:szCs w:val="20"/>
              </w:rPr>
            </w:pPr>
            <w:r>
              <w:rPr>
                <w:rFonts w:hint="eastAsia" w:ascii="宋体" w:hAnsi="宋体" w:eastAsia="宋体" w:cs="宋体"/>
                <w:b/>
                <w:szCs w:val="20"/>
              </w:rPr>
              <w:t>招标要求</w:t>
            </w:r>
          </w:p>
        </w:tc>
        <w:tc>
          <w:tcPr>
            <w:tcW w:w="2414" w:type="dxa"/>
            <w:vAlign w:val="center"/>
          </w:tcPr>
          <w:p w14:paraId="0D851B45">
            <w:pPr>
              <w:jc w:val="center"/>
              <w:rPr>
                <w:rFonts w:ascii="Times New Roman" w:hAnsi="Times New Roman" w:eastAsia="宋体" w:cs="Times New Roman"/>
                <w:b/>
                <w:szCs w:val="20"/>
              </w:rPr>
            </w:pPr>
            <w:r>
              <w:rPr>
                <w:rFonts w:hint="eastAsia" w:ascii="宋体" w:hAnsi="宋体" w:eastAsia="宋体" w:cs="宋体"/>
                <w:b/>
                <w:szCs w:val="20"/>
              </w:rPr>
              <w:t>响应规格</w:t>
            </w:r>
          </w:p>
        </w:tc>
        <w:tc>
          <w:tcPr>
            <w:tcW w:w="1608" w:type="dxa"/>
            <w:vAlign w:val="center"/>
          </w:tcPr>
          <w:p w14:paraId="4673D3D9">
            <w:pPr>
              <w:jc w:val="center"/>
              <w:rPr>
                <w:rFonts w:ascii="Times New Roman" w:hAnsi="Times New Roman" w:eastAsia="宋体" w:cs="Times New Roman"/>
                <w:b/>
                <w:szCs w:val="20"/>
              </w:rPr>
            </w:pPr>
            <w:r>
              <w:rPr>
                <w:rFonts w:hint="eastAsia" w:ascii="宋体" w:hAnsi="宋体" w:eastAsia="宋体" w:cs="宋体"/>
                <w:b/>
                <w:szCs w:val="20"/>
              </w:rPr>
              <w:t>是否偏离</w:t>
            </w:r>
          </w:p>
        </w:tc>
      </w:tr>
      <w:tr w14:paraId="6CF22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77338A51">
            <w:pPr>
              <w:jc w:val="center"/>
              <w:rPr>
                <w:rFonts w:ascii="Times New Roman" w:hAnsi="Times New Roman" w:eastAsia="宋体" w:cs="Times New Roman"/>
                <w:b/>
                <w:sz w:val="24"/>
                <w:szCs w:val="20"/>
              </w:rPr>
            </w:pPr>
          </w:p>
        </w:tc>
        <w:tc>
          <w:tcPr>
            <w:tcW w:w="3449" w:type="dxa"/>
          </w:tcPr>
          <w:p w14:paraId="0F4E43E8">
            <w:pPr>
              <w:jc w:val="center"/>
              <w:rPr>
                <w:rFonts w:ascii="Times New Roman" w:hAnsi="Times New Roman" w:eastAsia="宋体" w:cs="Times New Roman"/>
                <w:b/>
                <w:sz w:val="24"/>
                <w:szCs w:val="20"/>
              </w:rPr>
            </w:pPr>
          </w:p>
        </w:tc>
        <w:tc>
          <w:tcPr>
            <w:tcW w:w="2414" w:type="dxa"/>
          </w:tcPr>
          <w:p w14:paraId="488FE622">
            <w:pPr>
              <w:jc w:val="center"/>
              <w:rPr>
                <w:rFonts w:ascii="Times New Roman" w:hAnsi="Times New Roman" w:eastAsia="宋体" w:cs="Times New Roman"/>
                <w:b/>
                <w:sz w:val="24"/>
                <w:szCs w:val="20"/>
              </w:rPr>
            </w:pPr>
          </w:p>
        </w:tc>
        <w:tc>
          <w:tcPr>
            <w:tcW w:w="1608" w:type="dxa"/>
          </w:tcPr>
          <w:p w14:paraId="537C91CC">
            <w:pPr>
              <w:jc w:val="center"/>
              <w:rPr>
                <w:rFonts w:ascii="Times New Roman" w:hAnsi="Times New Roman" w:eastAsia="宋体" w:cs="Times New Roman"/>
                <w:b/>
                <w:sz w:val="24"/>
                <w:szCs w:val="20"/>
              </w:rPr>
            </w:pPr>
          </w:p>
        </w:tc>
      </w:tr>
      <w:tr w14:paraId="1CA4C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216B94A8">
            <w:pPr>
              <w:jc w:val="center"/>
              <w:rPr>
                <w:rFonts w:ascii="Times New Roman" w:hAnsi="Times New Roman" w:eastAsia="宋体" w:cs="Times New Roman"/>
                <w:b/>
                <w:sz w:val="24"/>
                <w:szCs w:val="20"/>
              </w:rPr>
            </w:pPr>
          </w:p>
        </w:tc>
        <w:tc>
          <w:tcPr>
            <w:tcW w:w="3449" w:type="dxa"/>
          </w:tcPr>
          <w:p w14:paraId="3732A435">
            <w:pPr>
              <w:jc w:val="center"/>
              <w:rPr>
                <w:rFonts w:ascii="Times New Roman" w:hAnsi="Times New Roman" w:eastAsia="宋体" w:cs="Times New Roman"/>
                <w:b/>
                <w:sz w:val="24"/>
                <w:szCs w:val="20"/>
              </w:rPr>
            </w:pPr>
          </w:p>
        </w:tc>
        <w:tc>
          <w:tcPr>
            <w:tcW w:w="2414" w:type="dxa"/>
          </w:tcPr>
          <w:p w14:paraId="2CD2616B">
            <w:pPr>
              <w:jc w:val="center"/>
              <w:rPr>
                <w:rFonts w:ascii="Times New Roman" w:hAnsi="Times New Roman" w:eastAsia="宋体" w:cs="Times New Roman"/>
                <w:b/>
                <w:sz w:val="24"/>
                <w:szCs w:val="20"/>
              </w:rPr>
            </w:pPr>
          </w:p>
        </w:tc>
        <w:tc>
          <w:tcPr>
            <w:tcW w:w="1608" w:type="dxa"/>
          </w:tcPr>
          <w:p w14:paraId="1DF00962">
            <w:pPr>
              <w:jc w:val="center"/>
              <w:rPr>
                <w:rFonts w:ascii="Times New Roman" w:hAnsi="Times New Roman" w:eastAsia="宋体" w:cs="Times New Roman"/>
                <w:b/>
                <w:sz w:val="24"/>
                <w:szCs w:val="20"/>
              </w:rPr>
            </w:pPr>
          </w:p>
        </w:tc>
      </w:tr>
      <w:tr w14:paraId="49FD2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77998D5A">
            <w:pPr>
              <w:jc w:val="center"/>
              <w:rPr>
                <w:rFonts w:ascii="Times New Roman" w:hAnsi="Times New Roman" w:eastAsia="宋体" w:cs="Times New Roman"/>
                <w:b/>
                <w:sz w:val="24"/>
                <w:szCs w:val="20"/>
              </w:rPr>
            </w:pPr>
          </w:p>
        </w:tc>
        <w:tc>
          <w:tcPr>
            <w:tcW w:w="3449" w:type="dxa"/>
          </w:tcPr>
          <w:p w14:paraId="58D0ADBB">
            <w:pPr>
              <w:jc w:val="center"/>
              <w:rPr>
                <w:rFonts w:ascii="Times New Roman" w:hAnsi="Times New Roman" w:eastAsia="宋体" w:cs="Times New Roman"/>
                <w:b/>
                <w:sz w:val="24"/>
                <w:szCs w:val="20"/>
              </w:rPr>
            </w:pPr>
          </w:p>
        </w:tc>
        <w:tc>
          <w:tcPr>
            <w:tcW w:w="2414" w:type="dxa"/>
          </w:tcPr>
          <w:p w14:paraId="58A5B879">
            <w:pPr>
              <w:jc w:val="center"/>
              <w:rPr>
                <w:rFonts w:ascii="Times New Roman" w:hAnsi="Times New Roman" w:eastAsia="宋体" w:cs="Times New Roman"/>
                <w:b/>
                <w:sz w:val="24"/>
                <w:szCs w:val="20"/>
              </w:rPr>
            </w:pPr>
          </w:p>
        </w:tc>
        <w:tc>
          <w:tcPr>
            <w:tcW w:w="1608" w:type="dxa"/>
          </w:tcPr>
          <w:p w14:paraId="68A2D61E">
            <w:pPr>
              <w:jc w:val="center"/>
              <w:rPr>
                <w:rFonts w:ascii="Times New Roman" w:hAnsi="Times New Roman" w:eastAsia="宋体" w:cs="Times New Roman"/>
                <w:b/>
                <w:sz w:val="24"/>
                <w:szCs w:val="20"/>
              </w:rPr>
            </w:pPr>
          </w:p>
        </w:tc>
      </w:tr>
      <w:tr w14:paraId="304EB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exact"/>
        </w:trPr>
        <w:tc>
          <w:tcPr>
            <w:tcW w:w="1585" w:type="dxa"/>
          </w:tcPr>
          <w:p w14:paraId="0FC546A9">
            <w:pPr>
              <w:jc w:val="center"/>
              <w:rPr>
                <w:rFonts w:ascii="Times New Roman" w:hAnsi="Times New Roman" w:eastAsia="宋体" w:cs="Times New Roman"/>
                <w:b/>
                <w:sz w:val="24"/>
                <w:szCs w:val="20"/>
              </w:rPr>
            </w:pPr>
          </w:p>
        </w:tc>
        <w:tc>
          <w:tcPr>
            <w:tcW w:w="3449" w:type="dxa"/>
          </w:tcPr>
          <w:p w14:paraId="1E3474DF">
            <w:pPr>
              <w:jc w:val="center"/>
              <w:rPr>
                <w:rFonts w:ascii="Times New Roman" w:hAnsi="Times New Roman" w:eastAsia="宋体" w:cs="Times New Roman"/>
                <w:b/>
                <w:sz w:val="24"/>
                <w:szCs w:val="20"/>
              </w:rPr>
            </w:pPr>
          </w:p>
        </w:tc>
        <w:tc>
          <w:tcPr>
            <w:tcW w:w="2414" w:type="dxa"/>
          </w:tcPr>
          <w:p w14:paraId="5D7460AF">
            <w:pPr>
              <w:jc w:val="center"/>
              <w:rPr>
                <w:rFonts w:ascii="Times New Roman" w:hAnsi="Times New Roman" w:eastAsia="宋体" w:cs="Times New Roman"/>
                <w:b/>
                <w:sz w:val="24"/>
                <w:szCs w:val="20"/>
              </w:rPr>
            </w:pPr>
          </w:p>
        </w:tc>
        <w:tc>
          <w:tcPr>
            <w:tcW w:w="1608" w:type="dxa"/>
          </w:tcPr>
          <w:p w14:paraId="54ADF2F6">
            <w:pPr>
              <w:jc w:val="center"/>
              <w:rPr>
                <w:rFonts w:ascii="Times New Roman" w:hAnsi="Times New Roman" w:eastAsia="宋体" w:cs="Times New Roman"/>
                <w:b/>
                <w:sz w:val="24"/>
                <w:szCs w:val="20"/>
              </w:rPr>
            </w:pPr>
          </w:p>
        </w:tc>
      </w:tr>
      <w:tr w14:paraId="522B6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578D71C1">
            <w:pPr>
              <w:jc w:val="center"/>
              <w:rPr>
                <w:rFonts w:ascii="Times New Roman" w:hAnsi="Times New Roman" w:eastAsia="宋体" w:cs="Times New Roman"/>
                <w:b/>
                <w:sz w:val="24"/>
                <w:szCs w:val="20"/>
              </w:rPr>
            </w:pPr>
          </w:p>
        </w:tc>
        <w:tc>
          <w:tcPr>
            <w:tcW w:w="3449" w:type="dxa"/>
          </w:tcPr>
          <w:p w14:paraId="6851EB74">
            <w:pPr>
              <w:jc w:val="center"/>
              <w:rPr>
                <w:rFonts w:ascii="Times New Roman" w:hAnsi="Times New Roman" w:eastAsia="宋体" w:cs="Times New Roman"/>
                <w:b/>
                <w:sz w:val="24"/>
                <w:szCs w:val="20"/>
              </w:rPr>
            </w:pPr>
          </w:p>
        </w:tc>
        <w:tc>
          <w:tcPr>
            <w:tcW w:w="2414" w:type="dxa"/>
          </w:tcPr>
          <w:p w14:paraId="29C2A206">
            <w:pPr>
              <w:jc w:val="center"/>
              <w:rPr>
                <w:rFonts w:ascii="Times New Roman" w:hAnsi="Times New Roman" w:eastAsia="宋体" w:cs="Times New Roman"/>
                <w:b/>
                <w:sz w:val="24"/>
                <w:szCs w:val="20"/>
              </w:rPr>
            </w:pPr>
          </w:p>
        </w:tc>
        <w:tc>
          <w:tcPr>
            <w:tcW w:w="1608" w:type="dxa"/>
          </w:tcPr>
          <w:p w14:paraId="2ACE94B3">
            <w:pPr>
              <w:jc w:val="center"/>
              <w:rPr>
                <w:rFonts w:ascii="Times New Roman" w:hAnsi="Times New Roman" w:eastAsia="宋体" w:cs="Times New Roman"/>
                <w:b/>
                <w:sz w:val="24"/>
                <w:szCs w:val="20"/>
              </w:rPr>
            </w:pPr>
          </w:p>
        </w:tc>
      </w:tr>
      <w:tr w14:paraId="14FBD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66F4CD8F">
            <w:pPr>
              <w:jc w:val="center"/>
              <w:rPr>
                <w:rFonts w:ascii="Times New Roman" w:hAnsi="Times New Roman" w:eastAsia="宋体" w:cs="Times New Roman"/>
                <w:b/>
                <w:sz w:val="24"/>
                <w:szCs w:val="20"/>
              </w:rPr>
            </w:pPr>
          </w:p>
        </w:tc>
        <w:tc>
          <w:tcPr>
            <w:tcW w:w="3449" w:type="dxa"/>
          </w:tcPr>
          <w:p w14:paraId="587EE74D">
            <w:pPr>
              <w:jc w:val="center"/>
              <w:rPr>
                <w:rFonts w:ascii="Times New Roman" w:hAnsi="Times New Roman" w:eastAsia="宋体" w:cs="Times New Roman"/>
                <w:b/>
                <w:sz w:val="24"/>
                <w:szCs w:val="20"/>
              </w:rPr>
            </w:pPr>
          </w:p>
        </w:tc>
        <w:tc>
          <w:tcPr>
            <w:tcW w:w="2414" w:type="dxa"/>
          </w:tcPr>
          <w:p w14:paraId="177C5495">
            <w:pPr>
              <w:jc w:val="center"/>
              <w:rPr>
                <w:rFonts w:ascii="Times New Roman" w:hAnsi="Times New Roman" w:eastAsia="宋体" w:cs="Times New Roman"/>
                <w:b/>
                <w:sz w:val="24"/>
                <w:szCs w:val="20"/>
              </w:rPr>
            </w:pPr>
          </w:p>
        </w:tc>
        <w:tc>
          <w:tcPr>
            <w:tcW w:w="1608" w:type="dxa"/>
          </w:tcPr>
          <w:p w14:paraId="17C5A947">
            <w:pPr>
              <w:jc w:val="center"/>
              <w:rPr>
                <w:rFonts w:ascii="Times New Roman" w:hAnsi="Times New Roman" w:eastAsia="宋体" w:cs="Times New Roman"/>
                <w:b/>
                <w:sz w:val="24"/>
                <w:szCs w:val="20"/>
              </w:rPr>
            </w:pPr>
          </w:p>
        </w:tc>
      </w:tr>
      <w:tr w14:paraId="6F2BD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1C916547">
            <w:pPr>
              <w:jc w:val="center"/>
              <w:rPr>
                <w:rFonts w:ascii="Times New Roman" w:hAnsi="Times New Roman" w:eastAsia="宋体" w:cs="Times New Roman"/>
                <w:b/>
                <w:sz w:val="24"/>
                <w:szCs w:val="20"/>
              </w:rPr>
            </w:pPr>
          </w:p>
        </w:tc>
        <w:tc>
          <w:tcPr>
            <w:tcW w:w="3449" w:type="dxa"/>
          </w:tcPr>
          <w:p w14:paraId="10E71DED">
            <w:pPr>
              <w:jc w:val="center"/>
              <w:rPr>
                <w:rFonts w:ascii="Times New Roman" w:hAnsi="Times New Roman" w:eastAsia="宋体" w:cs="Times New Roman"/>
                <w:b/>
                <w:sz w:val="24"/>
                <w:szCs w:val="20"/>
              </w:rPr>
            </w:pPr>
          </w:p>
        </w:tc>
        <w:tc>
          <w:tcPr>
            <w:tcW w:w="2414" w:type="dxa"/>
          </w:tcPr>
          <w:p w14:paraId="0D73CB5E">
            <w:pPr>
              <w:jc w:val="center"/>
              <w:rPr>
                <w:rFonts w:ascii="Times New Roman" w:hAnsi="Times New Roman" w:eastAsia="宋体" w:cs="Times New Roman"/>
                <w:b/>
                <w:sz w:val="24"/>
                <w:szCs w:val="20"/>
              </w:rPr>
            </w:pPr>
          </w:p>
        </w:tc>
        <w:tc>
          <w:tcPr>
            <w:tcW w:w="1608" w:type="dxa"/>
          </w:tcPr>
          <w:p w14:paraId="2E4D8674">
            <w:pPr>
              <w:jc w:val="center"/>
              <w:rPr>
                <w:rFonts w:ascii="Times New Roman" w:hAnsi="Times New Roman" w:eastAsia="宋体" w:cs="Times New Roman"/>
                <w:b/>
                <w:sz w:val="24"/>
                <w:szCs w:val="20"/>
              </w:rPr>
            </w:pPr>
          </w:p>
        </w:tc>
      </w:tr>
      <w:tr w14:paraId="28740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7FF8F3AB">
            <w:pPr>
              <w:jc w:val="center"/>
              <w:rPr>
                <w:rFonts w:ascii="Times New Roman" w:hAnsi="Times New Roman" w:eastAsia="宋体" w:cs="Times New Roman"/>
                <w:b/>
                <w:sz w:val="24"/>
                <w:szCs w:val="20"/>
              </w:rPr>
            </w:pPr>
          </w:p>
        </w:tc>
        <w:tc>
          <w:tcPr>
            <w:tcW w:w="3449" w:type="dxa"/>
          </w:tcPr>
          <w:p w14:paraId="0CA8D0D9">
            <w:pPr>
              <w:jc w:val="center"/>
              <w:rPr>
                <w:rFonts w:ascii="Times New Roman" w:hAnsi="Times New Roman" w:eastAsia="宋体" w:cs="Times New Roman"/>
                <w:b/>
                <w:sz w:val="24"/>
                <w:szCs w:val="20"/>
              </w:rPr>
            </w:pPr>
          </w:p>
        </w:tc>
        <w:tc>
          <w:tcPr>
            <w:tcW w:w="2414" w:type="dxa"/>
          </w:tcPr>
          <w:p w14:paraId="4360D3B2">
            <w:pPr>
              <w:jc w:val="center"/>
              <w:rPr>
                <w:rFonts w:ascii="Times New Roman" w:hAnsi="Times New Roman" w:eastAsia="宋体" w:cs="Times New Roman"/>
                <w:b/>
                <w:sz w:val="24"/>
                <w:szCs w:val="20"/>
              </w:rPr>
            </w:pPr>
          </w:p>
        </w:tc>
        <w:tc>
          <w:tcPr>
            <w:tcW w:w="1608" w:type="dxa"/>
          </w:tcPr>
          <w:p w14:paraId="74A63CB6">
            <w:pPr>
              <w:jc w:val="center"/>
              <w:rPr>
                <w:rFonts w:ascii="Times New Roman" w:hAnsi="Times New Roman" w:eastAsia="宋体" w:cs="Times New Roman"/>
                <w:b/>
                <w:sz w:val="24"/>
                <w:szCs w:val="20"/>
              </w:rPr>
            </w:pPr>
          </w:p>
        </w:tc>
      </w:tr>
      <w:tr w14:paraId="25208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05FB7C0B">
            <w:pPr>
              <w:jc w:val="center"/>
              <w:rPr>
                <w:rFonts w:ascii="Times New Roman" w:hAnsi="Times New Roman" w:eastAsia="宋体" w:cs="Times New Roman"/>
                <w:b/>
                <w:sz w:val="24"/>
                <w:szCs w:val="20"/>
              </w:rPr>
            </w:pPr>
          </w:p>
        </w:tc>
        <w:tc>
          <w:tcPr>
            <w:tcW w:w="3449" w:type="dxa"/>
          </w:tcPr>
          <w:p w14:paraId="1BD26028">
            <w:pPr>
              <w:jc w:val="center"/>
              <w:rPr>
                <w:rFonts w:ascii="Times New Roman" w:hAnsi="Times New Roman" w:eastAsia="宋体" w:cs="Times New Roman"/>
                <w:b/>
                <w:sz w:val="24"/>
                <w:szCs w:val="20"/>
              </w:rPr>
            </w:pPr>
          </w:p>
        </w:tc>
        <w:tc>
          <w:tcPr>
            <w:tcW w:w="2414" w:type="dxa"/>
          </w:tcPr>
          <w:p w14:paraId="70BF8DCF">
            <w:pPr>
              <w:jc w:val="center"/>
              <w:rPr>
                <w:rFonts w:ascii="Times New Roman" w:hAnsi="Times New Roman" w:eastAsia="宋体" w:cs="Times New Roman"/>
                <w:b/>
                <w:sz w:val="24"/>
                <w:szCs w:val="20"/>
              </w:rPr>
            </w:pPr>
          </w:p>
        </w:tc>
        <w:tc>
          <w:tcPr>
            <w:tcW w:w="1608" w:type="dxa"/>
          </w:tcPr>
          <w:p w14:paraId="7FB02FA3">
            <w:pPr>
              <w:jc w:val="center"/>
              <w:rPr>
                <w:rFonts w:ascii="Times New Roman" w:hAnsi="Times New Roman" w:eastAsia="宋体" w:cs="Times New Roman"/>
                <w:b/>
                <w:sz w:val="24"/>
                <w:szCs w:val="20"/>
              </w:rPr>
            </w:pPr>
          </w:p>
        </w:tc>
      </w:tr>
      <w:tr w14:paraId="13422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6AF6DA19">
            <w:pPr>
              <w:jc w:val="center"/>
              <w:rPr>
                <w:rFonts w:ascii="Times New Roman" w:hAnsi="Times New Roman" w:eastAsia="宋体" w:cs="Times New Roman"/>
                <w:b/>
                <w:sz w:val="24"/>
                <w:szCs w:val="20"/>
              </w:rPr>
            </w:pPr>
          </w:p>
        </w:tc>
        <w:tc>
          <w:tcPr>
            <w:tcW w:w="3449" w:type="dxa"/>
          </w:tcPr>
          <w:p w14:paraId="1B19E752">
            <w:pPr>
              <w:jc w:val="center"/>
              <w:rPr>
                <w:rFonts w:ascii="Times New Roman" w:hAnsi="Times New Roman" w:eastAsia="宋体" w:cs="Times New Roman"/>
                <w:b/>
                <w:sz w:val="24"/>
                <w:szCs w:val="20"/>
              </w:rPr>
            </w:pPr>
          </w:p>
        </w:tc>
        <w:tc>
          <w:tcPr>
            <w:tcW w:w="2414" w:type="dxa"/>
          </w:tcPr>
          <w:p w14:paraId="4BCC008B">
            <w:pPr>
              <w:jc w:val="center"/>
              <w:rPr>
                <w:rFonts w:ascii="Times New Roman" w:hAnsi="Times New Roman" w:eastAsia="宋体" w:cs="Times New Roman"/>
                <w:b/>
                <w:sz w:val="24"/>
                <w:szCs w:val="20"/>
              </w:rPr>
            </w:pPr>
          </w:p>
        </w:tc>
        <w:tc>
          <w:tcPr>
            <w:tcW w:w="1608" w:type="dxa"/>
          </w:tcPr>
          <w:p w14:paraId="6C3DA079">
            <w:pPr>
              <w:jc w:val="center"/>
              <w:rPr>
                <w:rFonts w:ascii="Times New Roman" w:hAnsi="Times New Roman" w:eastAsia="宋体" w:cs="Times New Roman"/>
                <w:b/>
                <w:sz w:val="24"/>
                <w:szCs w:val="20"/>
              </w:rPr>
            </w:pPr>
          </w:p>
        </w:tc>
      </w:tr>
      <w:tr w14:paraId="0AD1C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6B3F66B2">
            <w:pPr>
              <w:jc w:val="center"/>
              <w:rPr>
                <w:rFonts w:ascii="Times New Roman" w:hAnsi="Times New Roman" w:eastAsia="宋体" w:cs="Times New Roman"/>
                <w:b/>
                <w:sz w:val="24"/>
                <w:szCs w:val="20"/>
              </w:rPr>
            </w:pPr>
          </w:p>
        </w:tc>
        <w:tc>
          <w:tcPr>
            <w:tcW w:w="3449" w:type="dxa"/>
          </w:tcPr>
          <w:p w14:paraId="7A53BDA3">
            <w:pPr>
              <w:jc w:val="center"/>
              <w:rPr>
                <w:rFonts w:ascii="Times New Roman" w:hAnsi="Times New Roman" w:eastAsia="宋体" w:cs="Times New Roman"/>
                <w:b/>
                <w:sz w:val="24"/>
                <w:szCs w:val="20"/>
              </w:rPr>
            </w:pPr>
          </w:p>
        </w:tc>
        <w:tc>
          <w:tcPr>
            <w:tcW w:w="2414" w:type="dxa"/>
          </w:tcPr>
          <w:p w14:paraId="799F0388">
            <w:pPr>
              <w:jc w:val="center"/>
              <w:rPr>
                <w:rFonts w:ascii="Times New Roman" w:hAnsi="Times New Roman" w:eastAsia="宋体" w:cs="Times New Roman"/>
                <w:b/>
                <w:sz w:val="24"/>
                <w:szCs w:val="20"/>
              </w:rPr>
            </w:pPr>
          </w:p>
        </w:tc>
        <w:tc>
          <w:tcPr>
            <w:tcW w:w="1608" w:type="dxa"/>
          </w:tcPr>
          <w:p w14:paraId="64577935">
            <w:pPr>
              <w:jc w:val="center"/>
              <w:rPr>
                <w:rFonts w:ascii="Times New Roman" w:hAnsi="Times New Roman" w:eastAsia="宋体" w:cs="Times New Roman"/>
                <w:b/>
                <w:sz w:val="24"/>
                <w:szCs w:val="20"/>
              </w:rPr>
            </w:pPr>
          </w:p>
        </w:tc>
      </w:tr>
      <w:tr w14:paraId="2474D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2D279A5B">
            <w:pPr>
              <w:jc w:val="center"/>
              <w:rPr>
                <w:rFonts w:ascii="Times New Roman" w:hAnsi="Times New Roman" w:eastAsia="宋体" w:cs="Times New Roman"/>
                <w:b/>
                <w:sz w:val="24"/>
                <w:szCs w:val="20"/>
              </w:rPr>
            </w:pPr>
          </w:p>
        </w:tc>
        <w:tc>
          <w:tcPr>
            <w:tcW w:w="3449" w:type="dxa"/>
          </w:tcPr>
          <w:p w14:paraId="63596228">
            <w:pPr>
              <w:jc w:val="center"/>
              <w:rPr>
                <w:rFonts w:ascii="Times New Roman" w:hAnsi="Times New Roman" w:eastAsia="宋体" w:cs="Times New Roman"/>
                <w:b/>
                <w:sz w:val="24"/>
                <w:szCs w:val="20"/>
              </w:rPr>
            </w:pPr>
          </w:p>
        </w:tc>
        <w:tc>
          <w:tcPr>
            <w:tcW w:w="2414" w:type="dxa"/>
          </w:tcPr>
          <w:p w14:paraId="77179535">
            <w:pPr>
              <w:jc w:val="center"/>
              <w:rPr>
                <w:rFonts w:ascii="Times New Roman" w:hAnsi="Times New Roman" w:eastAsia="宋体" w:cs="Times New Roman"/>
                <w:b/>
                <w:sz w:val="24"/>
                <w:szCs w:val="20"/>
              </w:rPr>
            </w:pPr>
          </w:p>
        </w:tc>
        <w:tc>
          <w:tcPr>
            <w:tcW w:w="1608" w:type="dxa"/>
          </w:tcPr>
          <w:p w14:paraId="5EC41C0C">
            <w:pPr>
              <w:jc w:val="center"/>
              <w:rPr>
                <w:rFonts w:ascii="Times New Roman" w:hAnsi="Times New Roman" w:eastAsia="宋体" w:cs="Times New Roman"/>
                <w:b/>
                <w:sz w:val="24"/>
                <w:szCs w:val="20"/>
              </w:rPr>
            </w:pPr>
          </w:p>
        </w:tc>
      </w:tr>
      <w:tr w14:paraId="61873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30EA3D9D">
            <w:pPr>
              <w:jc w:val="center"/>
              <w:rPr>
                <w:rFonts w:ascii="Times New Roman" w:hAnsi="Times New Roman" w:eastAsia="宋体" w:cs="Times New Roman"/>
                <w:b/>
                <w:sz w:val="24"/>
                <w:szCs w:val="20"/>
              </w:rPr>
            </w:pPr>
          </w:p>
        </w:tc>
        <w:tc>
          <w:tcPr>
            <w:tcW w:w="3449" w:type="dxa"/>
          </w:tcPr>
          <w:p w14:paraId="254A83BB">
            <w:pPr>
              <w:jc w:val="center"/>
              <w:rPr>
                <w:rFonts w:ascii="Times New Roman" w:hAnsi="Times New Roman" w:eastAsia="宋体" w:cs="Times New Roman"/>
                <w:b/>
                <w:sz w:val="24"/>
                <w:szCs w:val="20"/>
              </w:rPr>
            </w:pPr>
          </w:p>
        </w:tc>
        <w:tc>
          <w:tcPr>
            <w:tcW w:w="2414" w:type="dxa"/>
          </w:tcPr>
          <w:p w14:paraId="36AC72A7">
            <w:pPr>
              <w:jc w:val="center"/>
              <w:rPr>
                <w:rFonts w:ascii="Times New Roman" w:hAnsi="Times New Roman" w:eastAsia="宋体" w:cs="Times New Roman"/>
                <w:b/>
                <w:sz w:val="24"/>
                <w:szCs w:val="20"/>
              </w:rPr>
            </w:pPr>
          </w:p>
        </w:tc>
        <w:tc>
          <w:tcPr>
            <w:tcW w:w="1608" w:type="dxa"/>
          </w:tcPr>
          <w:p w14:paraId="10B742B8">
            <w:pPr>
              <w:jc w:val="center"/>
              <w:rPr>
                <w:rFonts w:ascii="Times New Roman" w:hAnsi="Times New Roman" w:eastAsia="宋体" w:cs="Times New Roman"/>
                <w:b/>
                <w:sz w:val="24"/>
                <w:szCs w:val="20"/>
              </w:rPr>
            </w:pPr>
          </w:p>
        </w:tc>
      </w:tr>
      <w:tr w14:paraId="075ED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1C230251">
            <w:pPr>
              <w:jc w:val="center"/>
              <w:rPr>
                <w:rFonts w:ascii="Times New Roman" w:hAnsi="Times New Roman" w:eastAsia="宋体" w:cs="Times New Roman"/>
                <w:b/>
                <w:sz w:val="24"/>
                <w:szCs w:val="20"/>
              </w:rPr>
            </w:pPr>
          </w:p>
        </w:tc>
        <w:tc>
          <w:tcPr>
            <w:tcW w:w="3449" w:type="dxa"/>
          </w:tcPr>
          <w:p w14:paraId="061CAB0E">
            <w:pPr>
              <w:jc w:val="center"/>
              <w:rPr>
                <w:rFonts w:ascii="Times New Roman" w:hAnsi="Times New Roman" w:eastAsia="宋体" w:cs="Times New Roman"/>
                <w:b/>
                <w:sz w:val="24"/>
                <w:szCs w:val="20"/>
              </w:rPr>
            </w:pPr>
          </w:p>
        </w:tc>
        <w:tc>
          <w:tcPr>
            <w:tcW w:w="2414" w:type="dxa"/>
          </w:tcPr>
          <w:p w14:paraId="14DAF275">
            <w:pPr>
              <w:jc w:val="center"/>
              <w:rPr>
                <w:rFonts w:ascii="Times New Roman" w:hAnsi="Times New Roman" w:eastAsia="宋体" w:cs="Times New Roman"/>
                <w:b/>
                <w:sz w:val="24"/>
                <w:szCs w:val="20"/>
              </w:rPr>
            </w:pPr>
          </w:p>
        </w:tc>
        <w:tc>
          <w:tcPr>
            <w:tcW w:w="1608" w:type="dxa"/>
          </w:tcPr>
          <w:p w14:paraId="2E943916">
            <w:pPr>
              <w:jc w:val="center"/>
              <w:rPr>
                <w:rFonts w:ascii="Times New Roman" w:hAnsi="Times New Roman" w:eastAsia="宋体" w:cs="Times New Roman"/>
                <w:b/>
                <w:sz w:val="24"/>
                <w:szCs w:val="20"/>
              </w:rPr>
            </w:pPr>
          </w:p>
        </w:tc>
      </w:tr>
    </w:tbl>
    <w:p w14:paraId="5D992811">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57A2F535">
      <w:pPr>
        <w:spacing w:line="660" w:lineRule="exact"/>
        <w:rPr>
          <w:rFonts w:ascii="宋体" w:hAnsi="宋体" w:eastAsia="宋体" w:cs="Times New Roman"/>
          <w:sz w:val="24"/>
          <w:szCs w:val="20"/>
        </w:rPr>
      </w:pPr>
      <w:r>
        <w:rPr>
          <w:rFonts w:hint="eastAsia" w:ascii="宋体" w:hAnsi="宋体" w:eastAsia="宋体" w:cs="Times New Roman"/>
          <w:sz w:val="24"/>
          <w:szCs w:val="20"/>
        </w:rPr>
        <w:t>法定代表人（委托代理人）：（签字）</w:t>
      </w:r>
    </w:p>
    <w:p w14:paraId="7707E240">
      <w:pPr>
        <w:spacing w:line="660" w:lineRule="exact"/>
        <w:rPr>
          <w:rFonts w:ascii="宋体" w:hAnsi="宋体" w:eastAsia="宋体" w:cs="Times New Roman"/>
          <w:sz w:val="24"/>
          <w:szCs w:val="20"/>
        </w:rPr>
      </w:pPr>
      <w:r>
        <w:rPr>
          <w:rFonts w:ascii="宋体" w:hAnsi="宋体" w:eastAsia="宋体" w:cs="Times New Roman"/>
          <w:sz w:val="24"/>
          <w:szCs w:val="20"/>
        </w:rPr>
        <w:br w:type="page"/>
      </w:r>
    </w:p>
    <w:p w14:paraId="6B28AAA2">
      <w:pPr>
        <w:spacing w:line="660" w:lineRule="exact"/>
        <w:rPr>
          <w:rFonts w:ascii="宋体" w:hAnsi="Calibri" w:eastAsia="宋体" w:cs="Times New Roman"/>
          <w:sz w:val="24"/>
          <w:szCs w:val="20"/>
        </w:rPr>
      </w:pPr>
    </w:p>
    <w:p w14:paraId="70391524">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附件6</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 xml:space="preserve"> 202</w:t>
      </w:r>
      <w:r>
        <w:rPr>
          <w:rFonts w:ascii="Times New Roman" w:hAnsi="Times New Roman" w:eastAsia="宋体" w:cs="Times New Roman"/>
          <w:b/>
          <w:bCs/>
          <w:color w:val="000000"/>
          <w:sz w:val="24"/>
          <w:szCs w:val="24"/>
        </w:rPr>
        <w:t>1</w:t>
      </w:r>
      <w:r>
        <w:rPr>
          <w:rFonts w:hint="eastAsia" w:ascii="Times New Roman" w:hAnsi="Times New Roman" w:eastAsia="宋体" w:cs="Times New Roman"/>
          <w:b/>
          <w:bCs/>
          <w:color w:val="000000"/>
          <w:sz w:val="24"/>
          <w:szCs w:val="24"/>
        </w:rPr>
        <w:t>年1月1日至今同类项目业绩一览表</w:t>
      </w:r>
    </w:p>
    <w:p w14:paraId="58ECFF63">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eastAsia" w:ascii="宋体" w:hAnsi="宋体" w:eastAsia="宋体" w:cs="宋体"/>
          <w:sz w:val="24"/>
          <w:szCs w:val="24"/>
          <w:u w:val="single"/>
        </w:rPr>
        <w:t xml:space="preserve"> </w:t>
      </w:r>
      <w:r>
        <w:rPr>
          <w:rFonts w:ascii="宋体" w:hAnsi="宋体" w:eastAsia="宋体" w:cs="宋体"/>
          <w:sz w:val="24"/>
          <w:szCs w:val="24"/>
          <w:u w:val="single"/>
        </w:rPr>
        <w:t xml:space="preserve">           </w:t>
      </w:r>
      <w:r>
        <w:rPr>
          <w:rFonts w:ascii="宋体" w:hAnsi="宋体" w:eastAsia="宋体" w:cs="Times New Roman"/>
          <w:color w:val="000000"/>
          <w:sz w:val="24"/>
          <w:szCs w:val="24"/>
        </w:rPr>
        <w:t xml:space="preserve">                                                             </w:t>
      </w:r>
    </w:p>
    <w:tbl>
      <w:tblPr>
        <w:tblStyle w:val="42"/>
        <w:tblW w:w="90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0"/>
        <w:gridCol w:w="2082"/>
        <w:gridCol w:w="1355"/>
        <w:gridCol w:w="826"/>
        <w:gridCol w:w="1320"/>
        <w:gridCol w:w="1023"/>
        <w:gridCol w:w="1590"/>
      </w:tblGrid>
      <w:tr w14:paraId="12F90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vAlign w:val="center"/>
          </w:tcPr>
          <w:p w14:paraId="170E55CE">
            <w:pPr>
              <w:ind w:left="420" w:hanging="420"/>
              <w:jc w:val="center"/>
              <w:rPr>
                <w:rFonts w:ascii="宋体" w:hAnsi="Times New Roman" w:eastAsia="宋体" w:cs="Times New Roman"/>
                <w:b/>
                <w:szCs w:val="21"/>
              </w:rPr>
            </w:pPr>
            <w:r>
              <w:rPr>
                <w:rFonts w:hint="eastAsia" w:ascii="宋体" w:hAnsi="宋体" w:eastAsia="宋体" w:cs="Times New Roman"/>
                <w:b/>
                <w:szCs w:val="21"/>
              </w:rPr>
              <w:t>序号</w:t>
            </w:r>
          </w:p>
        </w:tc>
        <w:tc>
          <w:tcPr>
            <w:tcW w:w="2082" w:type="dxa"/>
            <w:vAlign w:val="center"/>
          </w:tcPr>
          <w:p w14:paraId="1BFE7556">
            <w:pPr>
              <w:ind w:left="420" w:hanging="420"/>
              <w:jc w:val="center"/>
              <w:rPr>
                <w:rFonts w:ascii="宋体" w:hAnsi="Times New Roman" w:eastAsia="宋体" w:cs="Times New Roman"/>
                <w:b/>
                <w:szCs w:val="21"/>
              </w:rPr>
            </w:pPr>
            <w:r>
              <w:rPr>
                <w:rFonts w:hint="eastAsia" w:ascii="宋体" w:hAnsi="宋体" w:eastAsia="宋体" w:cs="Times New Roman"/>
                <w:b/>
                <w:szCs w:val="21"/>
              </w:rPr>
              <w:t>采购单位</w:t>
            </w:r>
          </w:p>
        </w:tc>
        <w:tc>
          <w:tcPr>
            <w:tcW w:w="1355" w:type="dxa"/>
            <w:vAlign w:val="center"/>
          </w:tcPr>
          <w:p w14:paraId="0BE8323F">
            <w:pPr>
              <w:ind w:left="420" w:hanging="420"/>
              <w:jc w:val="center"/>
              <w:rPr>
                <w:rFonts w:ascii="宋体" w:hAnsi="Times New Roman" w:eastAsia="宋体" w:cs="Times New Roman"/>
                <w:b/>
                <w:szCs w:val="21"/>
              </w:rPr>
            </w:pPr>
            <w:r>
              <w:rPr>
                <w:rFonts w:hint="eastAsia" w:ascii="宋体" w:hAnsi="宋体" w:eastAsia="宋体" w:cs="Times New Roman"/>
                <w:b/>
                <w:szCs w:val="21"/>
              </w:rPr>
              <w:t>项目名称</w:t>
            </w:r>
          </w:p>
          <w:p w14:paraId="65DC51BB">
            <w:pPr>
              <w:ind w:left="420" w:hanging="420"/>
              <w:jc w:val="center"/>
              <w:rPr>
                <w:rFonts w:ascii="宋体" w:hAnsi="Times New Roman" w:eastAsia="宋体" w:cs="Times New Roman"/>
                <w:b/>
                <w:szCs w:val="21"/>
              </w:rPr>
            </w:pPr>
            <w:r>
              <w:rPr>
                <w:rFonts w:hint="eastAsia" w:ascii="宋体" w:hAnsi="宋体" w:eastAsia="宋体" w:cs="Times New Roman"/>
                <w:b/>
                <w:szCs w:val="21"/>
              </w:rPr>
              <w:t>（万元）</w:t>
            </w:r>
          </w:p>
        </w:tc>
        <w:tc>
          <w:tcPr>
            <w:tcW w:w="826" w:type="dxa"/>
            <w:vAlign w:val="center"/>
          </w:tcPr>
          <w:p w14:paraId="503871A3">
            <w:pPr>
              <w:jc w:val="center"/>
              <w:rPr>
                <w:rFonts w:ascii="宋体" w:hAnsi="Times New Roman" w:eastAsia="宋体" w:cs="Times New Roman"/>
                <w:b/>
                <w:szCs w:val="21"/>
              </w:rPr>
            </w:pPr>
            <w:r>
              <w:rPr>
                <w:rFonts w:hint="eastAsia" w:ascii="宋体" w:hAnsi="宋体" w:eastAsia="宋体" w:cs="Times New Roman"/>
                <w:b/>
                <w:szCs w:val="21"/>
              </w:rPr>
              <w:t>数量</w:t>
            </w:r>
          </w:p>
        </w:tc>
        <w:tc>
          <w:tcPr>
            <w:tcW w:w="1320" w:type="dxa"/>
            <w:vAlign w:val="center"/>
          </w:tcPr>
          <w:p w14:paraId="206C59FA">
            <w:pPr>
              <w:jc w:val="center"/>
              <w:rPr>
                <w:rFonts w:ascii="宋体" w:hAnsi="Times New Roman" w:eastAsia="宋体" w:cs="Times New Roman"/>
                <w:b/>
                <w:szCs w:val="21"/>
              </w:rPr>
            </w:pPr>
            <w:r>
              <w:rPr>
                <w:rFonts w:hint="eastAsia" w:ascii="宋体" w:hAnsi="宋体" w:eastAsia="宋体" w:cs="Times New Roman"/>
                <w:b/>
                <w:szCs w:val="21"/>
              </w:rPr>
              <w:t>合同金额</w:t>
            </w:r>
          </w:p>
        </w:tc>
        <w:tc>
          <w:tcPr>
            <w:tcW w:w="1023" w:type="dxa"/>
            <w:vAlign w:val="center"/>
          </w:tcPr>
          <w:p w14:paraId="77C4848A">
            <w:pPr>
              <w:jc w:val="center"/>
              <w:rPr>
                <w:rFonts w:ascii="宋体" w:hAnsi="Times New Roman" w:eastAsia="宋体" w:cs="Times New Roman"/>
                <w:b/>
                <w:szCs w:val="21"/>
              </w:rPr>
            </w:pPr>
            <w:r>
              <w:rPr>
                <w:rFonts w:hint="eastAsia" w:ascii="宋体" w:hAnsi="宋体" w:eastAsia="宋体" w:cs="Times New Roman"/>
                <w:b/>
                <w:szCs w:val="21"/>
              </w:rPr>
              <w:t>合同签订时间</w:t>
            </w:r>
          </w:p>
        </w:tc>
        <w:tc>
          <w:tcPr>
            <w:tcW w:w="1590" w:type="dxa"/>
            <w:vAlign w:val="center"/>
          </w:tcPr>
          <w:p w14:paraId="491D8F3A">
            <w:pPr>
              <w:ind w:left="420" w:hanging="420"/>
              <w:jc w:val="center"/>
              <w:rPr>
                <w:rFonts w:ascii="宋体" w:hAnsi="Times New Roman" w:eastAsia="宋体" w:cs="Times New Roman"/>
                <w:b/>
                <w:szCs w:val="21"/>
              </w:rPr>
            </w:pPr>
            <w:r>
              <w:rPr>
                <w:rFonts w:hint="eastAsia" w:ascii="宋体" w:hAnsi="宋体" w:eastAsia="宋体" w:cs="Times New Roman"/>
                <w:b/>
                <w:szCs w:val="21"/>
              </w:rPr>
              <w:t>联系人及</w:t>
            </w:r>
          </w:p>
          <w:p w14:paraId="0E0C8FE5">
            <w:pPr>
              <w:ind w:left="420" w:hanging="420"/>
              <w:jc w:val="center"/>
              <w:rPr>
                <w:rFonts w:ascii="宋体" w:hAnsi="Times New Roman" w:eastAsia="宋体" w:cs="Times New Roman"/>
                <w:b/>
                <w:szCs w:val="21"/>
              </w:rPr>
            </w:pPr>
            <w:r>
              <w:rPr>
                <w:rFonts w:hint="eastAsia" w:ascii="宋体" w:hAnsi="宋体" w:eastAsia="宋体" w:cs="Times New Roman"/>
                <w:b/>
                <w:szCs w:val="21"/>
              </w:rPr>
              <w:t>联系电话</w:t>
            </w:r>
          </w:p>
        </w:tc>
      </w:tr>
      <w:tr w14:paraId="4BCCD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7672B392">
            <w:pPr>
              <w:ind w:left="420" w:hanging="420"/>
              <w:rPr>
                <w:rFonts w:ascii="宋体" w:hAnsi="Times New Roman" w:eastAsia="宋体" w:cs="Times New Roman"/>
                <w:b/>
                <w:szCs w:val="20"/>
              </w:rPr>
            </w:pPr>
          </w:p>
        </w:tc>
        <w:tc>
          <w:tcPr>
            <w:tcW w:w="2082" w:type="dxa"/>
          </w:tcPr>
          <w:p w14:paraId="295FE9D1">
            <w:pPr>
              <w:ind w:left="420" w:hanging="420"/>
              <w:rPr>
                <w:rFonts w:ascii="宋体" w:hAnsi="Times New Roman" w:eastAsia="宋体" w:cs="Times New Roman"/>
                <w:b/>
                <w:szCs w:val="20"/>
              </w:rPr>
            </w:pPr>
          </w:p>
        </w:tc>
        <w:tc>
          <w:tcPr>
            <w:tcW w:w="1355" w:type="dxa"/>
          </w:tcPr>
          <w:p w14:paraId="5F99C17A">
            <w:pPr>
              <w:ind w:left="420" w:hanging="420"/>
              <w:rPr>
                <w:rFonts w:ascii="宋体" w:hAnsi="Times New Roman" w:eastAsia="宋体" w:cs="Times New Roman"/>
                <w:b/>
                <w:szCs w:val="20"/>
              </w:rPr>
            </w:pPr>
          </w:p>
        </w:tc>
        <w:tc>
          <w:tcPr>
            <w:tcW w:w="826" w:type="dxa"/>
          </w:tcPr>
          <w:p w14:paraId="28A05B42">
            <w:pPr>
              <w:ind w:left="420" w:hanging="420"/>
              <w:rPr>
                <w:rFonts w:ascii="宋体" w:hAnsi="Times New Roman" w:eastAsia="宋体" w:cs="Times New Roman"/>
                <w:b/>
                <w:szCs w:val="20"/>
              </w:rPr>
            </w:pPr>
          </w:p>
        </w:tc>
        <w:tc>
          <w:tcPr>
            <w:tcW w:w="1320" w:type="dxa"/>
          </w:tcPr>
          <w:p w14:paraId="2AD9C912">
            <w:pPr>
              <w:ind w:left="420" w:hanging="420"/>
              <w:rPr>
                <w:rFonts w:ascii="宋体" w:hAnsi="Times New Roman" w:eastAsia="宋体" w:cs="Times New Roman"/>
                <w:b/>
                <w:szCs w:val="20"/>
              </w:rPr>
            </w:pPr>
          </w:p>
        </w:tc>
        <w:tc>
          <w:tcPr>
            <w:tcW w:w="1023" w:type="dxa"/>
          </w:tcPr>
          <w:p w14:paraId="00038611">
            <w:pPr>
              <w:ind w:left="420" w:hanging="420"/>
              <w:rPr>
                <w:rFonts w:ascii="宋体" w:hAnsi="Times New Roman" w:eastAsia="宋体" w:cs="Times New Roman"/>
                <w:b/>
                <w:szCs w:val="20"/>
              </w:rPr>
            </w:pPr>
          </w:p>
        </w:tc>
        <w:tc>
          <w:tcPr>
            <w:tcW w:w="1590" w:type="dxa"/>
          </w:tcPr>
          <w:p w14:paraId="223AFB71">
            <w:pPr>
              <w:ind w:left="420" w:hanging="420"/>
              <w:rPr>
                <w:rFonts w:ascii="宋体" w:hAnsi="Times New Roman" w:eastAsia="宋体" w:cs="Times New Roman"/>
                <w:b/>
                <w:szCs w:val="20"/>
              </w:rPr>
            </w:pPr>
          </w:p>
        </w:tc>
      </w:tr>
      <w:tr w14:paraId="65AEF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0CC299B4">
            <w:pPr>
              <w:ind w:left="420" w:hanging="420"/>
              <w:rPr>
                <w:rFonts w:ascii="宋体" w:hAnsi="Times New Roman" w:eastAsia="宋体" w:cs="Times New Roman"/>
                <w:b/>
                <w:szCs w:val="20"/>
              </w:rPr>
            </w:pPr>
          </w:p>
        </w:tc>
        <w:tc>
          <w:tcPr>
            <w:tcW w:w="2082" w:type="dxa"/>
          </w:tcPr>
          <w:p w14:paraId="208F5546">
            <w:pPr>
              <w:ind w:left="420" w:hanging="420"/>
              <w:rPr>
                <w:rFonts w:ascii="宋体" w:hAnsi="Times New Roman" w:eastAsia="宋体" w:cs="Times New Roman"/>
                <w:b/>
                <w:szCs w:val="20"/>
              </w:rPr>
            </w:pPr>
          </w:p>
        </w:tc>
        <w:tc>
          <w:tcPr>
            <w:tcW w:w="1355" w:type="dxa"/>
          </w:tcPr>
          <w:p w14:paraId="35C731D3">
            <w:pPr>
              <w:ind w:left="420" w:hanging="420"/>
              <w:rPr>
                <w:rFonts w:ascii="宋体" w:hAnsi="Times New Roman" w:eastAsia="宋体" w:cs="Times New Roman"/>
                <w:b/>
                <w:szCs w:val="20"/>
              </w:rPr>
            </w:pPr>
          </w:p>
        </w:tc>
        <w:tc>
          <w:tcPr>
            <w:tcW w:w="826" w:type="dxa"/>
          </w:tcPr>
          <w:p w14:paraId="35CF4BDC">
            <w:pPr>
              <w:ind w:left="420" w:hanging="420"/>
              <w:rPr>
                <w:rFonts w:ascii="宋体" w:hAnsi="Times New Roman" w:eastAsia="宋体" w:cs="Times New Roman"/>
                <w:b/>
                <w:szCs w:val="20"/>
              </w:rPr>
            </w:pPr>
          </w:p>
        </w:tc>
        <w:tc>
          <w:tcPr>
            <w:tcW w:w="1320" w:type="dxa"/>
          </w:tcPr>
          <w:p w14:paraId="6C9E1973">
            <w:pPr>
              <w:ind w:left="420" w:hanging="420"/>
              <w:rPr>
                <w:rFonts w:ascii="宋体" w:hAnsi="Times New Roman" w:eastAsia="宋体" w:cs="Times New Roman"/>
                <w:b/>
                <w:szCs w:val="20"/>
              </w:rPr>
            </w:pPr>
          </w:p>
        </w:tc>
        <w:tc>
          <w:tcPr>
            <w:tcW w:w="1023" w:type="dxa"/>
          </w:tcPr>
          <w:p w14:paraId="08434B83">
            <w:pPr>
              <w:ind w:left="420" w:hanging="420"/>
              <w:rPr>
                <w:rFonts w:ascii="宋体" w:hAnsi="Times New Roman" w:eastAsia="宋体" w:cs="Times New Roman"/>
                <w:b/>
                <w:szCs w:val="20"/>
              </w:rPr>
            </w:pPr>
          </w:p>
        </w:tc>
        <w:tc>
          <w:tcPr>
            <w:tcW w:w="1590" w:type="dxa"/>
          </w:tcPr>
          <w:p w14:paraId="18B4A873">
            <w:pPr>
              <w:ind w:left="420" w:hanging="420"/>
              <w:rPr>
                <w:rFonts w:ascii="宋体" w:hAnsi="Times New Roman" w:eastAsia="宋体" w:cs="Times New Roman"/>
                <w:b/>
                <w:szCs w:val="20"/>
              </w:rPr>
            </w:pPr>
          </w:p>
        </w:tc>
      </w:tr>
      <w:tr w14:paraId="4238F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056CDD7C">
            <w:pPr>
              <w:ind w:left="420" w:hanging="420"/>
              <w:rPr>
                <w:rFonts w:ascii="宋体" w:hAnsi="Times New Roman" w:eastAsia="宋体" w:cs="Times New Roman"/>
                <w:b/>
                <w:szCs w:val="20"/>
              </w:rPr>
            </w:pPr>
          </w:p>
        </w:tc>
        <w:tc>
          <w:tcPr>
            <w:tcW w:w="2082" w:type="dxa"/>
          </w:tcPr>
          <w:p w14:paraId="3C799F16">
            <w:pPr>
              <w:ind w:left="420" w:hanging="420"/>
              <w:rPr>
                <w:rFonts w:ascii="宋体" w:hAnsi="Times New Roman" w:eastAsia="宋体" w:cs="Times New Roman"/>
                <w:b/>
                <w:szCs w:val="20"/>
              </w:rPr>
            </w:pPr>
          </w:p>
        </w:tc>
        <w:tc>
          <w:tcPr>
            <w:tcW w:w="1355" w:type="dxa"/>
          </w:tcPr>
          <w:p w14:paraId="20D8DBF2">
            <w:pPr>
              <w:ind w:left="420" w:hanging="420"/>
              <w:rPr>
                <w:rFonts w:ascii="宋体" w:hAnsi="Times New Roman" w:eastAsia="宋体" w:cs="Times New Roman"/>
                <w:b/>
                <w:szCs w:val="20"/>
              </w:rPr>
            </w:pPr>
          </w:p>
        </w:tc>
        <w:tc>
          <w:tcPr>
            <w:tcW w:w="826" w:type="dxa"/>
          </w:tcPr>
          <w:p w14:paraId="3A7A9B4C">
            <w:pPr>
              <w:ind w:left="420" w:hanging="420"/>
              <w:rPr>
                <w:rFonts w:ascii="宋体" w:hAnsi="Times New Roman" w:eastAsia="宋体" w:cs="Times New Roman"/>
                <w:b/>
                <w:szCs w:val="20"/>
              </w:rPr>
            </w:pPr>
          </w:p>
        </w:tc>
        <w:tc>
          <w:tcPr>
            <w:tcW w:w="1320" w:type="dxa"/>
          </w:tcPr>
          <w:p w14:paraId="0CA477EC">
            <w:pPr>
              <w:ind w:left="420" w:hanging="420"/>
              <w:rPr>
                <w:rFonts w:ascii="宋体" w:hAnsi="Times New Roman" w:eastAsia="宋体" w:cs="Times New Roman"/>
                <w:b/>
                <w:szCs w:val="20"/>
              </w:rPr>
            </w:pPr>
          </w:p>
        </w:tc>
        <w:tc>
          <w:tcPr>
            <w:tcW w:w="1023" w:type="dxa"/>
          </w:tcPr>
          <w:p w14:paraId="1C994CE3">
            <w:pPr>
              <w:ind w:left="420" w:hanging="420"/>
              <w:rPr>
                <w:rFonts w:ascii="宋体" w:hAnsi="Times New Roman" w:eastAsia="宋体" w:cs="Times New Roman"/>
                <w:b/>
                <w:szCs w:val="20"/>
              </w:rPr>
            </w:pPr>
          </w:p>
        </w:tc>
        <w:tc>
          <w:tcPr>
            <w:tcW w:w="1590" w:type="dxa"/>
          </w:tcPr>
          <w:p w14:paraId="40276420">
            <w:pPr>
              <w:ind w:left="420" w:hanging="420"/>
              <w:rPr>
                <w:rFonts w:ascii="宋体" w:hAnsi="Times New Roman" w:eastAsia="宋体" w:cs="Times New Roman"/>
                <w:b/>
                <w:szCs w:val="20"/>
              </w:rPr>
            </w:pPr>
          </w:p>
        </w:tc>
      </w:tr>
      <w:tr w14:paraId="4A97F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1EE6BA7B">
            <w:pPr>
              <w:ind w:left="420" w:hanging="420"/>
              <w:rPr>
                <w:rFonts w:ascii="宋体" w:hAnsi="Times New Roman" w:eastAsia="宋体" w:cs="Times New Roman"/>
                <w:b/>
                <w:szCs w:val="20"/>
              </w:rPr>
            </w:pPr>
          </w:p>
        </w:tc>
        <w:tc>
          <w:tcPr>
            <w:tcW w:w="2082" w:type="dxa"/>
          </w:tcPr>
          <w:p w14:paraId="148CD31C">
            <w:pPr>
              <w:ind w:left="420" w:hanging="420"/>
              <w:rPr>
                <w:rFonts w:ascii="宋体" w:hAnsi="Times New Roman" w:eastAsia="宋体" w:cs="Times New Roman"/>
                <w:b/>
                <w:szCs w:val="20"/>
              </w:rPr>
            </w:pPr>
          </w:p>
        </w:tc>
        <w:tc>
          <w:tcPr>
            <w:tcW w:w="1355" w:type="dxa"/>
          </w:tcPr>
          <w:p w14:paraId="798B8527">
            <w:pPr>
              <w:ind w:left="420" w:hanging="420"/>
              <w:rPr>
                <w:rFonts w:ascii="宋体" w:hAnsi="Times New Roman" w:eastAsia="宋体" w:cs="Times New Roman"/>
                <w:b/>
                <w:szCs w:val="20"/>
              </w:rPr>
            </w:pPr>
          </w:p>
        </w:tc>
        <w:tc>
          <w:tcPr>
            <w:tcW w:w="826" w:type="dxa"/>
          </w:tcPr>
          <w:p w14:paraId="78801AE8">
            <w:pPr>
              <w:ind w:left="420" w:hanging="420"/>
              <w:rPr>
                <w:rFonts w:ascii="宋体" w:hAnsi="Times New Roman" w:eastAsia="宋体" w:cs="Times New Roman"/>
                <w:b/>
                <w:szCs w:val="20"/>
              </w:rPr>
            </w:pPr>
          </w:p>
        </w:tc>
        <w:tc>
          <w:tcPr>
            <w:tcW w:w="1320" w:type="dxa"/>
          </w:tcPr>
          <w:p w14:paraId="65952C4B">
            <w:pPr>
              <w:ind w:left="420" w:hanging="420"/>
              <w:rPr>
                <w:rFonts w:ascii="宋体" w:hAnsi="Times New Roman" w:eastAsia="宋体" w:cs="Times New Roman"/>
                <w:b/>
                <w:szCs w:val="20"/>
              </w:rPr>
            </w:pPr>
          </w:p>
        </w:tc>
        <w:tc>
          <w:tcPr>
            <w:tcW w:w="1023" w:type="dxa"/>
          </w:tcPr>
          <w:p w14:paraId="26D11662">
            <w:pPr>
              <w:ind w:left="420" w:hanging="420"/>
              <w:rPr>
                <w:rFonts w:ascii="宋体" w:hAnsi="Times New Roman" w:eastAsia="宋体" w:cs="Times New Roman"/>
                <w:b/>
                <w:szCs w:val="20"/>
              </w:rPr>
            </w:pPr>
          </w:p>
        </w:tc>
        <w:tc>
          <w:tcPr>
            <w:tcW w:w="1590" w:type="dxa"/>
          </w:tcPr>
          <w:p w14:paraId="3E547EF9">
            <w:pPr>
              <w:ind w:left="420" w:hanging="420"/>
              <w:rPr>
                <w:rFonts w:ascii="宋体" w:hAnsi="Times New Roman" w:eastAsia="宋体" w:cs="Times New Roman"/>
                <w:b/>
                <w:szCs w:val="20"/>
              </w:rPr>
            </w:pPr>
          </w:p>
        </w:tc>
      </w:tr>
      <w:tr w14:paraId="09654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436B93F4">
            <w:pPr>
              <w:ind w:left="420" w:hanging="420"/>
              <w:rPr>
                <w:rFonts w:ascii="宋体" w:hAnsi="Times New Roman" w:eastAsia="宋体" w:cs="Times New Roman"/>
                <w:b/>
                <w:szCs w:val="20"/>
              </w:rPr>
            </w:pPr>
          </w:p>
        </w:tc>
        <w:tc>
          <w:tcPr>
            <w:tcW w:w="2082" w:type="dxa"/>
          </w:tcPr>
          <w:p w14:paraId="1117C1E6">
            <w:pPr>
              <w:ind w:left="420" w:hanging="420"/>
              <w:rPr>
                <w:rFonts w:ascii="宋体" w:hAnsi="Times New Roman" w:eastAsia="宋体" w:cs="Times New Roman"/>
                <w:b/>
                <w:szCs w:val="20"/>
              </w:rPr>
            </w:pPr>
          </w:p>
        </w:tc>
        <w:tc>
          <w:tcPr>
            <w:tcW w:w="1355" w:type="dxa"/>
          </w:tcPr>
          <w:p w14:paraId="57764841">
            <w:pPr>
              <w:ind w:left="420" w:hanging="420"/>
              <w:rPr>
                <w:rFonts w:ascii="宋体" w:hAnsi="Times New Roman" w:eastAsia="宋体" w:cs="Times New Roman"/>
                <w:b/>
                <w:szCs w:val="20"/>
              </w:rPr>
            </w:pPr>
          </w:p>
        </w:tc>
        <w:tc>
          <w:tcPr>
            <w:tcW w:w="826" w:type="dxa"/>
          </w:tcPr>
          <w:p w14:paraId="6FBECC30">
            <w:pPr>
              <w:ind w:left="420" w:hanging="420"/>
              <w:rPr>
                <w:rFonts w:ascii="宋体" w:hAnsi="Times New Roman" w:eastAsia="宋体" w:cs="Times New Roman"/>
                <w:b/>
                <w:szCs w:val="20"/>
              </w:rPr>
            </w:pPr>
          </w:p>
        </w:tc>
        <w:tc>
          <w:tcPr>
            <w:tcW w:w="1320" w:type="dxa"/>
          </w:tcPr>
          <w:p w14:paraId="05AC40D5">
            <w:pPr>
              <w:ind w:left="420" w:hanging="420"/>
              <w:rPr>
                <w:rFonts w:ascii="宋体" w:hAnsi="Times New Roman" w:eastAsia="宋体" w:cs="Times New Roman"/>
                <w:b/>
                <w:szCs w:val="20"/>
              </w:rPr>
            </w:pPr>
          </w:p>
        </w:tc>
        <w:tc>
          <w:tcPr>
            <w:tcW w:w="1023" w:type="dxa"/>
          </w:tcPr>
          <w:p w14:paraId="3C3FD45E">
            <w:pPr>
              <w:ind w:left="420" w:hanging="420"/>
              <w:rPr>
                <w:rFonts w:ascii="宋体" w:hAnsi="Times New Roman" w:eastAsia="宋体" w:cs="Times New Roman"/>
                <w:b/>
                <w:szCs w:val="20"/>
              </w:rPr>
            </w:pPr>
          </w:p>
        </w:tc>
        <w:tc>
          <w:tcPr>
            <w:tcW w:w="1590" w:type="dxa"/>
          </w:tcPr>
          <w:p w14:paraId="77C2DB55">
            <w:pPr>
              <w:ind w:left="420" w:hanging="420"/>
              <w:rPr>
                <w:rFonts w:ascii="宋体" w:hAnsi="Times New Roman" w:eastAsia="宋体" w:cs="Times New Roman"/>
                <w:b/>
                <w:szCs w:val="20"/>
              </w:rPr>
            </w:pPr>
          </w:p>
        </w:tc>
      </w:tr>
      <w:tr w14:paraId="62447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0E4CD192">
            <w:pPr>
              <w:ind w:left="420" w:hanging="420"/>
              <w:rPr>
                <w:rFonts w:ascii="宋体" w:hAnsi="Times New Roman" w:eastAsia="宋体" w:cs="Times New Roman"/>
                <w:b/>
                <w:szCs w:val="20"/>
              </w:rPr>
            </w:pPr>
          </w:p>
        </w:tc>
        <w:tc>
          <w:tcPr>
            <w:tcW w:w="2082" w:type="dxa"/>
          </w:tcPr>
          <w:p w14:paraId="341074B4">
            <w:pPr>
              <w:ind w:left="420" w:hanging="420"/>
              <w:rPr>
                <w:rFonts w:ascii="宋体" w:hAnsi="Times New Roman" w:eastAsia="宋体" w:cs="Times New Roman"/>
                <w:b/>
                <w:szCs w:val="20"/>
              </w:rPr>
            </w:pPr>
          </w:p>
        </w:tc>
        <w:tc>
          <w:tcPr>
            <w:tcW w:w="1355" w:type="dxa"/>
          </w:tcPr>
          <w:p w14:paraId="7659ECBD">
            <w:pPr>
              <w:ind w:left="420" w:hanging="420"/>
              <w:rPr>
                <w:rFonts w:ascii="宋体" w:hAnsi="Times New Roman" w:eastAsia="宋体" w:cs="Times New Roman"/>
                <w:b/>
                <w:szCs w:val="20"/>
              </w:rPr>
            </w:pPr>
          </w:p>
        </w:tc>
        <w:tc>
          <w:tcPr>
            <w:tcW w:w="826" w:type="dxa"/>
          </w:tcPr>
          <w:p w14:paraId="72DBF635">
            <w:pPr>
              <w:ind w:left="420" w:hanging="420"/>
              <w:rPr>
                <w:rFonts w:ascii="宋体" w:hAnsi="Times New Roman" w:eastAsia="宋体" w:cs="Times New Roman"/>
                <w:b/>
                <w:szCs w:val="20"/>
              </w:rPr>
            </w:pPr>
          </w:p>
        </w:tc>
        <w:tc>
          <w:tcPr>
            <w:tcW w:w="1320" w:type="dxa"/>
          </w:tcPr>
          <w:p w14:paraId="7B8150A7">
            <w:pPr>
              <w:ind w:left="420" w:hanging="420"/>
              <w:rPr>
                <w:rFonts w:ascii="宋体" w:hAnsi="Times New Roman" w:eastAsia="宋体" w:cs="Times New Roman"/>
                <w:b/>
                <w:szCs w:val="20"/>
              </w:rPr>
            </w:pPr>
          </w:p>
        </w:tc>
        <w:tc>
          <w:tcPr>
            <w:tcW w:w="1023" w:type="dxa"/>
          </w:tcPr>
          <w:p w14:paraId="2B000B2F">
            <w:pPr>
              <w:ind w:left="420" w:hanging="420"/>
              <w:rPr>
                <w:rFonts w:ascii="宋体" w:hAnsi="Times New Roman" w:eastAsia="宋体" w:cs="Times New Roman"/>
                <w:b/>
                <w:szCs w:val="20"/>
              </w:rPr>
            </w:pPr>
          </w:p>
        </w:tc>
        <w:tc>
          <w:tcPr>
            <w:tcW w:w="1590" w:type="dxa"/>
          </w:tcPr>
          <w:p w14:paraId="3BB9CEEF">
            <w:pPr>
              <w:ind w:left="420" w:hanging="420"/>
              <w:rPr>
                <w:rFonts w:ascii="宋体" w:hAnsi="Times New Roman" w:eastAsia="宋体" w:cs="Times New Roman"/>
                <w:b/>
                <w:szCs w:val="20"/>
              </w:rPr>
            </w:pPr>
          </w:p>
        </w:tc>
      </w:tr>
      <w:tr w14:paraId="59FCC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789E7036">
            <w:pPr>
              <w:ind w:left="420" w:hanging="420"/>
              <w:rPr>
                <w:rFonts w:ascii="宋体" w:hAnsi="Times New Roman" w:eastAsia="宋体" w:cs="Times New Roman"/>
                <w:b/>
                <w:szCs w:val="20"/>
              </w:rPr>
            </w:pPr>
          </w:p>
        </w:tc>
        <w:tc>
          <w:tcPr>
            <w:tcW w:w="2082" w:type="dxa"/>
          </w:tcPr>
          <w:p w14:paraId="7143C665">
            <w:pPr>
              <w:ind w:left="420" w:hanging="420"/>
              <w:rPr>
                <w:rFonts w:ascii="宋体" w:hAnsi="Times New Roman" w:eastAsia="宋体" w:cs="Times New Roman"/>
                <w:b/>
                <w:szCs w:val="20"/>
              </w:rPr>
            </w:pPr>
          </w:p>
        </w:tc>
        <w:tc>
          <w:tcPr>
            <w:tcW w:w="1355" w:type="dxa"/>
          </w:tcPr>
          <w:p w14:paraId="501EF76B">
            <w:pPr>
              <w:ind w:left="420" w:hanging="420"/>
              <w:rPr>
                <w:rFonts w:ascii="宋体" w:hAnsi="Times New Roman" w:eastAsia="宋体" w:cs="Times New Roman"/>
                <w:b/>
                <w:szCs w:val="20"/>
              </w:rPr>
            </w:pPr>
          </w:p>
        </w:tc>
        <w:tc>
          <w:tcPr>
            <w:tcW w:w="826" w:type="dxa"/>
          </w:tcPr>
          <w:p w14:paraId="4F069EE9">
            <w:pPr>
              <w:ind w:left="420" w:hanging="420"/>
              <w:rPr>
                <w:rFonts w:ascii="宋体" w:hAnsi="Times New Roman" w:eastAsia="宋体" w:cs="Times New Roman"/>
                <w:b/>
                <w:szCs w:val="20"/>
              </w:rPr>
            </w:pPr>
          </w:p>
        </w:tc>
        <w:tc>
          <w:tcPr>
            <w:tcW w:w="1320" w:type="dxa"/>
          </w:tcPr>
          <w:p w14:paraId="4C0B1EB8">
            <w:pPr>
              <w:ind w:left="420" w:hanging="420"/>
              <w:rPr>
                <w:rFonts w:ascii="宋体" w:hAnsi="Times New Roman" w:eastAsia="宋体" w:cs="Times New Roman"/>
                <w:b/>
                <w:szCs w:val="20"/>
              </w:rPr>
            </w:pPr>
          </w:p>
        </w:tc>
        <w:tc>
          <w:tcPr>
            <w:tcW w:w="1023" w:type="dxa"/>
          </w:tcPr>
          <w:p w14:paraId="61A65D05">
            <w:pPr>
              <w:ind w:left="420" w:hanging="420"/>
              <w:rPr>
                <w:rFonts w:ascii="宋体" w:hAnsi="Times New Roman" w:eastAsia="宋体" w:cs="Times New Roman"/>
                <w:b/>
                <w:szCs w:val="20"/>
              </w:rPr>
            </w:pPr>
          </w:p>
        </w:tc>
        <w:tc>
          <w:tcPr>
            <w:tcW w:w="1590" w:type="dxa"/>
          </w:tcPr>
          <w:p w14:paraId="464B8366">
            <w:pPr>
              <w:ind w:left="420" w:hanging="420"/>
              <w:rPr>
                <w:rFonts w:ascii="宋体" w:hAnsi="Times New Roman" w:eastAsia="宋体" w:cs="Times New Roman"/>
                <w:b/>
                <w:szCs w:val="20"/>
              </w:rPr>
            </w:pPr>
          </w:p>
        </w:tc>
      </w:tr>
      <w:tr w14:paraId="1CED4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5065CD00">
            <w:pPr>
              <w:ind w:left="420" w:hanging="420"/>
              <w:rPr>
                <w:rFonts w:ascii="宋体" w:hAnsi="Times New Roman" w:eastAsia="宋体" w:cs="Times New Roman"/>
                <w:b/>
                <w:szCs w:val="20"/>
              </w:rPr>
            </w:pPr>
          </w:p>
        </w:tc>
        <w:tc>
          <w:tcPr>
            <w:tcW w:w="2082" w:type="dxa"/>
          </w:tcPr>
          <w:p w14:paraId="6C76517D">
            <w:pPr>
              <w:ind w:left="420" w:hanging="420"/>
              <w:rPr>
                <w:rFonts w:ascii="宋体" w:hAnsi="Times New Roman" w:eastAsia="宋体" w:cs="Times New Roman"/>
                <w:b/>
                <w:szCs w:val="20"/>
              </w:rPr>
            </w:pPr>
          </w:p>
        </w:tc>
        <w:tc>
          <w:tcPr>
            <w:tcW w:w="1355" w:type="dxa"/>
          </w:tcPr>
          <w:p w14:paraId="1221161C">
            <w:pPr>
              <w:ind w:left="420" w:hanging="420"/>
              <w:rPr>
                <w:rFonts w:ascii="宋体" w:hAnsi="Times New Roman" w:eastAsia="宋体" w:cs="Times New Roman"/>
                <w:b/>
                <w:szCs w:val="20"/>
              </w:rPr>
            </w:pPr>
          </w:p>
        </w:tc>
        <w:tc>
          <w:tcPr>
            <w:tcW w:w="826" w:type="dxa"/>
          </w:tcPr>
          <w:p w14:paraId="1A59E0A7">
            <w:pPr>
              <w:ind w:left="420" w:hanging="420"/>
              <w:rPr>
                <w:rFonts w:ascii="宋体" w:hAnsi="Times New Roman" w:eastAsia="宋体" w:cs="Times New Roman"/>
                <w:b/>
                <w:szCs w:val="20"/>
              </w:rPr>
            </w:pPr>
          </w:p>
        </w:tc>
        <w:tc>
          <w:tcPr>
            <w:tcW w:w="1320" w:type="dxa"/>
          </w:tcPr>
          <w:p w14:paraId="050C2E27">
            <w:pPr>
              <w:ind w:left="420" w:hanging="420"/>
              <w:rPr>
                <w:rFonts w:ascii="宋体" w:hAnsi="Times New Roman" w:eastAsia="宋体" w:cs="Times New Roman"/>
                <w:b/>
                <w:szCs w:val="20"/>
              </w:rPr>
            </w:pPr>
          </w:p>
        </w:tc>
        <w:tc>
          <w:tcPr>
            <w:tcW w:w="1023" w:type="dxa"/>
          </w:tcPr>
          <w:p w14:paraId="3F534C95">
            <w:pPr>
              <w:ind w:left="420" w:hanging="420"/>
              <w:rPr>
                <w:rFonts w:ascii="宋体" w:hAnsi="Times New Roman" w:eastAsia="宋体" w:cs="Times New Roman"/>
                <w:b/>
                <w:szCs w:val="20"/>
              </w:rPr>
            </w:pPr>
          </w:p>
        </w:tc>
        <w:tc>
          <w:tcPr>
            <w:tcW w:w="1590" w:type="dxa"/>
          </w:tcPr>
          <w:p w14:paraId="79ADD5BA">
            <w:pPr>
              <w:ind w:left="420" w:hanging="420"/>
              <w:rPr>
                <w:rFonts w:ascii="宋体" w:hAnsi="Times New Roman" w:eastAsia="宋体" w:cs="Times New Roman"/>
                <w:b/>
                <w:szCs w:val="20"/>
              </w:rPr>
            </w:pPr>
          </w:p>
        </w:tc>
      </w:tr>
      <w:tr w14:paraId="70694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569B2980">
            <w:pPr>
              <w:ind w:left="420" w:hanging="420"/>
              <w:rPr>
                <w:rFonts w:ascii="宋体" w:hAnsi="Times New Roman" w:eastAsia="宋体" w:cs="Times New Roman"/>
                <w:b/>
                <w:szCs w:val="20"/>
              </w:rPr>
            </w:pPr>
          </w:p>
        </w:tc>
        <w:tc>
          <w:tcPr>
            <w:tcW w:w="2082" w:type="dxa"/>
          </w:tcPr>
          <w:p w14:paraId="1993FD27">
            <w:pPr>
              <w:ind w:left="420" w:hanging="420"/>
              <w:rPr>
                <w:rFonts w:ascii="宋体" w:hAnsi="Times New Roman" w:eastAsia="宋体" w:cs="Times New Roman"/>
                <w:b/>
                <w:szCs w:val="20"/>
              </w:rPr>
            </w:pPr>
          </w:p>
        </w:tc>
        <w:tc>
          <w:tcPr>
            <w:tcW w:w="1355" w:type="dxa"/>
          </w:tcPr>
          <w:p w14:paraId="5D6378FD">
            <w:pPr>
              <w:ind w:left="420" w:hanging="420"/>
              <w:rPr>
                <w:rFonts w:ascii="宋体" w:hAnsi="Times New Roman" w:eastAsia="宋体" w:cs="Times New Roman"/>
                <w:b/>
                <w:szCs w:val="20"/>
              </w:rPr>
            </w:pPr>
          </w:p>
        </w:tc>
        <w:tc>
          <w:tcPr>
            <w:tcW w:w="826" w:type="dxa"/>
          </w:tcPr>
          <w:p w14:paraId="4C25681D">
            <w:pPr>
              <w:ind w:left="420" w:hanging="420"/>
              <w:rPr>
                <w:rFonts w:ascii="宋体" w:hAnsi="Times New Roman" w:eastAsia="宋体" w:cs="Times New Roman"/>
                <w:b/>
                <w:szCs w:val="20"/>
              </w:rPr>
            </w:pPr>
          </w:p>
        </w:tc>
        <w:tc>
          <w:tcPr>
            <w:tcW w:w="1320" w:type="dxa"/>
          </w:tcPr>
          <w:p w14:paraId="5217F115">
            <w:pPr>
              <w:ind w:left="420" w:hanging="420"/>
              <w:rPr>
                <w:rFonts w:ascii="宋体" w:hAnsi="Times New Roman" w:eastAsia="宋体" w:cs="Times New Roman"/>
                <w:b/>
                <w:szCs w:val="20"/>
              </w:rPr>
            </w:pPr>
          </w:p>
        </w:tc>
        <w:tc>
          <w:tcPr>
            <w:tcW w:w="1023" w:type="dxa"/>
          </w:tcPr>
          <w:p w14:paraId="7B889694">
            <w:pPr>
              <w:ind w:left="420" w:hanging="420"/>
              <w:rPr>
                <w:rFonts w:ascii="宋体" w:hAnsi="Times New Roman" w:eastAsia="宋体" w:cs="Times New Roman"/>
                <w:b/>
                <w:szCs w:val="20"/>
              </w:rPr>
            </w:pPr>
          </w:p>
        </w:tc>
        <w:tc>
          <w:tcPr>
            <w:tcW w:w="1590" w:type="dxa"/>
          </w:tcPr>
          <w:p w14:paraId="4205B7CF">
            <w:pPr>
              <w:ind w:left="420" w:hanging="420"/>
              <w:rPr>
                <w:rFonts w:ascii="宋体" w:hAnsi="Times New Roman" w:eastAsia="宋体" w:cs="Times New Roman"/>
                <w:b/>
                <w:szCs w:val="20"/>
              </w:rPr>
            </w:pPr>
          </w:p>
        </w:tc>
      </w:tr>
      <w:tr w14:paraId="18AE8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11BEE531">
            <w:pPr>
              <w:ind w:left="420" w:hanging="420"/>
              <w:rPr>
                <w:rFonts w:ascii="宋体" w:hAnsi="Times New Roman" w:eastAsia="宋体" w:cs="Times New Roman"/>
                <w:b/>
                <w:szCs w:val="20"/>
              </w:rPr>
            </w:pPr>
          </w:p>
        </w:tc>
        <w:tc>
          <w:tcPr>
            <w:tcW w:w="2082" w:type="dxa"/>
          </w:tcPr>
          <w:p w14:paraId="636B415F">
            <w:pPr>
              <w:ind w:left="420" w:hanging="420"/>
              <w:rPr>
                <w:rFonts w:ascii="宋体" w:hAnsi="Times New Roman" w:eastAsia="宋体" w:cs="Times New Roman"/>
                <w:b/>
                <w:szCs w:val="20"/>
              </w:rPr>
            </w:pPr>
          </w:p>
        </w:tc>
        <w:tc>
          <w:tcPr>
            <w:tcW w:w="1355" w:type="dxa"/>
          </w:tcPr>
          <w:p w14:paraId="24B7B8AC">
            <w:pPr>
              <w:ind w:left="420" w:hanging="420"/>
              <w:rPr>
                <w:rFonts w:ascii="宋体" w:hAnsi="Times New Roman" w:eastAsia="宋体" w:cs="Times New Roman"/>
                <w:b/>
                <w:szCs w:val="20"/>
              </w:rPr>
            </w:pPr>
          </w:p>
        </w:tc>
        <w:tc>
          <w:tcPr>
            <w:tcW w:w="826" w:type="dxa"/>
          </w:tcPr>
          <w:p w14:paraId="37346C30">
            <w:pPr>
              <w:ind w:left="420" w:hanging="420"/>
              <w:rPr>
                <w:rFonts w:ascii="宋体" w:hAnsi="Times New Roman" w:eastAsia="宋体" w:cs="Times New Roman"/>
                <w:b/>
                <w:szCs w:val="20"/>
              </w:rPr>
            </w:pPr>
          </w:p>
        </w:tc>
        <w:tc>
          <w:tcPr>
            <w:tcW w:w="1320" w:type="dxa"/>
          </w:tcPr>
          <w:p w14:paraId="71272EC6">
            <w:pPr>
              <w:ind w:left="420" w:hanging="420"/>
              <w:rPr>
                <w:rFonts w:ascii="宋体" w:hAnsi="Times New Roman" w:eastAsia="宋体" w:cs="Times New Roman"/>
                <w:b/>
                <w:szCs w:val="20"/>
              </w:rPr>
            </w:pPr>
          </w:p>
        </w:tc>
        <w:tc>
          <w:tcPr>
            <w:tcW w:w="1023" w:type="dxa"/>
          </w:tcPr>
          <w:p w14:paraId="073A4AC2">
            <w:pPr>
              <w:ind w:left="420" w:hanging="420"/>
              <w:rPr>
                <w:rFonts w:ascii="宋体" w:hAnsi="Times New Roman" w:eastAsia="宋体" w:cs="Times New Roman"/>
                <w:b/>
                <w:szCs w:val="20"/>
              </w:rPr>
            </w:pPr>
          </w:p>
        </w:tc>
        <w:tc>
          <w:tcPr>
            <w:tcW w:w="1590" w:type="dxa"/>
          </w:tcPr>
          <w:p w14:paraId="6252AC72">
            <w:pPr>
              <w:ind w:left="420" w:hanging="420"/>
              <w:rPr>
                <w:rFonts w:ascii="宋体" w:hAnsi="Times New Roman" w:eastAsia="宋体" w:cs="Times New Roman"/>
                <w:b/>
                <w:szCs w:val="20"/>
              </w:rPr>
            </w:pPr>
          </w:p>
        </w:tc>
      </w:tr>
      <w:tr w14:paraId="34D6D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7A4660E3">
            <w:pPr>
              <w:ind w:left="420" w:hanging="420"/>
              <w:rPr>
                <w:rFonts w:ascii="宋体" w:hAnsi="Times New Roman" w:eastAsia="宋体" w:cs="Times New Roman"/>
                <w:b/>
                <w:szCs w:val="20"/>
              </w:rPr>
            </w:pPr>
          </w:p>
        </w:tc>
        <w:tc>
          <w:tcPr>
            <w:tcW w:w="2082" w:type="dxa"/>
          </w:tcPr>
          <w:p w14:paraId="78FFEF87">
            <w:pPr>
              <w:ind w:left="420" w:hanging="420"/>
              <w:rPr>
                <w:rFonts w:ascii="宋体" w:hAnsi="Times New Roman" w:eastAsia="宋体" w:cs="Times New Roman"/>
                <w:b/>
                <w:szCs w:val="20"/>
              </w:rPr>
            </w:pPr>
          </w:p>
        </w:tc>
        <w:tc>
          <w:tcPr>
            <w:tcW w:w="1355" w:type="dxa"/>
          </w:tcPr>
          <w:p w14:paraId="0D95130B">
            <w:pPr>
              <w:ind w:left="420" w:hanging="420"/>
              <w:rPr>
                <w:rFonts w:ascii="宋体" w:hAnsi="Times New Roman" w:eastAsia="宋体" w:cs="Times New Roman"/>
                <w:b/>
                <w:szCs w:val="20"/>
              </w:rPr>
            </w:pPr>
          </w:p>
        </w:tc>
        <w:tc>
          <w:tcPr>
            <w:tcW w:w="826" w:type="dxa"/>
          </w:tcPr>
          <w:p w14:paraId="2B08505C">
            <w:pPr>
              <w:ind w:left="420" w:hanging="420"/>
              <w:rPr>
                <w:rFonts w:ascii="宋体" w:hAnsi="Times New Roman" w:eastAsia="宋体" w:cs="Times New Roman"/>
                <w:b/>
                <w:szCs w:val="20"/>
              </w:rPr>
            </w:pPr>
          </w:p>
        </w:tc>
        <w:tc>
          <w:tcPr>
            <w:tcW w:w="1320" w:type="dxa"/>
          </w:tcPr>
          <w:p w14:paraId="78FF9835">
            <w:pPr>
              <w:ind w:left="420" w:hanging="420"/>
              <w:rPr>
                <w:rFonts w:ascii="宋体" w:hAnsi="Times New Roman" w:eastAsia="宋体" w:cs="Times New Roman"/>
                <w:b/>
                <w:szCs w:val="20"/>
              </w:rPr>
            </w:pPr>
          </w:p>
        </w:tc>
        <w:tc>
          <w:tcPr>
            <w:tcW w:w="1023" w:type="dxa"/>
          </w:tcPr>
          <w:p w14:paraId="007F31B4">
            <w:pPr>
              <w:ind w:left="420" w:hanging="420"/>
              <w:rPr>
                <w:rFonts w:ascii="宋体" w:hAnsi="Times New Roman" w:eastAsia="宋体" w:cs="Times New Roman"/>
                <w:b/>
                <w:szCs w:val="20"/>
              </w:rPr>
            </w:pPr>
          </w:p>
        </w:tc>
        <w:tc>
          <w:tcPr>
            <w:tcW w:w="1590" w:type="dxa"/>
          </w:tcPr>
          <w:p w14:paraId="2AA27107">
            <w:pPr>
              <w:ind w:left="420" w:hanging="420"/>
              <w:rPr>
                <w:rFonts w:ascii="宋体" w:hAnsi="Times New Roman" w:eastAsia="宋体" w:cs="Times New Roman"/>
                <w:b/>
                <w:szCs w:val="20"/>
              </w:rPr>
            </w:pPr>
          </w:p>
        </w:tc>
      </w:tr>
      <w:tr w14:paraId="4D60D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318C5E95">
            <w:pPr>
              <w:ind w:left="420" w:hanging="420"/>
              <w:rPr>
                <w:rFonts w:ascii="宋体" w:hAnsi="Times New Roman" w:eastAsia="宋体" w:cs="Times New Roman"/>
                <w:b/>
                <w:szCs w:val="20"/>
              </w:rPr>
            </w:pPr>
          </w:p>
        </w:tc>
        <w:tc>
          <w:tcPr>
            <w:tcW w:w="2082" w:type="dxa"/>
          </w:tcPr>
          <w:p w14:paraId="71155128">
            <w:pPr>
              <w:ind w:left="420" w:hanging="420"/>
              <w:rPr>
                <w:rFonts w:ascii="宋体" w:hAnsi="Times New Roman" w:eastAsia="宋体" w:cs="Times New Roman"/>
                <w:b/>
                <w:szCs w:val="20"/>
              </w:rPr>
            </w:pPr>
          </w:p>
        </w:tc>
        <w:tc>
          <w:tcPr>
            <w:tcW w:w="1355" w:type="dxa"/>
          </w:tcPr>
          <w:p w14:paraId="59D7579D">
            <w:pPr>
              <w:ind w:left="420" w:hanging="420"/>
              <w:rPr>
                <w:rFonts w:ascii="宋体" w:hAnsi="Times New Roman" w:eastAsia="宋体" w:cs="Times New Roman"/>
                <w:b/>
                <w:szCs w:val="20"/>
              </w:rPr>
            </w:pPr>
          </w:p>
        </w:tc>
        <w:tc>
          <w:tcPr>
            <w:tcW w:w="826" w:type="dxa"/>
          </w:tcPr>
          <w:p w14:paraId="35490FCE">
            <w:pPr>
              <w:ind w:left="420" w:hanging="420"/>
              <w:rPr>
                <w:rFonts w:ascii="宋体" w:hAnsi="Times New Roman" w:eastAsia="宋体" w:cs="Times New Roman"/>
                <w:b/>
                <w:szCs w:val="20"/>
              </w:rPr>
            </w:pPr>
          </w:p>
        </w:tc>
        <w:tc>
          <w:tcPr>
            <w:tcW w:w="1320" w:type="dxa"/>
          </w:tcPr>
          <w:p w14:paraId="4EF02FA5">
            <w:pPr>
              <w:ind w:left="420" w:hanging="420"/>
              <w:rPr>
                <w:rFonts w:ascii="宋体" w:hAnsi="Times New Roman" w:eastAsia="宋体" w:cs="Times New Roman"/>
                <w:b/>
                <w:szCs w:val="20"/>
              </w:rPr>
            </w:pPr>
          </w:p>
        </w:tc>
        <w:tc>
          <w:tcPr>
            <w:tcW w:w="1023" w:type="dxa"/>
          </w:tcPr>
          <w:p w14:paraId="6F60B6AA">
            <w:pPr>
              <w:ind w:left="420" w:hanging="420"/>
              <w:rPr>
                <w:rFonts w:ascii="宋体" w:hAnsi="Times New Roman" w:eastAsia="宋体" w:cs="Times New Roman"/>
                <w:b/>
                <w:szCs w:val="20"/>
              </w:rPr>
            </w:pPr>
          </w:p>
        </w:tc>
        <w:tc>
          <w:tcPr>
            <w:tcW w:w="1590" w:type="dxa"/>
          </w:tcPr>
          <w:p w14:paraId="6C4C7CE9">
            <w:pPr>
              <w:ind w:left="420" w:hanging="420"/>
              <w:rPr>
                <w:rFonts w:ascii="宋体" w:hAnsi="Times New Roman" w:eastAsia="宋体" w:cs="Times New Roman"/>
                <w:b/>
                <w:szCs w:val="20"/>
              </w:rPr>
            </w:pPr>
          </w:p>
        </w:tc>
      </w:tr>
      <w:tr w14:paraId="25928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0" w:hRule="atLeast"/>
        </w:trPr>
        <w:tc>
          <w:tcPr>
            <w:tcW w:w="4297" w:type="dxa"/>
            <w:gridSpan w:val="3"/>
          </w:tcPr>
          <w:p w14:paraId="176CE850">
            <w:pPr>
              <w:ind w:left="420" w:hanging="420"/>
              <w:rPr>
                <w:rFonts w:ascii="宋体" w:hAnsi="Times New Roman" w:eastAsia="宋体" w:cs="Times New Roman"/>
                <w:b/>
                <w:szCs w:val="20"/>
              </w:rPr>
            </w:pPr>
            <w:r>
              <w:rPr>
                <w:rFonts w:ascii="宋体" w:hAnsi="宋体" w:eastAsia="宋体" w:cs="宋体"/>
                <w:sz w:val="24"/>
                <w:szCs w:val="24"/>
              </w:rPr>
              <w:t>20</w:t>
            </w:r>
            <w:r>
              <w:rPr>
                <w:rFonts w:hint="eastAsia" w:ascii="宋体" w:hAnsi="宋体" w:eastAsia="宋体" w:cs="宋体"/>
                <w:sz w:val="24"/>
                <w:szCs w:val="24"/>
              </w:rPr>
              <w:t>2</w:t>
            </w:r>
            <w:r>
              <w:rPr>
                <w:rFonts w:ascii="宋体" w:hAnsi="宋体" w:eastAsia="宋体" w:cs="宋体"/>
                <w:sz w:val="24"/>
                <w:szCs w:val="24"/>
              </w:rPr>
              <w:t>1年1月1日至今所有业绩合同汇总（必填）</w:t>
            </w:r>
          </w:p>
        </w:tc>
        <w:tc>
          <w:tcPr>
            <w:tcW w:w="826" w:type="dxa"/>
          </w:tcPr>
          <w:p w14:paraId="4818FDDC">
            <w:pPr>
              <w:ind w:left="420" w:hanging="420"/>
              <w:rPr>
                <w:rFonts w:ascii="宋体" w:hAnsi="Times New Roman" w:eastAsia="宋体" w:cs="Times New Roman"/>
                <w:b/>
                <w:szCs w:val="20"/>
              </w:rPr>
            </w:pPr>
          </w:p>
        </w:tc>
        <w:tc>
          <w:tcPr>
            <w:tcW w:w="1320" w:type="dxa"/>
          </w:tcPr>
          <w:p w14:paraId="01CFAEA0">
            <w:pPr>
              <w:ind w:left="420" w:hanging="420"/>
              <w:rPr>
                <w:rFonts w:ascii="宋体" w:hAnsi="Times New Roman" w:eastAsia="宋体" w:cs="Times New Roman"/>
                <w:b/>
                <w:szCs w:val="20"/>
              </w:rPr>
            </w:pPr>
          </w:p>
        </w:tc>
        <w:tc>
          <w:tcPr>
            <w:tcW w:w="1023" w:type="dxa"/>
          </w:tcPr>
          <w:p w14:paraId="176AF177">
            <w:pPr>
              <w:ind w:left="420" w:hanging="420"/>
              <w:rPr>
                <w:rFonts w:ascii="宋体" w:hAnsi="Times New Roman" w:eastAsia="宋体" w:cs="Times New Roman"/>
                <w:b/>
                <w:szCs w:val="20"/>
              </w:rPr>
            </w:pPr>
          </w:p>
        </w:tc>
        <w:tc>
          <w:tcPr>
            <w:tcW w:w="1590" w:type="dxa"/>
          </w:tcPr>
          <w:p w14:paraId="7CBE24B1">
            <w:pPr>
              <w:ind w:left="420" w:hanging="420"/>
              <w:rPr>
                <w:rFonts w:ascii="宋体" w:hAnsi="Times New Roman" w:eastAsia="宋体" w:cs="Times New Roman"/>
                <w:b/>
                <w:szCs w:val="20"/>
              </w:rPr>
            </w:pPr>
          </w:p>
        </w:tc>
      </w:tr>
    </w:tbl>
    <w:p w14:paraId="029A6B7F">
      <w:pPr>
        <w:spacing w:line="240" w:lineRule="atLeast"/>
        <w:rPr>
          <w:rFonts w:ascii="宋体" w:hAnsi="Calibri" w:eastAsia="宋体" w:cs="Times New Roman"/>
          <w:sz w:val="24"/>
          <w:szCs w:val="20"/>
        </w:rPr>
      </w:pPr>
      <w:r>
        <w:rPr>
          <w:rFonts w:hint="eastAsia" w:ascii="宋体" w:hAnsi="宋体" w:eastAsia="宋体" w:cs="Times New Roman"/>
          <w:sz w:val="24"/>
          <w:szCs w:val="20"/>
        </w:rPr>
        <w:t>注：</w:t>
      </w:r>
      <w:r>
        <w:rPr>
          <w:rFonts w:hint="eastAsia" w:ascii="宋体" w:hAnsi="宋体" w:eastAsia="宋体" w:cs="宋体"/>
          <w:kern w:val="0"/>
          <w:sz w:val="24"/>
          <w:szCs w:val="20"/>
        </w:rPr>
        <w:t>提供202</w:t>
      </w:r>
      <w:r>
        <w:rPr>
          <w:rFonts w:ascii="宋体" w:hAnsi="宋体" w:eastAsia="宋体" w:cs="宋体"/>
          <w:kern w:val="0"/>
          <w:sz w:val="24"/>
          <w:szCs w:val="20"/>
        </w:rPr>
        <w:t>1</w:t>
      </w:r>
      <w:r>
        <w:rPr>
          <w:rFonts w:hint="eastAsia" w:ascii="宋体" w:hAnsi="宋体" w:eastAsia="宋体" w:cs="宋体"/>
          <w:kern w:val="0"/>
          <w:sz w:val="24"/>
          <w:szCs w:val="20"/>
        </w:rPr>
        <w:t>年1月1日以来同类产品的制造销售业绩（用户名单、联系方式）</w:t>
      </w:r>
      <w:r>
        <w:rPr>
          <w:rFonts w:hint="eastAsia" w:ascii="宋体" w:hAnsi="宋体" w:eastAsia="宋体" w:cs="Times New Roman"/>
          <w:sz w:val="24"/>
          <w:szCs w:val="20"/>
        </w:rPr>
        <w:t>，并附合同复印件。</w:t>
      </w:r>
      <w:r>
        <w:rPr>
          <w:rFonts w:hint="eastAsia" w:ascii="宋体" w:hAnsi="宋体" w:eastAsia="宋体" w:cs="宋体"/>
          <w:kern w:val="0"/>
          <w:sz w:val="24"/>
          <w:szCs w:val="20"/>
        </w:rPr>
        <w:t>该同类项目业绩一览表</w:t>
      </w:r>
      <w:r>
        <w:rPr>
          <w:rFonts w:hint="eastAsia" w:ascii="宋体" w:hAnsi="宋体" w:eastAsia="宋体" w:cs="宋体"/>
          <w:b/>
          <w:bCs/>
          <w:kern w:val="0"/>
          <w:sz w:val="24"/>
          <w:szCs w:val="20"/>
        </w:rPr>
        <w:t>必须如实填写，应全尽全</w:t>
      </w:r>
      <w:r>
        <w:rPr>
          <w:rFonts w:hint="eastAsia" w:ascii="宋体" w:hAnsi="宋体" w:eastAsia="宋体" w:cs="宋体"/>
          <w:kern w:val="0"/>
          <w:sz w:val="24"/>
          <w:szCs w:val="20"/>
        </w:rPr>
        <w:t>；一览表最终的所有业绩</w:t>
      </w:r>
      <w:r>
        <w:rPr>
          <w:rFonts w:hint="eastAsia" w:ascii="宋体" w:hAnsi="宋体" w:eastAsia="宋体" w:cs="宋体"/>
          <w:b/>
          <w:bCs/>
          <w:kern w:val="0"/>
          <w:sz w:val="24"/>
          <w:szCs w:val="20"/>
        </w:rPr>
        <w:t>合同汇总</w:t>
      </w:r>
      <w:r>
        <w:rPr>
          <w:rFonts w:hint="eastAsia" w:ascii="宋体" w:hAnsi="宋体" w:eastAsia="宋体" w:cs="宋体"/>
          <w:kern w:val="0"/>
          <w:sz w:val="24"/>
          <w:szCs w:val="20"/>
        </w:rPr>
        <w:t>，此项很重要，数据将影响现场评标专家组对投标单位的业绩考评。若未提供相应业绩证明，根据技术标评分规则，将影响现场评标专家组对投标单位业绩判定打分</w:t>
      </w:r>
      <w:r>
        <w:rPr>
          <w:rFonts w:hint="eastAsia" w:ascii="宋体" w:hAnsi="宋体" w:eastAsia="宋体" w:cs="Times New Roman"/>
          <w:sz w:val="24"/>
          <w:szCs w:val="20"/>
        </w:rPr>
        <w:t>。</w:t>
      </w:r>
    </w:p>
    <w:p w14:paraId="791A94FD">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0BD2B46A">
      <w:pPr>
        <w:spacing w:line="660" w:lineRule="exac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2D5FEC59">
      <w:pPr>
        <w:spacing w:line="660" w:lineRule="exact"/>
        <w:rPr>
          <w:rFonts w:ascii="宋体" w:hAnsi="宋体"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r>
        <w:rPr>
          <w:rFonts w:ascii="宋体" w:hAnsi="宋体" w:eastAsia="宋体" w:cs="Times New Roman"/>
          <w:sz w:val="24"/>
          <w:szCs w:val="20"/>
        </w:rPr>
        <w:br w:type="page"/>
      </w:r>
    </w:p>
    <w:p w14:paraId="36CCF89F">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附件7</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设备质量承诺函</w:t>
      </w:r>
    </w:p>
    <w:p w14:paraId="706AAC46">
      <w:pPr>
        <w:spacing w:line="240" w:lineRule="exact"/>
        <w:rPr>
          <w:rFonts w:ascii="宋体" w:hAnsi="宋体" w:eastAsia="宋体" w:cs="Times New Roman"/>
          <w:szCs w:val="20"/>
        </w:rPr>
      </w:pPr>
      <w:r>
        <w:rPr>
          <w:rFonts w:ascii="宋体" w:hAnsi="宋体" w:eastAsia="宋体" w:cs="Times New Roman"/>
          <w:szCs w:val="20"/>
        </w:rPr>
        <w:t xml:space="preserve">                                               </w:t>
      </w:r>
    </w:p>
    <w:p w14:paraId="475FE254">
      <w:pPr>
        <w:spacing w:line="360" w:lineRule="auto"/>
        <w:rPr>
          <w:rFonts w:ascii="宋体" w:hAnsi="宋体" w:eastAsia="宋体" w:cs="宋体"/>
          <w:sz w:val="24"/>
          <w:szCs w:val="24"/>
          <w:u w:val="single"/>
        </w:rPr>
      </w:pPr>
      <w:r>
        <w:rPr>
          <w:rFonts w:hint="eastAsia" w:ascii="宋体" w:hAnsi="宋体" w:eastAsia="宋体" w:cs="Times New Roman"/>
          <w:sz w:val="24"/>
          <w:szCs w:val="20"/>
        </w:rPr>
        <w:t>项目名称</w:t>
      </w:r>
      <w:r>
        <w:rPr>
          <w:rFonts w:ascii="宋体" w:hAnsi="宋体" w:eastAsia="宋体" w:cs="Times New Roman"/>
          <w:sz w:val="24"/>
          <w:szCs w:val="20"/>
        </w:rPr>
        <w:t xml:space="preserve">: </w:t>
      </w:r>
      <w:r>
        <w:rPr>
          <w:rFonts w:hint="eastAsia" w:ascii="宋体" w:hAnsi="宋体" w:eastAsia="宋体" w:cs="宋体"/>
          <w:sz w:val="24"/>
          <w:szCs w:val="24"/>
          <w:u w:val="single"/>
        </w:rPr>
        <w:t xml:space="preserve"> </w:t>
      </w:r>
      <w:r>
        <w:rPr>
          <w:rFonts w:ascii="宋体" w:hAnsi="宋体" w:eastAsia="宋体" w:cs="宋体"/>
          <w:sz w:val="24"/>
          <w:szCs w:val="24"/>
          <w:u w:val="single"/>
        </w:rPr>
        <w:t xml:space="preserve">           </w:t>
      </w:r>
    </w:p>
    <w:p w14:paraId="447A95BE">
      <w:pPr>
        <w:spacing w:line="360" w:lineRule="auto"/>
        <w:rPr>
          <w:rFonts w:ascii="宋体" w:hAnsi="Calibri" w:eastAsia="宋体" w:cs="Times New Roman"/>
          <w:b/>
          <w:bCs/>
          <w:sz w:val="24"/>
          <w:szCs w:val="20"/>
        </w:rPr>
      </w:pPr>
      <w:r>
        <w:rPr>
          <w:rFonts w:hint="eastAsia" w:ascii="宋体" w:hAnsi="宋体" w:eastAsia="宋体" w:cs="Times New Roman"/>
          <w:b/>
          <w:bCs/>
          <w:sz w:val="24"/>
          <w:szCs w:val="20"/>
        </w:rPr>
        <w:t>中国重汽集团</w:t>
      </w:r>
      <w:r>
        <w:rPr>
          <w:rFonts w:hint="eastAsia" w:ascii="宋体" w:hAnsi="宋体" w:eastAsia="宋体" w:cs="Times New Roman"/>
          <w:b/>
          <w:bCs/>
          <w:sz w:val="24"/>
          <w:szCs w:val="20"/>
          <w:lang w:eastAsia="zh-CN"/>
        </w:rPr>
        <w:t>泰安五岳</w:t>
      </w:r>
      <w:r>
        <w:rPr>
          <w:rFonts w:hint="eastAsia" w:ascii="宋体" w:hAnsi="宋体" w:eastAsia="宋体" w:cs="Times New Roman"/>
          <w:b/>
          <w:bCs/>
          <w:sz w:val="24"/>
          <w:szCs w:val="20"/>
        </w:rPr>
        <w:t>有限公司：</w:t>
      </w:r>
    </w:p>
    <w:p w14:paraId="2DCF8313">
      <w:pPr>
        <w:spacing w:line="360" w:lineRule="auto"/>
        <w:ind w:firstLine="480" w:firstLineChars="200"/>
        <w:rPr>
          <w:rFonts w:ascii="宋体" w:hAnsi="Calibri" w:eastAsia="宋体" w:cs="Times New Roman"/>
          <w:sz w:val="24"/>
          <w:szCs w:val="20"/>
        </w:rPr>
      </w:pPr>
      <w:r>
        <w:rPr>
          <w:rFonts w:hint="eastAsia" w:ascii="宋体" w:hAnsi="宋体" w:eastAsia="宋体" w:cs="Times New Roman"/>
          <w:sz w:val="24"/>
          <w:szCs w:val="20"/>
        </w:rPr>
        <w:t>我代表</w:t>
      </w:r>
      <w:r>
        <w:rPr>
          <w:rFonts w:ascii="宋体" w:hAnsi="宋体" w:eastAsia="宋体" w:cs="Times New Roman"/>
          <w:sz w:val="24"/>
          <w:szCs w:val="20"/>
        </w:rPr>
        <w:t>(</w:t>
      </w:r>
      <w:r>
        <w:rPr>
          <w:rFonts w:hint="eastAsia" w:ascii="宋体" w:hAnsi="宋体" w:eastAsia="宋体" w:cs="Times New Roman"/>
          <w:sz w:val="24"/>
          <w:szCs w:val="20"/>
        </w:rPr>
        <w:t>投标人名称</w:t>
      </w:r>
      <w:r>
        <w:rPr>
          <w:rFonts w:ascii="宋体" w:hAnsi="宋体" w:eastAsia="宋体" w:cs="Times New Roman"/>
          <w:sz w:val="24"/>
          <w:szCs w:val="20"/>
        </w:rPr>
        <w:t>)</w:t>
      </w:r>
      <w:r>
        <w:rPr>
          <w:rFonts w:hint="eastAsia" w:ascii="宋体" w:hAnsi="宋体" w:eastAsia="宋体" w:cs="Times New Roman"/>
          <w:sz w:val="24"/>
          <w:szCs w:val="20"/>
        </w:rPr>
        <w:t>为保证中标产品的质量特作如下承诺：</w:t>
      </w:r>
    </w:p>
    <w:p w14:paraId="0CE43CB5">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AF9A633">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4669C014">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61FA9907">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65CD929C">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A7E482F">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79A400EC">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3C45360">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DBF443F">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6DA9EB77">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ABB387B">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6B729116">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534E0FF">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78A84E9B">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6BDC8472">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05D1F83D">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632CE226">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4BECA92A">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51229689">
      <w:pPr>
        <w:spacing w:line="360" w:lineRule="auto"/>
        <w:ind w:left="480"/>
        <w:rPr>
          <w:rFonts w:ascii="宋体" w:hAnsi="宋体" w:eastAsia="宋体" w:cs="Times New Roman"/>
          <w:sz w:val="24"/>
          <w:szCs w:val="20"/>
        </w:rPr>
      </w:pPr>
      <w:r>
        <w:rPr>
          <w:rFonts w:ascii="宋体" w:hAnsi="宋体" w:eastAsia="宋体" w:cs="Times New Roman"/>
          <w:sz w:val="24"/>
          <w:szCs w:val="20"/>
        </w:rPr>
        <w:t xml:space="preserve">                           </w:t>
      </w:r>
    </w:p>
    <w:p w14:paraId="36F5DD49">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1137195B">
      <w:pPr>
        <w:spacing w:line="660" w:lineRule="exac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09D477C0">
      <w:pPr>
        <w:spacing w:line="660" w:lineRule="exact"/>
        <w:rPr>
          <w:rFonts w:ascii="宋体" w:hAnsi="宋体"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r>
        <w:rPr>
          <w:rFonts w:ascii="宋体" w:hAnsi="宋体" w:eastAsia="宋体" w:cs="Times New Roman"/>
          <w:sz w:val="24"/>
          <w:szCs w:val="20"/>
        </w:rPr>
        <w:br w:type="page"/>
      </w:r>
    </w:p>
    <w:p w14:paraId="7659B6A0">
      <w:pPr>
        <w:spacing w:line="660" w:lineRule="exact"/>
        <w:rPr>
          <w:rFonts w:ascii="宋体" w:hAnsi="Calibri" w:eastAsia="宋体" w:cs="Times New Roman"/>
          <w:sz w:val="24"/>
          <w:szCs w:val="20"/>
        </w:rPr>
      </w:pPr>
    </w:p>
    <w:p w14:paraId="000D8C9F">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附件8</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开标一览表</w:t>
      </w:r>
    </w:p>
    <w:p w14:paraId="22D86E54">
      <w:pPr>
        <w:spacing w:line="360" w:lineRule="auto"/>
        <w:ind w:firstLine="482" w:firstLineChars="200"/>
        <w:rPr>
          <w:rFonts w:ascii="宋体" w:hAnsi="宋体" w:eastAsia="宋体" w:cs="Times New Roman"/>
          <w:b/>
          <w:color w:val="000000"/>
          <w:sz w:val="24"/>
          <w:szCs w:val="24"/>
        </w:rPr>
      </w:pPr>
      <w:r>
        <w:rPr>
          <w:rFonts w:hint="eastAsia" w:ascii="宋体" w:hAnsi="宋体" w:eastAsia="宋体" w:cs="Times New Roman"/>
          <w:b/>
          <w:color w:val="000000"/>
          <w:sz w:val="24"/>
          <w:szCs w:val="24"/>
        </w:rPr>
        <w:t>《开标一览表》单独封存，以备唱标使用</w:t>
      </w:r>
    </w:p>
    <w:p w14:paraId="640D59B1">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eastAsia" w:ascii="宋体" w:hAnsi="宋体" w:eastAsia="宋体" w:cs="宋体"/>
          <w:sz w:val="24"/>
          <w:szCs w:val="24"/>
          <w:u w:val="single"/>
        </w:rPr>
        <w:t xml:space="preserve"> </w:t>
      </w:r>
      <w:r>
        <w:rPr>
          <w:rFonts w:ascii="宋体" w:hAnsi="宋体" w:eastAsia="宋体" w:cs="宋体"/>
          <w:sz w:val="24"/>
          <w:szCs w:val="24"/>
          <w:u w:val="single"/>
        </w:rPr>
        <w:t xml:space="preserve">              </w:t>
      </w:r>
      <w:r>
        <w:rPr>
          <w:rFonts w:ascii="宋体" w:hAnsi="宋体" w:eastAsia="宋体" w:cs="Times New Roman"/>
          <w:color w:val="000000"/>
          <w:sz w:val="24"/>
          <w:szCs w:val="24"/>
        </w:rPr>
        <w:t xml:space="preserve">                                                        </w:t>
      </w:r>
    </w:p>
    <w:tbl>
      <w:tblPr>
        <w:tblStyle w:val="42"/>
        <w:tblW w:w="9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1518"/>
        <w:gridCol w:w="848"/>
        <w:gridCol w:w="2270"/>
        <w:gridCol w:w="1100"/>
        <w:gridCol w:w="1243"/>
        <w:gridCol w:w="705"/>
        <w:gridCol w:w="699"/>
      </w:tblGrid>
      <w:tr w14:paraId="24D55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5" w:hRule="atLeast"/>
          <w:jc w:val="center"/>
        </w:trPr>
        <w:tc>
          <w:tcPr>
            <w:tcW w:w="677" w:type="dxa"/>
            <w:vAlign w:val="center"/>
          </w:tcPr>
          <w:p w14:paraId="6F36C639">
            <w:pPr>
              <w:jc w:val="center"/>
              <w:rPr>
                <w:rFonts w:ascii="Times New Roman" w:hAnsi="Times New Roman" w:eastAsia="宋体" w:cs="Times New Roman"/>
                <w:b/>
                <w:szCs w:val="20"/>
              </w:rPr>
            </w:pPr>
            <w:r>
              <w:rPr>
                <w:rFonts w:hint="eastAsia" w:ascii="Times New Roman" w:hAnsi="Times New Roman" w:eastAsia="宋体" w:cs="Times New Roman"/>
                <w:b/>
                <w:szCs w:val="20"/>
              </w:rPr>
              <w:t>序号</w:t>
            </w:r>
          </w:p>
        </w:tc>
        <w:tc>
          <w:tcPr>
            <w:tcW w:w="1518" w:type="dxa"/>
            <w:vAlign w:val="center"/>
          </w:tcPr>
          <w:p w14:paraId="235F5A44">
            <w:pPr>
              <w:jc w:val="center"/>
              <w:rPr>
                <w:rFonts w:ascii="Times New Roman" w:hAnsi="Times New Roman" w:eastAsia="宋体" w:cs="Times New Roman"/>
                <w:b/>
                <w:szCs w:val="20"/>
              </w:rPr>
            </w:pPr>
            <w:r>
              <w:rPr>
                <w:rFonts w:hint="eastAsia" w:ascii="Times New Roman" w:hAnsi="Times New Roman" w:eastAsia="宋体" w:cs="Times New Roman"/>
                <w:b/>
                <w:szCs w:val="20"/>
              </w:rPr>
              <w:t>货物名称</w:t>
            </w:r>
          </w:p>
        </w:tc>
        <w:tc>
          <w:tcPr>
            <w:tcW w:w="848" w:type="dxa"/>
            <w:vAlign w:val="center"/>
          </w:tcPr>
          <w:p w14:paraId="1C16A95D">
            <w:pPr>
              <w:jc w:val="center"/>
              <w:rPr>
                <w:rFonts w:ascii="Times New Roman" w:hAnsi="Times New Roman" w:eastAsia="宋体" w:cs="Times New Roman"/>
                <w:b/>
                <w:szCs w:val="20"/>
              </w:rPr>
            </w:pPr>
            <w:r>
              <w:rPr>
                <w:rFonts w:hint="eastAsia" w:ascii="Times New Roman" w:hAnsi="Times New Roman" w:eastAsia="宋体" w:cs="Times New Roman"/>
                <w:b/>
                <w:szCs w:val="20"/>
              </w:rPr>
              <w:t>数量</w:t>
            </w:r>
          </w:p>
        </w:tc>
        <w:tc>
          <w:tcPr>
            <w:tcW w:w="2270" w:type="dxa"/>
            <w:vAlign w:val="center"/>
          </w:tcPr>
          <w:p w14:paraId="2C6C1347">
            <w:pPr>
              <w:jc w:val="center"/>
              <w:rPr>
                <w:rFonts w:ascii="Times New Roman" w:hAnsi="Times New Roman" w:eastAsia="宋体" w:cs="Times New Roman"/>
                <w:b/>
                <w:szCs w:val="20"/>
              </w:rPr>
            </w:pPr>
            <w:r>
              <w:rPr>
                <w:rFonts w:hint="eastAsia" w:ascii="Times New Roman" w:hAnsi="Times New Roman" w:eastAsia="宋体" w:cs="Times New Roman"/>
                <w:b/>
                <w:szCs w:val="20"/>
              </w:rPr>
              <w:t>投标总价</w:t>
            </w:r>
            <w:r>
              <w:rPr>
                <w:rFonts w:hint="eastAsia" w:ascii="等线" w:hAnsi="等线" w:eastAsia="等线" w:cs="Times New Roman"/>
                <w:b/>
                <w:szCs w:val="20"/>
              </w:rPr>
              <w:t>（元）</w:t>
            </w:r>
          </w:p>
        </w:tc>
        <w:tc>
          <w:tcPr>
            <w:tcW w:w="1100" w:type="dxa"/>
            <w:vAlign w:val="center"/>
          </w:tcPr>
          <w:p w14:paraId="492C5100">
            <w:pPr>
              <w:jc w:val="center"/>
              <w:rPr>
                <w:rFonts w:ascii="Times New Roman" w:hAnsi="Times New Roman" w:eastAsia="宋体" w:cs="Times New Roman"/>
                <w:b/>
                <w:szCs w:val="20"/>
              </w:rPr>
            </w:pPr>
            <w:r>
              <w:rPr>
                <w:rFonts w:hint="eastAsia" w:ascii="Times New Roman" w:hAnsi="Times New Roman" w:eastAsia="宋体" w:cs="Times New Roman"/>
                <w:b/>
                <w:szCs w:val="20"/>
              </w:rPr>
              <w:t>质保期</w:t>
            </w:r>
          </w:p>
        </w:tc>
        <w:tc>
          <w:tcPr>
            <w:tcW w:w="1243" w:type="dxa"/>
            <w:vAlign w:val="center"/>
          </w:tcPr>
          <w:p w14:paraId="442C4E68">
            <w:pPr>
              <w:jc w:val="center"/>
              <w:rPr>
                <w:rFonts w:ascii="Times New Roman" w:hAnsi="Times New Roman" w:eastAsia="宋体" w:cs="Times New Roman"/>
                <w:b/>
                <w:szCs w:val="20"/>
              </w:rPr>
            </w:pPr>
            <w:r>
              <w:rPr>
                <w:rFonts w:hint="eastAsia" w:ascii="Times New Roman" w:hAnsi="Times New Roman" w:eastAsia="宋体" w:cs="Times New Roman"/>
                <w:b/>
                <w:szCs w:val="20"/>
              </w:rPr>
              <w:t>交货及安装</w:t>
            </w:r>
          </w:p>
          <w:p w14:paraId="72C8CAB6">
            <w:pPr>
              <w:jc w:val="center"/>
              <w:rPr>
                <w:rFonts w:ascii="Times New Roman" w:hAnsi="Times New Roman" w:eastAsia="宋体" w:cs="Times New Roman"/>
                <w:b/>
                <w:szCs w:val="20"/>
              </w:rPr>
            </w:pPr>
            <w:r>
              <w:rPr>
                <w:rFonts w:hint="eastAsia" w:ascii="Times New Roman" w:hAnsi="Times New Roman" w:eastAsia="宋体" w:cs="Times New Roman"/>
                <w:b/>
                <w:szCs w:val="20"/>
              </w:rPr>
              <w:t>时间</w:t>
            </w:r>
          </w:p>
        </w:tc>
        <w:tc>
          <w:tcPr>
            <w:tcW w:w="705" w:type="dxa"/>
            <w:vAlign w:val="center"/>
          </w:tcPr>
          <w:p w14:paraId="1C15ADA4">
            <w:pPr>
              <w:jc w:val="center"/>
              <w:rPr>
                <w:rFonts w:ascii="Times New Roman" w:hAnsi="Times New Roman" w:eastAsia="宋体" w:cs="Times New Roman"/>
                <w:b/>
                <w:szCs w:val="20"/>
              </w:rPr>
            </w:pPr>
            <w:r>
              <w:rPr>
                <w:rFonts w:hint="eastAsia" w:ascii="等线" w:hAnsi="等线" w:eastAsia="等线" w:cs="Times New Roman"/>
                <w:b/>
                <w:szCs w:val="20"/>
              </w:rPr>
              <w:t>付款方式及比例如何响应</w:t>
            </w:r>
          </w:p>
        </w:tc>
        <w:tc>
          <w:tcPr>
            <w:tcW w:w="699" w:type="dxa"/>
            <w:vAlign w:val="center"/>
          </w:tcPr>
          <w:p w14:paraId="06B33A6F">
            <w:pPr>
              <w:jc w:val="center"/>
              <w:rPr>
                <w:rFonts w:ascii="等线" w:hAnsi="等线" w:eastAsia="等线" w:cs="Times New Roman"/>
                <w:b/>
                <w:szCs w:val="20"/>
              </w:rPr>
            </w:pPr>
            <w:r>
              <w:rPr>
                <w:rFonts w:hint="eastAsia" w:ascii="等线" w:hAnsi="等线" w:eastAsia="等线" w:cs="Times New Roman"/>
                <w:b/>
                <w:szCs w:val="20"/>
              </w:rPr>
              <w:t>付款方式及比例是否偏离</w:t>
            </w:r>
          </w:p>
        </w:tc>
      </w:tr>
      <w:tr w14:paraId="7D2BE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4" w:hRule="atLeast"/>
          <w:jc w:val="center"/>
        </w:trPr>
        <w:tc>
          <w:tcPr>
            <w:tcW w:w="677" w:type="dxa"/>
            <w:vAlign w:val="center"/>
          </w:tcPr>
          <w:p w14:paraId="2866A762">
            <w:pPr>
              <w:jc w:val="center"/>
              <w:rPr>
                <w:rFonts w:ascii="Times New Roman" w:hAnsi="Times New Roman" w:eastAsia="宋体" w:cs="Times New Roman"/>
                <w:b/>
                <w:szCs w:val="20"/>
              </w:rPr>
            </w:pPr>
            <w:r>
              <w:rPr>
                <w:rFonts w:ascii="Times New Roman" w:hAnsi="Times New Roman" w:eastAsia="宋体" w:cs="Times New Roman"/>
                <w:b/>
                <w:szCs w:val="20"/>
              </w:rPr>
              <w:t>1</w:t>
            </w:r>
          </w:p>
        </w:tc>
        <w:tc>
          <w:tcPr>
            <w:tcW w:w="1518" w:type="dxa"/>
            <w:vAlign w:val="center"/>
          </w:tcPr>
          <w:p w14:paraId="05301340">
            <w:pPr>
              <w:jc w:val="center"/>
              <w:rPr>
                <w:rFonts w:ascii="Times New Roman" w:hAnsi="Times New Roman" w:eastAsia="宋体" w:cs="Times New Roman"/>
                <w:b/>
                <w:szCs w:val="20"/>
              </w:rPr>
            </w:pPr>
            <w:r>
              <w:rPr>
                <w:rFonts w:hint="eastAsia" w:ascii="宋体" w:hAnsi="宋体" w:eastAsia="宋体" w:cs="宋体"/>
                <w:sz w:val="24"/>
                <w:szCs w:val="24"/>
                <w:u w:val="single"/>
              </w:rPr>
              <w:t xml:space="preserve"> </w:t>
            </w:r>
            <w:r>
              <w:rPr>
                <w:rFonts w:ascii="宋体" w:hAnsi="宋体" w:eastAsia="宋体" w:cs="宋体"/>
                <w:sz w:val="24"/>
                <w:szCs w:val="24"/>
                <w:u w:val="single"/>
              </w:rPr>
              <w:t xml:space="preserve">      </w:t>
            </w:r>
            <w:r>
              <w:rPr>
                <w:rFonts w:hint="eastAsia" w:ascii="宋体" w:hAnsi="宋体" w:eastAsia="宋体" w:cs="宋体"/>
                <w:sz w:val="24"/>
                <w:szCs w:val="24"/>
                <w:u w:val="single"/>
              </w:rPr>
              <w:t>项目</w:t>
            </w:r>
          </w:p>
        </w:tc>
        <w:tc>
          <w:tcPr>
            <w:tcW w:w="848" w:type="dxa"/>
            <w:vAlign w:val="center"/>
          </w:tcPr>
          <w:p w14:paraId="205F3E04">
            <w:pPr>
              <w:jc w:val="center"/>
              <w:rPr>
                <w:rFonts w:ascii="Times New Roman" w:hAnsi="Times New Roman" w:eastAsia="宋体" w:cs="Times New Roman"/>
                <w:b/>
                <w:szCs w:val="20"/>
              </w:rPr>
            </w:pPr>
            <w:r>
              <w:rPr>
                <w:rFonts w:ascii="Times New Roman" w:hAnsi="Times New Roman" w:eastAsia="宋体" w:cs="Times New Roman"/>
                <w:b/>
                <w:szCs w:val="20"/>
              </w:rPr>
              <w:t>1</w:t>
            </w:r>
            <w:r>
              <w:rPr>
                <w:rFonts w:hint="eastAsia" w:ascii="Times New Roman" w:hAnsi="Times New Roman" w:eastAsia="宋体" w:cs="Times New Roman"/>
                <w:b/>
                <w:szCs w:val="20"/>
              </w:rPr>
              <w:t>套</w:t>
            </w:r>
          </w:p>
        </w:tc>
        <w:tc>
          <w:tcPr>
            <w:tcW w:w="2270" w:type="dxa"/>
            <w:vAlign w:val="center"/>
          </w:tcPr>
          <w:p w14:paraId="00DAE909">
            <w:pPr>
              <w:jc w:val="center"/>
              <w:rPr>
                <w:rFonts w:ascii="等线" w:hAnsi="等线" w:eastAsia="等线" w:cs="Times New Roman"/>
                <w:b/>
                <w:szCs w:val="20"/>
              </w:rPr>
            </w:pPr>
            <w:r>
              <w:rPr>
                <w:rFonts w:hint="eastAsia" w:ascii="等线" w:hAnsi="等线" w:eastAsia="等线" w:cs="Times New Roman"/>
                <w:b/>
                <w:szCs w:val="20"/>
              </w:rPr>
              <w:t>不含税价：</w:t>
            </w:r>
          </w:p>
          <w:p w14:paraId="692ABFFB">
            <w:pPr>
              <w:jc w:val="center"/>
              <w:rPr>
                <w:rFonts w:ascii="等线" w:hAnsi="等线" w:eastAsia="等线" w:cs="Times New Roman"/>
                <w:b/>
                <w:szCs w:val="20"/>
              </w:rPr>
            </w:pPr>
            <w:r>
              <w:rPr>
                <w:rFonts w:hint="eastAsia" w:ascii="等线" w:hAnsi="等线" w:eastAsia="等线" w:cs="Times New Roman"/>
                <w:b/>
                <w:szCs w:val="20"/>
              </w:rPr>
              <w:t>含税价格：</w:t>
            </w:r>
            <w:r>
              <w:rPr>
                <w:rFonts w:hint="eastAsia" w:ascii="等线" w:hAnsi="等线" w:eastAsia="等线" w:cs="Times New Roman"/>
                <w:b/>
                <w:szCs w:val="20"/>
                <w:u w:val="single"/>
              </w:rPr>
              <w:t xml:space="preserve">    （大写：    ）</w:t>
            </w:r>
          </w:p>
          <w:p w14:paraId="2813E57D">
            <w:pPr>
              <w:jc w:val="center"/>
              <w:rPr>
                <w:rFonts w:ascii="Times New Roman" w:hAnsi="Times New Roman" w:eastAsia="宋体" w:cs="Times New Roman"/>
                <w:b/>
                <w:szCs w:val="20"/>
              </w:rPr>
            </w:pPr>
            <w:r>
              <w:rPr>
                <w:rFonts w:hint="eastAsia" w:ascii="等线" w:hAnsi="等线" w:eastAsia="等线" w:cs="Times New Roman"/>
                <w:b/>
                <w:szCs w:val="20"/>
              </w:rPr>
              <w:t>税率：</w:t>
            </w:r>
          </w:p>
        </w:tc>
        <w:tc>
          <w:tcPr>
            <w:tcW w:w="1100" w:type="dxa"/>
            <w:vAlign w:val="center"/>
          </w:tcPr>
          <w:p w14:paraId="1E57C188">
            <w:pPr>
              <w:jc w:val="center"/>
              <w:rPr>
                <w:rFonts w:ascii="Times New Roman" w:hAnsi="Times New Roman" w:eastAsia="宋体" w:cs="Times New Roman"/>
                <w:b/>
                <w:szCs w:val="20"/>
              </w:rPr>
            </w:pPr>
          </w:p>
        </w:tc>
        <w:tc>
          <w:tcPr>
            <w:tcW w:w="1243" w:type="dxa"/>
            <w:vAlign w:val="center"/>
          </w:tcPr>
          <w:p w14:paraId="27A83F12">
            <w:pPr>
              <w:jc w:val="center"/>
              <w:rPr>
                <w:rFonts w:ascii="Times New Roman" w:hAnsi="Times New Roman" w:eastAsia="宋体" w:cs="Times New Roman"/>
                <w:b/>
                <w:szCs w:val="20"/>
              </w:rPr>
            </w:pPr>
          </w:p>
        </w:tc>
        <w:tc>
          <w:tcPr>
            <w:tcW w:w="705" w:type="dxa"/>
            <w:vAlign w:val="center"/>
          </w:tcPr>
          <w:p w14:paraId="7C886602">
            <w:pPr>
              <w:jc w:val="center"/>
              <w:rPr>
                <w:rFonts w:ascii="Times New Roman" w:hAnsi="Times New Roman" w:eastAsia="宋体" w:cs="Times New Roman"/>
                <w:b/>
                <w:szCs w:val="20"/>
              </w:rPr>
            </w:pPr>
          </w:p>
        </w:tc>
        <w:tc>
          <w:tcPr>
            <w:tcW w:w="699" w:type="dxa"/>
            <w:vAlign w:val="center"/>
          </w:tcPr>
          <w:p w14:paraId="17BE5E14">
            <w:pPr>
              <w:jc w:val="center"/>
              <w:rPr>
                <w:rFonts w:ascii="Times New Roman" w:hAnsi="Times New Roman" w:eastAsia="宋体" w:cs="Times New Roman"/>
                <w:b/>
                <w:szCs w:val="20"/>
              </w:rPr>
            </w:pPr>
          </w:p>
        </w:tc>
      </w:tr>
    </w:tbl>
    <w:p w14:paraId="188DE706">
      <w:pPr>
        <w:rPr>
          <w:rFonts w:ascii="宋体" w:hAnsi="Arial" w:eastAsia="宋体" w:cs="Times New Roman"/>
          <w:sz w:val="24"/>
          <w:szCs w:val="24"/>
        </w:rPr>
      </w:pPr>
    </w:p>
    <w:p w14:paraId="16E484A9">
      <w:pPr>
        <w:spacing w:line="400" w:lineRule="exact"/>
        <w:rPr>
          <w:rFonts w:ascii="宋体" w:hAnsi="Calibri" w:eastAsia="宋体" w:cs="Times New Roman"/>
          <w:szCs w:val="21"/>
        </w:rPr>
      </w:pPr>
      <w:r>
        <w:rPr>
          <w:rFonts w:hint="eastAsia" w:ascii="宋体" w:hAnsi="宋体" w:eastAsia="宋体" w:cs="Times New Roman"/>
          <w:b/>
          <w:bCs/>
          <w:szCs w:val="21"/>
        </w:rPr>
        <w:t>注：</w:t>
      </w:r>
    </w:p>
    <w:p w14:paraId="57C1F2B4">
      <w:pPr>
        <w:spacing w:line="520" w:lineRule="exact"/>
        <w:rPr>
          <w:rFonts w:ascii="宋体" w:hAnsi="Calibri" w:eastAsia="宋体" w:cs="Times New Roman"/>
          <w:b/>
          <w:bCs/>
          <w:szCs w:val="21"/>
        </w:rPr>
      </w:pPr>
      <w:r>
        <w:rPr>
          <w:rFonts w:ascii="宋体" w:hAnsi="宋体" w:eastAsia="宋体" w:cs="Times New Roman"/>
          <w:b/>
          <w:bCs/>
          <w:szCs w:val="21"/>
        </w:rPr>
        <w:t>1</w:t>
      </w:r>
      <w:r>
        <w:rPr>
          <w:rFonts w:hint="eastAsia" w:ascii="宋体" w:hAnsi="宋体" w:eastAsia="宋体" w:cs="Times New Roman"/>
          <w:b/>
          <w:bCs/>
          <w:szCs w:val="21"/>
        </w:rPr>
        <w:t>.此表中的报价必须与相应的报价明细表中的报价一致。</w:t>
      </w:r>
    </w:p>
    <w:p w14:paraId="4688BCC8">
      <w:pPr>
        <w:spacing w:line="300" w:lineRule="auto"/>
        <w:rPr>
          <w:rFonts w:ascii="宋体" w:hAnsi="Calibri" w:eastAsia="宋体" w:cs="Times New Roman"/>
          <w:b/>
          <w:bCs/>
          <w:szCs w:val="21"/>
        </w:rPr>
      </w:pPr>
      <w:r>
        <w:rPr>
          <w:rFonts w:ascii="宋体" w:hAnsi="宋体" w:eastAsia="宋体" w:cs="Times New Roman"/>
          <w:b/>
          <w:bCs/>
          <w:szCs w:val="21"/>
        </w:rPr>
        <w:t>2</w:t>
      </w:r>
      <w:r>
        <w:rPr>
          <w:rFonts w:hint="eastAsia" w:ascii="宋体" w:hAnsi="宋体" w:eastAsia="宋体" w:cs="Times New Roman"/>
          <w:b/>
          <w:bCs/>
          <w:szCs w:val="21"/>
        </w:rPr>
        <w:t>.此表在投递标书时请单独密封两份，否则不予唱标。</w:t>
      </w:r>
    </w:p>
    <w:p w14:paraId="06BF12E3">
      <w:pPr>
        <w:spacing w:line="300" w:lineRule="auto"/>
        <w:rPr>
          <w:rFonts w:ascii="宋体" w:hAnsi="宋体" w:eastAsia="宋体" w:cs="宋体"/>
          <w:b/>
          <w:szCs w:val="20"/>
        </w:rPr>
      </w:pPr>
      <w:r>
        <w:rPr>
          <w:rFonts w:hint="eastAsia" w:ascii="宋体" w:hAnsi="宋体" w:eastAsia="宋体" w:cs="宋体"/>
          <w:b/>
          <w:szCs w:val="20"/>
        </w:rPr>
        <w:t>3.需写明含税价、不含税价格、税率。</w:t>
      </w:r>
    </w:p>
    <w:p w14:paraId="6B4433DA">
      <w:pPr>
        <w:pStyle w:val="20"/>
        <w:rPr>
          <w:rFonts w:hAnsi="宋体" w:eastAsia="宋体" w:cs="Times New Roman"/>
          <w:b/>
          <w:bCs/>
          <w:szCs w:val="21"/>
        </w:rPr>
      </w:pPr>
      <w:r>
        <w:rPr>
          <w:rFonts w:hint="eastAsia" w:hAnsi="宋体" w:eastAsia="宋体" w:cs="宋体"/>
          <w:b/>
          <w:szCs w:val="20"/>
        </w:rPr>
        <w:t>4.</w:t>
      </w:r>
      <w:r>
        <w:rPr>
          <w:rFonts w:hint="eastAsia" w:hAnsi="宋体" w:eastAsia="宋体" w:cs="Times New Roman"/>
          <w:b/>
          <w:bCs/>
          <w:szCs w:val="21"/>
        </w:rPr>
        <w:t>投标总价包括设备费、调试费、备品备件、特殊工具、装卸费、技术服务费、保险费及增值税和其它税费。</w:t>
      </w:r>
    </w:p>
    <w:p w14:paraId="32862489">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5F347CCD">
      <w:pPr>
        <w:spacing w:line="660" w:lineRule="exac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7BA4A6ED">
      <w:pPr>
        <w:spacing w:line="660" w:lineRule="exact"/>
        <w:rPr>
          <w:rFonts w:ascii="宋体" w:hAnsi="宋体"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76A4C5DC">
      <w:pPr>
        <w:spacing w:line="660" w:lineRule="exact"/>
        <w:rPr>
          <w:rFonts w:ascii="宋体" w:hAnsi="宋体" w:eastAsia="宋体" w:cs="Times New Roman"/>
          <w:sz w:val="24"/>
          <w:szCs w:val="20"/>
        </w:rPr>
      </w:pPr>
    </w:p>
    <w:p w14:paraId="2A477B30">
      <w:pPr>
        <w:spacing w:line="660" w:lineRule="exact"/>
        <w:rPr>
          <w:rFonts w:ascii="宋体" w:hAnsi="宋体" w:eastAsia="宋体" w:cs="Times New Roman"/>
          <w:sz w:val="24"/>
          <w:szCs w:val="20"/>
        </w:rPr>
      </w:pPr>
    </w:p>
    <w:p w14:paraId="134DBA6E">
      <w:pPr>
        <w:spacing w:line="660" w:lineRule="exact"/>
        <w:rPr>
          <w:rFonts w:ascii="宋体" w:hAnsi="宋体" w:eastAsia="宋体" w:cs="Times New Roman"/>
          <w:sz w:val="24"/>
          <w:szCs w:val="20"/>
        </w:rPr>
      </w:pPr>
    </w:p>
    <w:p w14:paraId="27F5C735">
      <w:pPr>
        <w:spacing w:line="660" w:lineRule="exact"/>
        <w:rPr>
          <w:rFonts w:ascii="宋体" w:hAnsi="宋体" w:eastAsia="宋体" w:cs="Times New Roman"/>
          <w:sz w:val="24"/>
          <w:szCs w:val="20"/>
        </w:rPr>
      </w:pPr>
    </w:p>
    <w:p w14:paraId="1AE80D67">
      <w:pPr>
        <w:spacing w:line="660" w:lineRule="exact"/>
        <w:rPr>
          <w:rFonts w:ascii="宋体" w:hAnsi="宋体" w:eastAsia="宋体" w:cs="Times New Roman"/>
          <w:sz w:val="24"/>
          <w:szCs w:val="20"/>
        </w:rPr>
      </w:pPr>
    </w:p>
    <w:p w14:paraId="5356F764">
      <w:pPr>
        <w:spacing w:line="660" w:lineRule="exact"/>
        <w:rPr>
          <w:rFonts w:ascii="宋体" w:hAnsi="宋体" w:eastAsia="宋体" w:cs="Times New Roman"/>
          <w:sz w:val="24"/>
          <w:szCs w:val="20"/>
        </w:rPr>
      </w:pPr>
      <w:r>
        <w:rPr>
          <w:rFonts w:ascii="宋体" w:hAnsi="宋体" w:eastAsia="宋体" w:cs="Times New Roman"/>
          <w:sz w:val="24"/>
          <w:szCs w:val="20"/>
        </w:rPr>
        <w:br w:type="page"/>
      </w:r>
    </w:p>
    <w:p w14:paraId="052C128D">
      <w:pPr>
        <w:spacing w:line="660" w:lineRule="exact"/>
        <w:rPr>
          <w:rFonts w:ascii="宋体" w:hAnsi="宋体" w:eastAsia="宋体" w:cs="Times New Roman"/>
          <w:sz w:val="24"/>
          <w:szCs w:val="20"/>
        </w:rPr>
      </w:pPr>
      <w:r>
        <w:rPr>
          <w:rFonts w:hint="eastAsia" w:ascii="宋体" w:hAnsi="宋体" w:eastAsia="宋体" w:cs="Times New Roman"/>
          <w:sz w:val="24"/>
          <w:szCs w:val="20"/>
        </w:rPr>
        <w:t>附件9：价格拆分表</w:t>
      </w:r>
    </w:p>
    <w:tbl>
      <w:tblPr>
        <w:tblStyle w:val="42"/>
        <w:tblW w:w="9160" w:type="dxa"/>
        <w:tblInd w:w="0" w:type="dxa"/>
        <w:tblLayout w:type="autofit"/>
        <w:tblCellMar>
          <w:top w:w="0" w:type="dxa"/>
          <w:left w:w="0" w:type="dxa"/>
          <w:bottom w:w="0" w:type="dxa"/>
          <w:right w:w="0" w:type="dxa"/>
        </w:tblCellMar>
      </w:tblPr>
      <w:tblGrid>
        <w:gridCol w:w="648"/>
        <w:gridCol w:w="1315"/>
        <w:gridCol w:w="2557"/>
        <w:gridCol w:w="1396"/>
        <w:gridCol w:w="648"/>
        <w:gridCol w:w="648"/>
        <w:gridCol w:w="648"/>
        <w:gridCol w:w="648"/>
        <w:gridCol w:w="652"/>
      </w:tblGrid>
      <w:tr w14:paraId="4576910A">
        <w:tblPrEx>
          <w:tblCellMar>
            <w:top w:w="0" w:type="dxa"/>
            <w:left w:w="0" w:type="dxa"/>
            <w:bottom w:w="0" w:type="dxa"/>
            <w:right w:w="0" w:type="dxa"/>
          </w:tblCellMar>
        </w:tblPrEx>
        <w:trPr>
          <w:trHeight w:val="447" w:hRule="atLeast"/>
        </w:trPr>
        <w:tc>
          <w:tcPr>
            <w:tcW w:w="9160" w:type="dxa"/>
            <w:gridSpan w:val="9"/>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289422">
            <w:pPr>
              <w:keepNext w:val="0"/>
              <w:keepLines w:val="0"/>
              <w:widowControl/>
              <w:suppressLineNumbers w:val="0"/>
              <w:jc w:val="center"/>
              <w:textAlignment w:val="center"/>
              <w:rPr>
                <w:rFonts w:hint="eastAsia" w:ascii="宋体" w:hAnsi="宋体" w:eastAsia="宋体" w:cs="宋体"/>
                <w:b/>
                <w:i w:val="0"/>
                <w:color w:val="000000"/>
                <w:sz w:val="30"/>
                <w:szCs w:val="30"/>
                <w:u w:val="none"/>
              </w:rPr>
            </w:pPr>
            <w:r>
              <w:rPr>
                <w:rFonts w:hint="eastAsia" w:ascii="宋体" w:hAnsi="宋体" w:eastAsia="宋体" w:cs="宋体"/>
                <w:b/>
                <w:i w:val="0"/>
                <w:color w:val="000000"/>
                <w:kern w:val="0"/>
                <w:sz w:val="30"/>
                <w:szCs w:val="30"/>
                <w:u w:val="none"/>
                <w:lang w:val="en-US" w:eastAsia="zh-CN" w:bidi="ar"/>
              </w:rPr>
              <w:t>分项报价单（含税）</w:t>
            </w:r>
          </w:p>
        </w:tc>
      </w:tr>
      <w:tr w14:paraId="22BE16EB">
        <w:tblPrEx>
          <w:tblCellMar>
            <w:top w:w="0" w:type="dxa"/>
            <w:left w:w="0" w:type="dxa"/>
            <w:bottom w:w="0" w:type="dxa"/>
            <w:right w:w="0" w:type="dxa"/>
          </w:tblCellMar>
        </w:tblPrEx>
        <w:trPr>
          <w:trHeight w:val="319" w:hRule="atLeast"/>
        </w:trPr>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760198">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序号</w:t>
            </w:r>
          </w:p>
        </w:tc>
        <w:tc>
          <w:tcPr>
            <w:tcW w:w="131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78C64B">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物资名称</w:t>
            </w:r>
          </w:p>
        </w:tc>
        <w:tc>
          <w:tcPr>
            <w:tcW w:w="25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B54DAE">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供货范图</w:t>
            </w:r>
          </w:p>
        </w:tc>
        <w:tc>
          <w:tcPr>
            <w:tcW w:w="13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72C826">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生产厂家</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74B1E8">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单位</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6865E9">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数量</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EBBCE1">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单价</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58AEFB">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合计</w:t>
            </w:r>
          </w:p>
        </w:tc>
        <w:tc>
          <w:tcPr>
            <w:tcW w:w="6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4A7BAC">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备注</w:t>
            </w:r>
          </w:p>
        </w:tc>
      </w:tr>
      <w:tr w14:paraId="7DB772DB">
        <w:tblPrEx>
          <w:tblCellMar>
            <w:top w:w="0" w:type="dxa"/>
            <w:left w:w="0" w:type="dxa"/>
            <w:bottom w:w="0" w:type="dxa"/>
            <w:right w:w="0" w:type="dxa"/>
          </w:tblCellMar>
        </w:tblPrEx>
        <w:trPr>
          <w:trHeight w:val="319" w:hRule="atLeast"/>
        </w:trPr>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6B9DCD">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一、</w:t>
            </w:r>
          </w:p>
        </w:tc>
        <w:tc>
          <w:tcPr>
            <w:tcW w:w="131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E835E7">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转运线</w:t>
            </w:r>
          </w:p>
        </w:tc>
        <w:tc>
          <w:tcPr>
            <w:tcW w:w="25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4083AE">
            <w:pPr>
              <w:jc w:val="center"/>
              <w:rPr>
                <w:rFonts w:hint="eastAsia" w:ascii="宋体" w:hAnsi="宋体" w:eastAsia="宋体" w:cs="宋体"/>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09A744">
            <w:pPr>
              <w:jc w:val="center"/>
              <w:rPr>
                <w:rFonts w:hint="eastAsia" w:ascii="宋体" w:hAnsi="宋体" w:eastAsia="宋体" w:cs="宋体"/>
                <w:i w:val="0"/>
                <w:color w:val="000000"/>
                <w:sz w:val="21"/>
                <w:szCs w:val="21"/>
                <w:u w:val="none"/>
              </w:rPr>
            </w:pP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1E7FEF">
            <w:pPr>
              <w:jc w:val="center"/>
              <w:rPr>
                <w:rFonts w:hint="eastAsia" w:ascii="宋体" w:hAnsi="宋体" w:eastAsia="宋体" w:cs="宋体"/>
                <w:i w:val="0"/>
                <w:color w:val="000000"/>
                <w:sz w:val="21"/>
                <w:szCs w:val="21"/>
                <w:u w:val="none"/>
              </w:rPr>
            </w:pP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D672AF">
            <w:pPr>
              <w:jc w:val="center"/>
              <w:rPr>
                <w:rFonts w:hint="eastAsia" w:ascii="宋体" w:hAnsi="宋体" w:eastAsia="宋体" w:cs="宋体"/>
                <w:i w:val="0"/>
                <w:color w:val="000000"/>
                <w:sz w:val="21"/>
                <w:szCs w:val="21"/>
                <w:u w:val="none"/>
              </w:rPr>
            </w:pP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B6B976">
            <w:pPr>
              <w:jc w:val="center"/>
              <w:rPr>
                <w:rFonts w:hint="eastAsia" w:ascii="宋体" w:hAnsi="宋体" w:eastAsia="宋体" w:cs="宋体"/>
                <w:i w:val="0"/>
                <w:color w:val="000000"/>
                <w:sz w:val="21"/>
                <w:szCs w:val="21"/>
                <w:u w:val="none"/>
              </w:rPr>
            </w:pP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626108">
            <w:pPr>
              <w:jc w:val="center"/>
              <w:rPr>
                <w:rFonts w:hint="eastAsia" w:ascii="宋体" w:hAnsi="宋体" w:eastAsia="宋体" w:cs="宋体"/>
                <w:i w:val="0"/>
                <w:color w:val="000000"/>
                <w:sz w:val="21"/>
                <w:szCs w:val="21"/>
                <w:u w:val="none"/>
              </w:rPr>
            </w:pPr>
          </w:p>
        </w:tc>
        <w:tc>
          <w:tcPr>
            <w:tcW w:w="6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002720">
            <w:pPr>
              <w:jc w:val="center"/>
              <w:rPr>
                <w:rFonts w:hint="eastAsia" w:ascii="宋体" w:hAnsi="宋体" w:eastAsia="宋体" w:cs="宋体"/>
                <w:i w:val="0"/>
                <w:color w:val="000000"/>
                <w:sz w:val="21"/>
                <w:szCs w:val="21"/>
                <w:u w:val="none"/>
              </w:rPr>
            </w:pPr>
          </w:p>
        </w:tc>
      </w:tr>
      <w:tr w14:paraId="04DF219B">
        <w:tblPrEx>
          <w:tblCellMar>
            <w:top w:w="0" w:type="dxa"/>
            <w:left w:w="0" w:type="dxa"/>
            <w:bottom w:w="0" w:type="dxa"/>
            <w:right w:w="0" w:type="dxa"/>
          </w:tblCellMar>
        </w:tblPrEx>
        <w:trPr>
          <w:trHeight w:val="716" w:hRule="atLeast"/>
        </w:trPr>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D60C39">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w:t>
            </w:r>
          </w:p>
        </w:tc>
        <w:tc>
          <w:tcPr>
            <w:tcW w:w="131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7BDA80">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液压升降电动平车</w:t>
            </w:r>
          </w:p>
        </w:tc>
        <w:tc>
          <w:tcPr>
            <w:tcW w:w="25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2D44DA">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含转运、跺码、上料、卸料（转运）液压升降电动平车</w:t>
            </w:r>
          </w:p>
        </w:tc>
        <w:tc>
          <w:tcPr>
            <w:tcW w:w="13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AB5615">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国内一线</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C4AE16">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套</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33A70F">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4</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8340A6">
            <w:pPr>
              <w:jc w:val="center"/>
              <w:rPr>
                <w:rFonts w:hint="eastAsia" w:ascii="宋体" w:hAnsi="宋体" w:eastAsia="宋体" w:cs="宋体"/>
                <w:i w:val="0"/>
                <w:color w:val="000000"/>
                <w:sz w:val="21"/>
                <w:szCs w:val="21"/>
                <w:u w:val="none"/>
              </w:rPr>
            </w:pP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5151B0">
            <w:pPr>
              <w:jc w:val="center"/>
              <w:rPr>
                <w:rFonts w:hint="eastAsia" w:ascii="宋体" w:hAnsi="宋体" w:eastAsia="宋体" w:cs="宋体"/>
                <w:i w:val="0"/>
                <w:color w:val="000000"/>
                <w:sz w:val="21"/>
                <w:szCs w:val="21"/>
                <w:u w:val="none"/>
              </w:rPr>
            </w:pPr>
          </w:p>
        </w:tc>
        <w:tc>
          <w:tcPr>
            <w:tcW w:w="6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493632">
            <w:pPr>
              <w:jc w:val="center"/>
              <w:rPr>
                <w:rFonts w:hint="eastAsia" w:ascii="宋体" w:hAnsi="宋体" w:eastAsia="宋体" w:cs="宋体"/>
                <w:i w:val="0"/>
                <w:color w:val="000000"/>
                <w:sz w:val="21"/>
                <w:szCs w:val="21"/>
                <w:u w:val="none"/>
              </w:rPr>
            </w:pPr>
          </w:p>
        </w:tc>
      </w:tr>
      <w:tr w14:paraId="71619BD9">
        <w:tblPrEx>
          <w:tblCellMar>
            <w:top w:w="0" w:type="dxa"/>
            <w:left w:w="0" w:type="dxa"/>
            <w:bottom w:w="0" w:type="dxa"/>
            <w:right w:w="0" w:type="dxa"/>
          </w:tblCellMar>
        </w:tblPrEx>
        <w:trPr>
          <w:trHeight w:val="333" w:hRule="atLeast"/>
        </w:trPr>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C1049D">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w:t>
            </w:r>
          </w:p>
        </w:tc>
        <w:tc>
          <w:tcPr>
            <w:tcW w:w="131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982CA3">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Style w:val="189"/>
                <w:lang w:val="en-US" w:eastAsia="zh-CN" w:bidi="ar"/>
              </w:rPr>
              <w:t>180</w:t>
            </w:r>
            <w:r>
              <w:rPr>
                <w:rStyle w:val="187"/>
                <w:lang w:val="en-US" w:eastAsia="zh-CN" w:bidi="ar"/>
              </w:rPr>
              <w:t>0</w:t>
            </w:r>
            <w:r>
              <w:rPr>
                <w:rStyle w:val="189"/>
                <w:lang w:val="en-US" w:eastAsia="zh-CN" w:bidi="ar"/>
              </w:rPr>
              <w:t>电动转盘</w:t>
            </w:r>
          </w:p>
        </w:tc>
        <w:tc>
          <w:tcPr>
            <w:tcW w:w="25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ED0A1B">
            <w:pPr>
              <w:jc w:val="center"/>
              <w:rPr>
                <w:rFonts w:hint="eastAsia" w:ascii="宋体" w:hAnsi="宋体" w:eastAsia="宋体" w:cs="宋体"/>
                <w:i w:val="0"/>
                <w:color w:val="000000"/>
                <w:sz w:val="21"/>
                <w:szCs w:val="21"/>
                <w:u w:val="none"/>
                <w:lang w:val="en-US" w:eastAsia="zh-CN"/>
              </w:rPr>
            </w:pPr>
            <w:r>
              <w:rPr>
                <w:rFonts w:hint="eastAsia" w:ascii="宋体" w:hAnsi="宋体" w:eastAsia="宋体" w:cs="宋体"/>
                <w:i w:val="0"/>
                <w:color w:val="000000"/>
                <w:sz w:val="21"/>
                <w:szCs w:val="21"/>
                <w:u w:val="none"/>
                <w:lang w:val="en-US" w:eastAsia="zh-CN"/>
              </w:rPr>
              <w:t>/</w:t>
            </w:r>
          </w:p>
        </w:tc>
        <w:tc>
          <w:tcPr>
            <w:tcW w:w="13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38E836">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国内一线</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802E91">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套</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D59379">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60D9EA">
            <w:pPr>
              <w:jc w:val="center"/>
              <w:rPr>
                <w:rFonts w:hint="eastAsia" w:ascii="宋体" w:hAnsi="宋体" w:eastAsia="宋体" w:cs="宋体"/>
                <w:i w:val="0"/>
                <w:color w:val="000000"/>
                <w:sz w:val="21"/>
                <w:szCs w:val="21"/>
                <w:u w:val="none"/>
              </w:rPr>
            </w:pP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D59773">
            <w:pPr>
              <w:jc w:val="center"/>
              <w:rPr>
                <w:rFonts w:hint="eastAsia" w:ascii="宋体" w:hAnsi="宋体" w:eastAsia="宋体" w:cs="宋体"/>
                <w:i w:val="0"/>
                <w:color w:val="000000"/>
                <w:sz w:val="21"/>
                <w:szCs w:val="21"/>
                <w:u w:val="none"/>
              </w:rPr>
            </w:pPr>
          </w:p>
        </w:tc>
        <w:tc>
          <w:tcPr>
            <w:tcW w:w="6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958F55">
            <w:pPr>
              <w:jc w:val="center"/>
              <w:rPr>
                <w:rFonts w:hint="eastAsia" w:ascii="宋体" w:hAnsi="宋体" w:eastAsia="宋体" w:cs="宋体"/>
                <w:i w:val="0"/>
                <w:color w:val="000000"/>
                <w:sz w:val="21"/>
                <w:szCs w:val="21"/>
                <w:u w:val="none"/>
              </w:rPr>
            </w:pPr>
          </w:p>
        </w:tc>
      </w:tr>
      <w:tr w14:paraId="7D6FE855">
        <w:tblPrEx>
          <w:tblCellMar>
            <w:top w:w="0" w:type="dxa"/>
            <w:left w:w="0" w:type="dxa"/>
            <w:bottom w:w="0" w:type="dxa"/>
            <w:right w:w="0" w:type="dxa"/>
          </w:tblCellMar>
        </w:tblPrEx>
        <w:trPr>
          <w:trHeight w:val="414" w:hRule="atLeast"/>
        </w:trPr>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344DAB">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3</w:t>
            </w:r>
          </w:p>
        </w:tc>
        <w:tc>
          <w:tcPr>
            <w:tcW w:w="131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CA61B8">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轨道</w:t>
            </w:r>
          </w:p>
        </w:tc>
        <w:tc>
          <w:tcPr>
            <w:tcW w:w="25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E5D62D">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43kg级铁路轨道、压铁、水平垫板等</w:t>
            </w:r>
          </w:p>
        </w:tc>
        <w:tc>
          <w:tcPr>
            <w:tcW w:w="13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234D87">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国内一线</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8447BF">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宗</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78D4FF">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EE075D">
            <w:pPr>
              <w:jc w:val="center"/>
              <w:rPr>
                <w:rFonts w:hint="eastAsia" w:ascii="宋体" w:hAnsi="宋体" w:eastAsia="宋体" w:cs="宋体"/>
                <w:i w:val="0"/>
                <w:color w:val="000000"/>
                <w:sz w:val="21"/>
                <w:szCs w:val="21"/>
                <w:u w:val="none"/>
              </w:rPr>
            </w:pP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D4A45C">
            <w:pPr>
              <w:jc w:val="center"/>
              <w:rPr>
                <w:rFonts w:hint="eastAsia" w:ascii="宋体" w:hAnsi="宋体" w:eastAsia="宋体" w:cs="宋体"/>
                <w:i w:val="0"/>
                <w:color w:val="000000"/>
                <w:sz w:val="21"/>
                <w:szCs w:val="21"/>
                <w:u w:val="none"/>
              </w:rPr>
            </w:pPr>
          </w:p>
        </w:tc>
        <w:tc>
          <w:tcPr>
            <w:tcW w:w="6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84CBC6">
            <w:pPr>
              <w:jc w:val="center"/>
              <w:rPr>
                <w:rFonts w:hint="eastAsia" w:ascii="宋体" w:hAnsi="宋体" w:eastAsia="宋体" w:cs="宋体"/>
                <w:i w:val="0"/>
                <w:color w:val="000000"/>
                <w:sz w:val="21"/>
                <w:szCs w:val="21"/>
                <w:u w:val="none"/>
              </w:rPr>
            </w:pPr>
          </w:p>
        </w:tc>
      </w:tr>
      <w:tr w14:paraId="18B81B03">
        <w:tblPrEx>
          <w:tblCellMar>
            <w:top w:w="0" w:type="dxa"/>
            <w:left w:w="0" w:type="dxa"/>
            <w:bottom w:w="0" w:type="dxa"/>
            <w:right w:w="0" w:type="dxa"/>
          </w:tblCellMar>
        </w:tblPrEx>
        <w:trPr>
          <w:trHeight w:val="319" w:hRule="atLeast"/>
        </w:trPr>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070207">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4</w:t>
            </w:r>
          </w:p>
        </w:tc>
        <w:tc>
          <w:tcPr>
            <w:tcW w:w="131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BB5B3C">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跺码架</w:t>
            </w:r>
          </w:p>
        </w:tc>
        <w:tc>
          <w:tcPr>
            <w:tcW w:w="25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691B65">
            <w:pPr>
              <w:jc w:val="center"/>
              <w:rPr>
                <w:rFonts w:hint="eastAsia" w:ascii="宋体" w:hAnsi="宋体" w:eastAsia="宋体" w:cs="宋体"/>
                <w:i w:val="0"/>
                <w:color w:val="000000"/>
                <w:sz w:val="21"/>
                <w:szCs w:val="21"/>
                <w:u w:val="none"/>
                <w:lang w:val="en-US" w:eastAsia="zh-CN"/>
              </w:rPr>
            </w:pPr>
            <w:r>
              <w:rPr>
                <w:rFonts w:hint="eastAsia" w:ascii="宋体" w:hAnsi="宋体" w:eastAsia="宋体" w:cs="宋体"/>
                <w:i w:val="0"/>
                <w:color w:val="000000"/>
                <w:sz w:val="21"/>
                <w:szCs w:val="21"/>
                <w:u w:val="none"/>
                <w:lang w:val="en-US" w:eastAsia="zh-CN"/>
              </w:rPr>
              <w:t>/</w:t>
            </w:r>
          </w:p>
        </w:tc>
        <w:tc>
          <w:tcPr>
            <w:tcW w:w="13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20FA45">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厂家配套</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0BB3E0">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套</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5C13D6">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6A5413">
            <w:pPr>
              <w:jc w:val="center"/>
              <w:rPr>
                <w:rFonts w:hint="eastAsia" w:ascii="宋体" w:hAnsi="宋体" w:eastAsia="宋体" w:cs="宋体"/>
                <w:i w:val="0"/>
                <w:color w:val="000000"/>
                <w:sz w:val="21"/>
                <w:szCs w:val="21"/>
                <w:u w:val="none"/>
              </w:rPr>
            </w:pP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265DBE">
            <w:pPr>
              <w:jc w:val="center"/>
              <w:rPr>
                <w:rFonts w:hint="eastAsia" w:ascii="宋体" w:hAnsi="宋体" w:eastAsia="宋体" w:cs="宋体"/>
                <w:i w:val="0"/>
                <w:color w:val="000000"/>
                <w:sz w:val="21"/>
                <w:szCs w:val="21"/>
                <w:u w:val="none"/>
              </w:rPr>
            </w:pPr>
          </w:p>
        </w:tc>
        <w:tc>
          <w:tcPr>
            <w:tcW w:w="6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BE7C7D">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14个工位</w:t>
            </w:r>
          </w:p>
        </w:tc>
      </w:tr>
      <w:tr w14:paraId="7F1F0F52">
        <w:tblPrEx>
          <w:tblCellMar>
            <w:top w:w="0" w:type="dxa"/>
            <w:left w:w="0" w:type="dxa"/>
            <w:bottom w:w="0" w:type="dxa"/>
            <w:right w:w="0" w:type="dxa"/>
          </w:tblCellMar>
        </w:tblPrEx>
        <w:trPr>
          <w:trHeight w:val="479" w:hRule="atLeast"/>
        </w:trPr>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FDD7A6">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5</w:t>
            </w:r>
          </w:p>
        </w:tc>
        <w:tc>
          <w:tcPr>
            <w:tcW w:w="131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71F435">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检测、控制系统</w:t>
            </w:r>
          </w:p>
        </w:tc>
        <w:tc>
          <w:tcPr>
            <w:tcW w:w="25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6C7CF3">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检测元件、控制元件、遥控器等</w:t>
            </w:r>
          </w:p>
        </w:tc>
        <w:tc>
          <w:tcPr>
            <w:tcW w:w="13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5417D4">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施奈德</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D57EA2">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套</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5D6430">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4221A4">
            <w:pPr>
              <w:jc w:val="center"/>
              <w:rPr>
                <w:rFonts w:hint="eastAsia" w:ascii="宋体" w:hAnsi="宋体" w:eastAsia="宋体" w:cs="宋体"/>
                <w:i w:val="0"/>
                <w:color w:val="000000"/>
                <w:sz w:val="21"/>
                <w:szCs w:val="21"/>
                <w:u w:val="none"/>
              </w:rPr>
            </w:pP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D45CDD">
            <w:pPr>
              <w:jc w:val="center"/>
              <w:rPr>
                <w:rFonts w:hint="eastAsia" w:ascii="宋体" w:hAnsi="宋体" w:eastAsia="宋体" w:cs="宋体"/>
                <w:i w:val="0"/>
                <w:color w:val="000000"/>
                <w:sz w:val="21"/>
                <w:szCs w:val="21"/>
                <w:u w:val="none"/>
              </w:rPr>
            </w:pPr>
          </w:p>
        </w:tc>
        <w:tc>
          <w:tcPr>
            <w:tcW w:w="6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5DC358">
            <w:pPr>
              <w:jc w:val="center"/>
              <w:rPr>
                <w:rFonts w:hint="eastAsia" w:ascii="宋体" w:hAnsi="宋体" w:eastAsia="宋体" w:cs="宋体"/>
                <w:i w:val="0"/>
                <w:color w:val="000000"/>
                <w:sz w:val="21"/>
                <w:szCs w:val="21"/>
                <w:u w:val="none"/>
              </w:rPr>
            </w:pPr>
          </w:p>
        </w:tc>
      </w:tr>
      <w:tr w14:paraId="3D7AD16B">
        <w:tblPrEx>
          <w:tblCellMar>
            <w:top w:w="0" w:type="dxa"/>
            <w:left w:w="0" w:type="dxa"/>
            <w:bottom w:w="0" w:type="dxa"/>
            <w:right w:w="0" w:type="dxa"/>
          </w:tblCellMar>
        </w:tblPrEx>
        <w:trPr>
          <w:trHeight w:val="319" w:hRule="atLeast"/>
        </w:trPr>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7AA47F">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二、</w:t>
            </w:r>
          </w:p>
        </w:tc>
        <w:tc>
          <w:tcPr>
            <w:tcW w:w="131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8B3C88">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抛丸清理机</w:t>
            </w:r>
          </w:p>
        </w:tc>
        <w:tc>
          <w:tcPr>
            <w:tcW w:w="25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F2B3C0">
            <w:pPr>
              <w:jc w:val="center"/>
              <w:rPr>
                <w:rFonts w:hint="eastAsia" w:ascii="宋体" w:hAnsi="宋体" w:eastAsia="宋体" w:cs="宋体"/>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0EB826">
            <w:pPr>
              <w:jc w:val="center"/>
              <w:rPr>
                <w:rFonts w:hint="eastAsia" w:ascii="宋体" w:hAnsi="宋体" w:eastAsia="宋体" w:cs="宋体"/>
                <w:i w:val="0"/>
                <w:color w:val="000000"/>
                <w:sz w:val="21"/>
                <w:szCs w:val="21"/>
                <w:u w:val="none"/>
              </w:rPr>
            </w:pP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858AA0">
            <w:pPr>
              <w:jc w:val="center"/>
              <w:rPr>
                <w:rFonts w:hint="eastAsia" w:ascii="宋体" w:hAnsi="宋体" w:eastAsia="宋体" w:cs="宋体"/>
                <w:i w:val="0"/>
                <w:color w:val="000000"/>
                <w:sz w:val="21"/>
                <w:szCs w:val="21"/>
                <w:u w:val="none"/>
              </w:rPr>
            </w:pP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37DDCB">
            <w:pPr>
              <w:jc w:val="center"/>
              <w:rPr>
                <w:rFonts w:hint="eastAsia" w:ascii="宋体" w:hAnsi="宋体" w:eastAsia="宋体" w:cs="宋体"/>
                <w:i w:val="0"/>
                <w:color w:val="000000"/>
                <w:sz w:val="21"/>
                <w:szCs w:val="21"/>
                <w:u w:val="none"/>
              </w:rPr>
            </w:pP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EDF35A">
            <w:pPr>
              <w:jc w:val="center"/>
              <w:rPr>
                <w:rFonts w:hint="eastAsia" w:ascii="宋体" w:hAnsi="宋体" w:eastAsia="宋体" w:cs="宋体"/>
                <w:i w:val="0"/>
                <w:color w:val="000000"/>
                <w:sz w:val="21"/>
                <w:szCs w:val="21"/>
                <w:u w:val="none"/>
              </w:rPr>
            </w:pP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5025CC">
            <w:pPr>
              <w:jc w:val="center"/>
              <w:rPr>
                <w:rFonts w:hint="eastAsia" w:ascii="宋体" w:hAnsi="宋体" w:eastAsia="宋体" w:cs="宋体"/>
                <w:i w:val="0"/>
                <w:color w:val="000000"/>
                <w:sz w:val="21"/>
                <w:szCs w:val="21"/>
                <w:u w:val="none"/>
              </w:rPr>
            </w:pPr>
          </w:p>
        </w:tc>
        <w:tc>
          <w:tcPr>
            <w:tcW w:w="6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172AE8">
            <w:pPr>
              <w:jc w:val="center"/>
              <w:rPr>
                <w:rFonts w:hint="eastAsia" w:ascii="宋体" w:hAnsi="宋体" w:eastAsia="宋体" w:cs="宋体"/>
                <w:i w:val="0"/>
                <w:color w:val="000000"/>
                <w:sz w:val="21"/>
                <w:szCs w:val="21"/>
                <w:u w:val="none"/>
              </w:rPr>
            </w:pPr>
          </w:p>
        </w:tc>
      </w:tr>
      <w:tr w14:paraId="4B119C63">
        <w:tblPrEx>
          <w:tblCellMar>
            <w:top w:w="0" w:type="dxa"/>
            <w:left w:w="0" w:type="dxa"/>
            <w:bottom w:w="0" w:type="dxa"/>
            <w:right w:w="0" w:type="dxa"/>
          </w:tblCellMar>
        </w:tblPrEx>
        <w:trPr>
          <w:trHeight w:val="479" w:hRule="atLeast"/>
        </w:trPr>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3A4CB0">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w:t>
            </w:r>
          </w:p>
        </w:tc>
        <w:tc>
          <w:tcPr>
            <w:tcW w:w="1315"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B0EAF7">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悬挂输送系统</w:t>
            </w:r>
          </w:p>
        </w:tc>
        <w:tc>
          <w:tcPr>
            <w:tcW w:w="25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89180C">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电动葫芦</w:t>
            </w:r>
          </w:p>
        </w:tc>
        <w:tc>
          <w:tcPr>
            <w:tcW w:w="13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3CA33D">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浙江凯岛/凯恒</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6A0413">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台</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092089">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7679F1">
            <w:pPr>
              <w:jc w:val="center"/>
              <w:rPr>
                <w:rFonts w:hint="eastAsia" w:ascii="宋体" w:hAnsi="宋体" w:eastAsia="宋体" w:cs="宋体"/>
                <w:i w:val="0"/>
                <w:color w:val="000000"/>
                <w:sz w:val="21"/>
                <w:szCs w:val="21"/>
                <w:u w:val="none"/>
              </w:rPr>
            </w:pP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B16E02">
            <w:pPr>
              <w:jc w:val="center"/>
              <w:rPr>
                <w:rFonts w:hint="eastAsia" w:ascii="宋体" w:hAnsi="宋体" w:eastAsia="宋体" w:cs="宋体"/>
                <w:i w:val="0"/>
                <w:color w:val="000000"/>
                <w:sz w:val="21"/>
                <w:szCs w:val="21"/>
                <w:u w:val="none"/>
              </w:rPr>
            </w:pPr>
          </w:p>
        </w:tc>
        <w:tc>
          <w:tcPr>
            <w:tcW w:w="6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A8303A">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5组</w:t>
            </w:r>
          </w:p>
        </w:tc>
      </w:tr>
      <w:tr w14:paraId="6ECEFA0B">
        <w:tblPrEx>
          <w:tblCellMar>
            <w:top w:w="0" w:type="dxa"/>
            <w:left w:w="0" w:type="dxa"/>
            <w:bottom w:w="0" w:type="dxa"/>
            <w:right w:w="0" w:type="dxa"/>
          </w:tblCellMar>
        </w:tblPrEx>
        <w:trPr>
          <w:trHeight w:val="612" w:hRule="atLeast"/>
        </w:trPr>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78ECBB">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w:t>
            </w:r>
          </w:p>
        </w:tc>
        <w:tc>
          <w:tcPr>
            <w:tcW w:w="131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FCBD2D">
            <w:pPr>
              <w:jc w:val="center"/>
              <w:rPr>
                <w:rFonts w:hint="eastAsia" w:ascii="宋体" w:hAnsi="宋体" w:eastAsia="宋体" w:cs="宋体"/>
                <w:i w:val="0"/>
                <w:color w:val="000000"/>
                <w:sz w:val="21"/>
                <w:szCs w:val="21"/>
                <w:u w:val="none"/>
              </w:rPr>
            </w:pPr>
          </w:p>
        </w:tc>
        <w:tc>
          <w:tcPr>
            <w:tcW w:w="25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4ACA9B">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轨道、门架、立柱、滑触线、集电器、检修平台、检修道岔</w:t>
            </w:r>
          </w:p>
        </w:tc>
        <w:tc>
          <w:tcPr>
            <w:tcW w:w="13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48EDBE">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厂家配套</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F69778">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套</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5AC92F">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169E93">
            <w:pPr>
              <w:jc w:val="center"/>
              <w:rPr>
                <w:rFonts w:hint="eastAsia" w:ascii="宋体" w:hAnsi="宋体" w:eastAsia="宋体" w:cs="宋体"/>
                <w:i w:val="0"/>
                <w:color w:val="000000"/>
                <w:sz w:val="21"/>
                <w:szCs w:val="21"/>
                <w:u w:val="none"/>
              </w:rPr>
            </w:pP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154DA2">
            <w:pPr>
              <w:jc w:val="center"/>
              <w:rPr>
                <w:rFonts w:hint="eastAsia" w:ascii="宋体" w:hAnsi="宋体" w:eastAsia="宋体" w:cs="宋体"/>
                <w:i w:val="0"/>
                <w:color w:val="000000"/>
                <w:sz w:val="21"/>
                <w:szCs w:val="21"/>
                <w:u w:val="none"/>
              </w:rPr>
            </w:pPr>
          </w:p>
        </w:tc>
        <w:tc>
          <w:tcPr>
            <w:tcW w:w="6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866201">
            <w:pPr>
              <w:jc w:val="center"/>
              <w:rPr>
                <w:rFonts w:hint="eastAsia" w:ascii="宋体" w:hAnsi="宋体" w:eastAsia="宋体" w:cs="宋体"/>
                <w:i w:val="0"/>
                <w:color w:val="000000"/>
                <w:sz w:val="21"/>
                <w:szCs w:val="21"/>
                <w:u w:val="none"/>
              </w:rPr>
            </w:pPr>
          </w:p>
        </w:tc>
      </w:tr>
      <w:tr w14:paraId="006B3E61">
        <w:tblPrEx>
          <w:tblCellMar>
            <w:top w:w="0" w:type="dxa"/>
            <w:left w:w="0" w:type="dxa"/>
            <w:bottom w:w="0" w:type="dxa"/>
            <w:right w:w="0" w:type="dxa"/>
          </w:tblCellMar>
        </w:tblPrEx>
        <w:trPr>
          <w:trHeight w:val="319" w:hRule="atLeast"/>
        </w:trPr>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541104">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3</w:t>
            </w:r>
          </w:p>
        </w:tc>
        <w:tc>
          <w:tcPr>
            <w:tcW w:w="131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96BD0F">
            <w:pPr>
              <w:jc w:val="center"/>
              <w:rPr>
                <w:rFonts w:hint="eastAsia" w:ascii="宋体" w:hAnsi="宋体" w:eastAsia="宋体" w:cs="宋体"/>
                <w:i w:val="0"/>
                <w:color w:val="000000"/>
                <w:sz w:val="21"/>
                <w:szCs w:val="21"/>
                <w:u w:val="none"/>
              </w:rPr>
            </w:pPr>
          </w:p>
        </w:tc>
        <w:tc>
          <w:tcPr>
            <w:tcW w:w="25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FA73BF">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专用吊具</w:t>
            </w:r>
          </w:p>
        </w:tc>
        <w:tc>
          <w:tcPr>
            <w:tcW w:w="13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C72B69">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厂家配套</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C886A2">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套</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482A94">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5</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0F57B5">
            <w:pPr>
              <w:jc w:val="center"/>
              <w:rPr>
                <w:rFonts w:hint="eastAsia" w:ascii="宋体" w:hAnsi="宋体" w:eastAsia="宋体" w:cs="宋体"/>
                <w:i w:val="0"/>
                <w:color w:val="000000"/>
                <w:sz w:val="21"/>
                <w:szCs w:val="21"/>
                <w:u w:val="none"/>
              </w:rPr>
            </w:pP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758E57">
            <w:pPr>
              <w:jc w:val="center"/>
              <w:rPr>
                <w:rFonts w:hint="eastAsia" w:ascii="宋体" w:hAnsi="宋体" w:eastAsia="宋体" w:cs="宋体"/>
                <w:i w:val="0"/>
                <w:color w:val="000000"/>
                <w:sz w:val="21"/>
                <w:szCs w:val="21"/>
                <w:u w:val="none"/>
              </w:rPr>
            </w:pPr>
          </w:p>
        </w:tc>
        <w:tc>
          <w:tcPr>
            <w:tcW w:w="6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E900AB">
            <w:pPr>
              <w:jc w:val="center"/>
              <w:rPr>
                <w:rFonts w:hint="eastAsia" w:ascii="宋体" w:hAnsi="宋体" w:eastAsia="宋体" w:cs="宋体"/>
                <w:i w:val="0"/>
                <w:color w:val="000000"/>
                <w:sz w:val="21"/>
                <w:szCs w:val="21"/>
                <w:u w:val="none"/>
              </w:rPr>
            </w:pPr>
          </w:p>
        </w:tc>
      </w:tr>
      <w:tr w14:paraId="51C45D79">
        <w:tblPrEx>
          <w:tblCellMar>
            <w:top w:w="0" w:type="dxa"/>
            <w:left w:w="0" w:type="dxa"/>
            <w:bottom w:w="0" w:type="dxa"/>
            <w:right w:w="0" w:type="dxa"/>
          </w:tblCellMar>
        </w:tblPrEx>
        <w:trPr>
          <w:trHeight w:val="1319" w:hRule="atLeast"/>
        </w:trPr>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907FF1">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4</w:t>
            </w:r>
          </w:p>
        </w:tc>
        <w:tc>
          <w:tcPr>
            <w:tcW w:w="131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932037">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前、后密封室</w:t>
            </w:r>
          </w:p>
        </w:tc>
        <w:tc>
          <w:tcPr>
            <w:tcW w:w="25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4CE7E4">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室体采用双层结构，外层采用Q235碳素钢板与型钢焊接，内层采用NM500耐磨合金钢板防护,与抛丸室连接3m采用ZMn13固熔处理高锰钢板防护，辅室防护使用寿命＞30000小时。</w:t>
            </w:r>
          </w:p>
        </w:tc>
        <w:tc>
          <w:tcPr>
            <w:tcW w:w="13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A19C29">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国内一线品牌，防护需满足使用寿命</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440289">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套</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DE558E">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1C5EEF">
            <w:pPr>
              <w:jc w:val="center"/>
              <w:rPr>
                <w:rFonts w:hint="eastAsia" w:ascii="宋体" w:hAnsi="宋体" w:eastAsia="宋体" w:cs="宋体"/>
                <w:i w:val="0"/>
                <w:color w:val="000000"/>
                <w:sz w:val="21"/>
                <w:szCs w:val="21"/>
                <w:u w:val="none"/>
              </w:rPr>
            </w:pP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40C61B">
            <w:pPr>
              <w:jc w:val="center"/>
              <w:rPr>
                <w:rFonts w:hint="eastAsia" w:ascii="宋体" w:hAnsi="宋体" w:eastAsia="宋体" w:cs="宋体"/>
                <w:i w:val="0"/>
                <w:color w:val="000000"/>
                <w:sz w:val="21"/>
                <w:szCs w:val="21"/>
                <w:u w:val="none"/>
              </w:rPr>
            </w:pPr>
          </w:p>
        </w:tc>
        <w:tc>
          <w:tcPr>
            <w:tcW w:w="6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EE02E2">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基本要求，允许正向偏离</w:t>
            </w:r>
          </w:p>
        </w:tc>
      </w:tr>
      <w:tr w14:paraId="66FFA597">
        <w:tblPrEx>
          <w:tblCellMar>
            <w:top w:w="0" w:type="dxa"/>
            <w:left w:w="0" w:type="dxa"/>
            <w:bottom w:w="0" w:type="dxa"/>
            <w:right w:w="0" w:type="dxa"/>
          </w:tblCellMar>
        </w:tblPrEx>
        <w:trPr>
          <w:trHeight w:val="974" w:hRule="atLeast"/>
        </w:trPr>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6AA63D">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5</w:t>
            </w:r>
          </w:p>
        </w:tc>
        <w:tc>
          <w:tcPr>
            <w:tcW w:w="131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054315">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抛丸室</w:t>
            </w:r>
          </w:p>
        </w:tc>
        <w:tc>
          <w:tcPr>
            <w:tcW w:w="25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463D91">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室体采用双层结构，外层采用Q235钢板与型钢焊接，内层采用ZMn13固熔处理高锰钢板防护，辅室防护使用寿命＞30000小时。</w:t>
            </w:r>
          </w:p>
        </w:tc>
        <w:tc>
          <w:tcPr>
            <w:tcW w:w="13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C0E614">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国内一线品牌，防护需满足使用寿命</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F0D868">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套</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4AD169">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E1FCE8">
            <w:pPr>
              <w:jc w:val="center"/>
              <w:rPr>
                <w:rFonts w:hint="eastAsia" w:ascii="宋体" w:hAnsi="宋体" w:eastAsia="宋体" w:cs="宋体"/>
                <w:i w:val="0"/>
                <w:color w:val="000000"/>
                <w:sz w:val="21"/>
                <w:szCs w:val="21"/>
                <w:u w:val="none"/>
              </w:rPr>
            </w:pP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FB9852">
            <w:pPr>
              <w:jc w:val="center"/>
              <w:rPr>
                <w:rFonts w:hint="eastAsia" w:ascii="宋体" w:hAnsi="宋体" w:eastAsia="宋体" w:cs="宋体"/>
                <w:i w:val="0"/>
                <w:color w:val="000000"/>
                <w:sz w:val="21"/>
                <w:szCs w:val="21"/>
                <w:u w:val="none"/>
              </w:rPr>
            </w:pPr>
          </w:p>
        </w:tc>
        <w:tc>
          <w:tcPr>
            <w:tcW w:w="6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D8F62F">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基本要求，允许正向偏离</w:t>
            </w:r>
          </w:p>
        </w:tc>
      </w:tr>
      <w:tr w14:paraId="418060A2">
        <w:tblPrEx>
          <w:tblCellMar>
            <w:top w:w="0" w:type="dxa"/>
            <w:left w:w="0" w:type="dxa"/>
            <w:bottom w:w="0" w:type="dxa"/>
            <w:right w:w="0" w:type="dxa"/>
          </w:tblCellMar>
        </w:tblPrEx>
        <w:trPr>
          <w:trHeight w:val="1199" w:hRule="atLeast"/>
        </w:trPr>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C98535">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6</w:t>
            </w:r>
          </w:p>
        </w:tc>
        <w:tc>
          <w:tcPr>
            <w:tcW w:w="131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56DA3B">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倒砂（补喷）室</w:t>
            </w:r>
          </w:p>
        </w:tc>
        <w:tc>
          <w:tcPr>
            <w:tcW w:w="25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C25DE8">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Style w:val="189"/>
                <w:lang w:val="en-US" w:eastAsia="zh-CN" w:bidi="ar"/>
              </w:rPr>
              <w:t>倒砂室整体为单层结构，采用Q235碳素钢板与型钢焊接结，具有足够的强度和刚性，内部喷白色油漆，增加亮度，室体使用寿命</w:t>
            </w:r>
            <w:r>
              <w:rPr>
                <w:rFonts w:ascii="Arial" w:hAnsi="Arial" w:eastAsia="宋体" w:cs="Arial"/>
                <w:i w:val="0"/>
                <w:color w:val="000000"/>
                <w:kern w:val="0"/>
                <w:sz w:val="21"/>
                <w:szCs w:val="21"/>
                <w:u w:val="none"/>
                <w:lang w:val="en-US" w:eastAsia="zh-CN" w:bidi="ar"/>
              </w:rPr>
              <w:t>≥</w:t>
            </w:r>
            <w:r>
              <w:rPr>
                <w:rStyle w:val="189"/>
                <w:lang w:val="en-US" w:eastAsia="zh-CN" w:bidi="ar"/>
              </w:rPr>
              <w:t>20年、作业平台、扶兰及踏步梯等</w:t>
            </w:r>
          </w:p>
        </w:tc>
        <w:tc>
          <w:tcPr>
            <w:tcW w:w="13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E5489A">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国内一线品牌，防护需满足使用寿命</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0C939D">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套</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324698">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042C78">
            <w:pPr>
              <w:jc w:val="center"/>
              <w:rPr>
                <w:rFonts w:hint="eastAsia" w:ascii="宋体" w:hAnsi="宋体" w:eastAsia="宋体" w:cs="宋体"/>
                <w:i w:val="0"/>
                <w:color w:val="000000"/>
                <w:sz w:val="21"/>
                <w:szCs w:val="21"/>
                <w:u w:val="none"/>
              </w:rPr>
            </w:pP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36D538">
            <w:pPr>
              <w:jc w:val="center"/>
              <w:rPr>
                <w:rFonts w:hint="eastAsia" w:ascii="宋体" w:hAnsi="宋体" w:eastAsia="宋体" w:cs="宋体"/>
                <w:i w:val="0"/>
                <w:color w:val="000000"/>
                <w:sz w:val="21"/>
                <w:szCs w:val="21"/>
                <w:u w:val="none"/>
              </w:rPr>
            </w:pPr>
          </w:p>
        </w:tc>
        <w:tc>
          <w:tcPr>
            <w:tcW w:w="6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6B0FE8">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基本要求，允许正向偏离</w:t>
            </w:r>
          </w:p>
        </w:tc>
      </w:tr>
      <w:tr w14:paraId="0AC94731">
        <w:tblPrEx>
          <w:tblCellMar>
            <w:top w:w="0" w:type="dxa"/>
            <w:left w:w="0" w:type="dxa"/>
            <w:bottom w:w="0" w:type="dxa"/>
            <w:right w:w="0" w:type="dxa"/>
          </w:tblCellMar>
        </w:tblPrEx>
        <w:trPr>
          <w:trHeight w:val="1513" w:hRule="atLeast"/>
        </w:trPr>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D92837">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7</w:t>
            </w:r>
          </w:p>
        </w:tc>
        <w:tc>
          <w:tcPr>
            <w:tcW w:w="131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DFE2F8">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顶部4级迷宫密封</w:t>
            </w:r>
          </w:p>
        </w:tc>
        <w:tc>
          <w:tcPr>
            <w:tcW w:w="25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672CAC">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室体顶部吊钩通过槽设有4级迷宫密封装置。抛丸室顶部密封装置由进口高锰钢护板、2层聚氨酯板、尼龙毛排等组成；前后辅室顶部密封装置由进口高锰钢护板、2层聚氨酯板、尼龙毛排等</w:t>
            </w:r>
          </w:p>
        </w:tc>
        <w:tc>
          <w:tcPr>
            <w:tcW w:w="13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4F01E8">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国内一线品牌，防护需满足使用寿命</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F90B5B">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套</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087299">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6CF485">
            <w:pPr>
              <w:jc w:val="center"/>
              <w:rPr>
                <w:rFonts w:hint="eastAsia" w:ascii="宋体" w:hAnsi="宋体" w:eastAsia="宋体" w:cs="宋体"/>
                <w:i w:val="0"/>
                <w:color w:val="000000"/>
                <w:sz w:val="21"/>
                <w:szCs w:val="21"/>
                <w:u w:val="none"/>
              </w:rPr>
            </w:pP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A1C041">
            <w:pPr>
              <w:jc w:val="center"/>
              <w:rPr>
                <w:rFonts w:hint="eastAsia" w:ascii="宋体" w:hAnsi="宋体" w:eastAsia="宋体" w:cs="宋体"/>
                <w:i w:val="0"/>
                <w:color w:val="000000"/>
                <w:sz w:val="21"/>
                <w:szCs w:val="21"/>
                <w:u w:val="none"/>
              </w:rPr>
            </w:pPr>
          </w:p>
        </w:tc>
        <w:tc>
          <w:tcPr>
            <w:tcW w:w="6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35E920">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基本要求，允许正向偏离</w:t>
            </w:r>
          </w:p>
        </w:tc>
      </w:tr>
      <w:tr w14:paraId="03C387AB">
        <w:tblPrEx>
          <w:tblCellMar>
            <w:top w:w="0" w:type="dxa"/>
            <w:left w:w="0" w:type="dxa"/>
            <w:bottom w:w="0" w:type="dxa"/>
            <w:right w:w="0" w:type="dxa"/>
          </w:tblCellMar>
        </w:tblPrEx>
        <w:trPr>
          <w:trHeight w:val="319" w:hRule="atLeast"/>
        </w:trPr>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D375F9">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8</w:t>
            </w:r>
          </w:p>
        </w:tc>
        <w:tc>
          <w:tcPr>
            <w:tcW w:w="131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D22DB6">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下仓集丸斗</w:t>
            </w:r>
          </w:p>
        </w:tc>
        <w:tc>
          <w:tcPr>
            <w:tcW w:w="25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203071">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16ZMn13耐磨多孔漏砂板、格栅、集丸斗</w:t>
            </w:r>
          </w:p>
        </w:tc>
        <w:tc>
          <w:tcPr>
            <w:tcW w:w="13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A54291">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厂家配套</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490778">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套</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6AA15D">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5B19AA">
            <w:pPr>
              <w:jc w:val="center"/>
              <w:rPr>
                <w:rFonts w:hint="eastAsia" w:ascii="宋体" w:hAnsi="宋体" w:eastAsia="宋体" w:cs="宋体"/>
                <w:i w:val="0"/>
                <w:color w:val="000000"/>
                <w:sz w:val="21"/>
                <w:szCs w:val="21"/>
                <w:u w:val="none"/>
              </w:rPr>
            </w:pP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230FD6">
            <w:pPr>
              <w:jc w:val="center"/>
              <w:rPr>
                <w:rFonts w:hint="eastAsia" w:ascii="宋体" w:hAnsi="宋体" w:eastAsia="宋体" w:cs="宋体"/>
                <w:i w:val="0"/>
                <w:color w:val="000000"/>
                <w:sz w:val="21"/>
                <w:szCs w:val="21"/>
                <w:u w:val="none"/>
              </w:rPr>
            </w:pPr>
          </w:p>
        </w:tc>
        <w:tc>
          <w:tcPr>
            <w:tcW w:w="6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0EA9A8">
            <w:pPr>
              <w:jc w:val="center"/>
              <w:rPr>
                <w:rFonts w:hint="eastAsia" w:ascii="宋体" w:hAnsi="宋体" w:eastAsia="宋体" w:cs="宋体"/>
                <w:i w:val="0"/>
                <w:color w:val="000000"/>
                <w:sz w:val="21"/>
                <w:szCs w:val="21"/>
                <w:u w:val="none"/>
              </w:rPr>
            </w:pPr>
          </w:p>
        </w:tc>
      </w:tr>
      <w:tr w14:paraId="3A65C0C5">
        <w:tblPrEx>
          <w:tblCellMar>
            <w:top w:w="0" w:type="dxa"/>
            <w:left w:w="0" w:type="dxa"/>
            <w:bottom w:w="0" w:type="dxa"/>
            <w:right w:w="0" w:type="dxa"/>
          </w:tblCellMar>
        </w:tblPrEx>
        <w:trPr>
          <w:trHeight w:val="479" w:hRule="atLeast"/>
        </w:trPr>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360E8A">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9</w:t>
            </w:r>
          </w:p>
        </w:tc>
        <w:tc>
          <w:tcPr>
            <w:tcW w:w="131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76348C">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抛丸器总成</w:t>
            </w:r>
          </w:p>
        </w:tc>
        <w:tc>
          <w:tcPr>
            <w:tcW w:w="25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592C03">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直嵌式抛丸器</w:t>
            </w:r>
          </w:p>
        </w:tc>
        <w:tc>
          <w:tcPr>
            <w:tcW w:w="13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429136">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厂家配套</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1EAD00">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套</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F323DB">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16</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610CA4">
            <w:pPr>
              <w:jc w:val="center"/>
              <w:rPr>
                <w:rFonts w:hint="eastAsia" w:ascii="宋体" w:hAnsi="宋体" w:eastAsia="宋体" w:cs="宋体"/>
                <w:i w:val="0"/>
                <w:color w:val="000000"/>
                <w:sz w:val="21"/>
                <w:szCs w:val="21"/>
                <w:u w:val="none"/>
              </w:rPr>
            </w:pP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C811A3">
            <w:pPr>
              <w:jc w:val="center"/>
              <w:rPr>
                <w:rFonts w:hint="eastAsia" w:ascii="宋体" w:hAnsi="宋体" w:eastAsia="宋体" w:cs="宋体"/>
                <w:i w:val="0"/>
                <w:color w:val="000000"/>
                <w:sz w:val="21"/>
                <w:szCs w:val="21"/>
                <w:u w:val="none"/>
              </w:rPr>
            </w:pPr>
          </w:p>
        </w:tc>
        <w:tc>
          <w:tcPr>
            <w:tcW w:w="6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E34119">
            <w:pPr>
              <w:jc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基本要求，允许正向偏离</w:t>
            </w:r>
          </w:p>
        </w:tc>
      </w:tr>
      <w:tr w14:paraId="651E2751">
        <w:tblPrEx>
          <w:tblCellMar>
            <w:top w:w="0" w:type="dxa"/>
            <w:left w:w="0" w:type="dxa"/>
            <w:bottom w:w="0" w:type="dxa"/>
            <w:right w:w="0" w:type="dxa"/>
          </w:tblCellMar>
        </w:tblPrEx>
        <w:trPr>
          <w:trHeight w:val="612" w:hRule="atLeast"/>
        </w:trPr>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A5D726">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10</w:t>
            </w:r>
          </w:p>
        </w:tc>
        <w:tc>
          <w:tcPr>
            <w:tcW w:w="131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32211D">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抛丸器检修机构</w:t>
            </w:r>
          </w:p>
        </w:tc>
        <w:tc>
          <w:tcPr>
            <w:tcW w:w="25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9EA8A8">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抛丸器检修桁架、1t环链电动葫芦、检修平台、爬梯等</w:t>
            </w:r>
          </w:p>
        </w:tc>
        <w:tc>
          <w:tcPr>
            <w:tcW w:w="13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AE98C5">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厂家配套</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A2CCE7">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套</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8E589C">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0CD0E7">
            <w:pPr>
              <w:jc w:val="center"/>
              <w:rPr>
                <w:rFonts w:hint="eastAsia" w:ascii="宋体" w:hAnsi="宋体" w:eastAsia="宋体" w:cs="宋体"/>
                <w:i w:val="0"/>
                <w:color w:val="000000"/>
                <w:sz w:val="21"/>
                <w:szCs w:val="21"/>
                <w:u w:val="none"/>
              </w:rPr>
            </w:pP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9B7BB5">
            <w:pPr>
              <w:jc w:val="center"/>
              <w:rPr>
                <w:rFonts w:hint="eastAsia" w:ascii="宋体" w:hAnsi="宋体" w:eastAsia="宋体" w:cs="宋体"/>
                <w:i w:val="0"/>
                <w:color w:val="000000"/>
                <w:sz w:val="21"/>
                <w:szCs w:val="21"/>
                <w:u w:val="none"/>
              </w:rPr>
            </w:pPr>
          </w:p>
        </w:tc>
        <w:tc>
          <w:tcPr>
            <w:tcW w:w="6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03B9AF">
            <w:pPr>
              <w:jc w:val="center"/>
              <w:rPr>
                <w:rFonts w:hint="eastAsia" w:ascii="宋体" w:hAnsi="宋体" w:eastAsia="宋体" w:cs="宋体"/>
                <w:i w:val="0"/>
                <w:color w:val="000000"/>
                <w:sz w:val="21"/>
                <w:szCs w:val="21"/>
                <w:u w:val="none"/>
              </w:rPr>
            </w:pPr>
          </w:p>
        </w:tc>
      </w:tr>
      <w:tr w14:paraId="170D654F">
        <w:tblPrEx>
          <w:tblCellMar>
            <w:top w:w="0" w:type="dxa"/>
            <w:left w:w="0" w:type="dxa"/>
            <w:bottom w:w="0" w:type="dxa"/>
            <w:right w:w="0" w:type="dxa"/>
          </w:tblCellMar>
        </w:tblPrEx>
        <w:trPr>
          <w:trHeight w:val="651" w:hRule="atLeast"/>
        </w:trPr>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E18770">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11</w:t>
            </w:r>
          </w:p>
        </w:tc>
        <w:tc>
          <w:tcPr>
            <w:tcW w:w="131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DC60FF">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抛丸器降噪房</w:t>
            </w:r>
          </w:p>
        </w:tc>
        <w:tc>
          <w:tcPr>
            <w:tcW w:w="25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9B32C7">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抛丸室两侧抛丸器安装处，加装用于装饰和隔音的防护板，并安装用于进出的安全门</w:t>
            </w:r>
          </w:p>
        </w:tc>
        <w:tc>
          <w:tcPr>
            <w:tcW w:w="13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DE4D36">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厂家配套</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D88D3E">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套</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B7D46F">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4562BC">
            <w:pPr>
              <w:jc w:val="center"/>
              <w:rPr>
                <w:rFonts w:hint="eastAsia" w:ascii="宋体" w:hAnsi="宋体" w:eastAsia="宋体" w:cs="宋体"/>
                <w:i w:val="0"/>
                <w:color w:val="000000"/>
                <w:sz w:val="21"/>
                <w:szCs w:val="21"/>
                <w:u w:val="none"/>
              </w:rPr>
            </w:pP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8F3035">
            <w:pPr>
              <w:jc w:val="center"/>
              <w:rPr>
                <w:rFonts w:hint="eastAsia" w:ascii="宋体" w:hAnsi="宋体" w:eastAsia="宋体" w:cs="宋体"/>
                <w:i w:val="0"/>
                <w:color w:val="000000"/>
                <w:sz w:val="21"/>
                <w:szCs w:val="21"/>
                <w:u w:val="none"/>
              </w:rPr>
            </w:pPr>
          </w:p>
        </w:tc>
        <w:tc>
          <w:tcPr>
            <w:tcW w:w="6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CF726A">
            <w:pPr>
              <w:jc w:val="center"/>
              <w:rPr>
                <w:rFonts w:hint="eastAsia" w:ascii="宋体" w:hAnsi="宋体" w:eastAsia="宋体" w:cs="宋体"/>
                <w:i w:val="0"/>
                <w:color w:val="000000"/>
                <w:sz w:val="21"/>
                <w:szCs w:val="21"/>
                <w:u w:val="none"/>
              </w:rPr>
            </w:pPr>
          </w:p>
        </w:tc>
      </w:tr>
      <w:tr w14:paraId="018C9AD4">
        <w:tblPrEx>
          <w:tblCellMar>
            <w:top w:w="0" w:type="dxa"/>
            <w:left w:w="0" w:type="dxa"/>
            <w:bottom w:w="0" w:type="dxa"/>
            <w:right w:w="0" w:type="dxa"/>
          </w:tblCellMar>
        </w:tblPrEx>
        <w:trPr>
          <w:trHeight w:val="906" w:hRule="atLeast"/>
        </w:trPr>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CA976F">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12</w:t>
            </w:r>
          </w:p>
        </w:tc>
        <w:tc>
          <w:tcPr>
            <w:tcW w:w="1315"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33CB10">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丸砂循环系统</w:t>
            </w:r>
          </w:p>
        </w:tc>
        <w:tc>
          <w:tcPr>
            <w:tcW w:w="25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A95D18">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斗式提升机含提升带、提升斗、上、下提升滚轮、壳体、调节涨紧装置、驱动装置、链轮、链条、轴承等</w:t>
            </w:r>
          </w:p>
        </w:tc>
        <w:tc>
          <w:tcPr>
            <w:tcW w:w="13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7A32E7">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国茂减速机、哈、瓦、洛轴承</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4832DC">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套</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093BD3">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05837C">
            <w:pPr>
              <w:jc w:val="center"/>
              <w:rPr>
                <w:rFonts w:hint="eastAsia" w:ascii="宋体" w:hAnsi="宋体" w:eastAsia="宋体" w:cs="宋体"/>
                <w:i w:val="0"/>
                <w:color w:val="000000"/>
                <w:sz w:val="21"/>
                <w:szCs w:val="21"/>
                <w:u w:val="none"/>
              </w:rPr>
            </w:pP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037E63">
            <w:pPr>
              <w:jc w:val="center"/>
              <w:rPr>
                <w:rFonts w:hint="eastAsia" w:ascii="宋体" w:hAnsi="宋体" w:eastAsia="宋体" w:cs="宋体"/>
                <w:i w:val="0"/>
                <w:color w:val="000000"/>
                <w:sz w:val="21"/>
                <w:szCs w:val="21"/>
                <w:u w:val="none"/>
              </w:rPr>
            </w:pPr>
          </w:p>
        </w:tc>
        <w:tc>
          <w:tcPr>
            <w:tcW w:w="6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B2C14C">
            <w:pPr>
              <w:jc w:val="center"/>
              <w:rPr>
                <w:rFonts w:hint="eastAsia" w:ascii="宋体" w:hAnsi="宋体" w:eastAsia="宋体" w:cs="宋体"/>
                <w:i w:val="0"/>
                <w:color w:val="000000"/>
                <w:sz w:val="21"/>
                <w:szCs w:val="21"/>
                <w:u w:val="none"/>
              </w:rPr>
            </w:pPr>
          </w:p>
        </w:tc>
      </w:tr>
      <w:tr w14:paraId="2C0DC748">
        <w:tblPrEx>
          <w:tblCellMar>
            <w:top w:w="0" w:type="dxa"/>
            <w:left w:w="0" w:type="dxa"/>
            <w:bottom w:w="0" w:type="dxa"/>
            <w:right w:w="0" w:type="dxa"/>
          </w:tblCellMar>
        </w:tblPrEx>
        <w:trPr>
          <w:trHeight w:val="630" w:hRule="atLeast"/>
        </w:trPr>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7F06ED">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13</w:t>
            </w:r>
          </w:p>
        </w:tc>
        <w:tc>
          <w:tcPr>
            <w:tcW w:w="131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9F789C">
            <w:pPr>
              <w:jc w:val="center"/>
              <w:rPr>
                <w:rFonts w:hint="eastAsia" w:ascii="宋体" w:hAnsi="宋体" w:eastAsia="宋体" w:cs="宋体"/>
                <w:i w:val="0"/>
                <w:color w:val="000000"/>
                <w:sz w:val="21"/>
                <w:szCs w:val="21"/>
                <w:u w:val="none"/>
              </w:rPr>
            </w:pPr>
          </w:p>
        </w:tc>
        <w:tc>
          <w:tcPr>
            <w:tcW w:w="25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D74FF5">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分离器含输送螺旋，轴承，链轮，链条，驱动装置等</w:t>
            </w:r>
          </w:p>
        </w:tc>
        <w:tc>
          <w:tcPr>
            <w:tcW w:w="13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6E21DB">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国茂减速机、哈、瓦、洛轴承</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446C6A">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套</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F66386">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CD92DA">
            <w:pPr>
              <w:jc w:val="center"/>
              <w:rPr>
                <w:rFonts w:hint="eastAsia" w:ascii="宋体" w:hAnsi="宋体" w:eastAsia="宋体" w:cs="宋体"/>
                <w:i w:val="0"/>
                <w:color w:val="000000"/>
                <w:sz w:val="21"/>
                <w:szCs w:val="21"/>
                <w:u w:val="none"/>
              </w:rPr>
            </w:pP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702C6E">
            <w:pPr>
              <w:jc w:val="center"/>
              <w:rPr>
                <w:rFonts w:hint="eastAsia" w:ascii="宋体" w:hAnsi="宋体" w:eastAsia="宋体" w:cs="宋体"/>
                <w:i w:val="0"/>
                <w:color w:val="000000"/>
                <w:sz w:val="21"/>
                <w:szCs w:val="21"/>
                <w:u w:val="none"/>
              </w:rPr>
            </w:pPr>
          </w:p>
        </w:tc>
        <w:tc>
          <w:tcPr>
            <w:tcW w:w="6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5855C6">
            <w:pPr>
              <w:jc w:val="center"/>
              <w:rPr>
                <w:rFonts w:hint="eastAsia" w:ascii="宋体" w:hAnsi="宋体" w:eastAsia="宋体" w:cs="宋体"/>
                <w:i w:val="0"/>
                <w:color w:val="000000"/>
                <w:sz w:val="21"/>
                <w:szCs w:val="21"/>
                <w:u w:val="none"/>
              </w:rPr>
            </w:pPr>
          </w:p>
        </w:tc>
      </w:tr>
      <w:tr w14:paraId="71A8CFD8">
        <w:tblPrEx>
          <w:tblCellMar>
            <w:top w:w="0" w:type="dxa"/>
            <w:left w:w="0" w:type="dxa"/>
            <w:bottom w:w="0" w:type="dxa"/>
            <w:right w:w="0" w:type="dxa"/>
          </w:tblCellMar>
        </w:tblPrEx>
        <w:trPr>
          <w:trHeight w:val="319" w:hRule="atLeast"/>
        </w:trPr>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BB6BFA">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14</w:t>
            </w:r>
          </w:p>
        </w:tc>
        <w:tc>
          <w:tcPr>
            <w:tcW w:w="131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C725C0">
            <w:pPr>
              <w:jc w:val="center"/>
              <w:rPr>
                <w:rFonts w:hint="eastAsia" w:ascii="宋体" w:hAnsi="宋体" w:eastAsia="宋体" w:cs="宋体"/>
                <w:i w:val="0"/>
                <w:color w:val="000000"/>
                <w:sz w:val="21"/>
                <w:szCs w:val="21"/>
                <w:u w:val="none"/>
              </w:rPr>
            </w:pPr>
          </w:p>
        </w:tc>
        <w:tc>
          <w:tcPr>
            <w:tcW w:w="25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E6F461">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电控气动控丸阀</w:t>
            </w:r>
          </w:p>
        </w:tc>
        <w:tc>
          <w:tcPr>
            <w:tcW w:w="13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F549D6">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亚德克气缸</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A97641">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套</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A026F6">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16</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E3F611">
            <w:pPr>
              <w:jc w:val="center"/>
              <w:rPr>
                <w:rFonts w:hint="eastAsia" w:ascii="宋体" w:hAnsi="宋体" w:eastAsia="宋体" w:cs="宋体"/>
                <w:i w:val="0"/>
                <w:color w:val="000000"/>
                <w:sz w:val="21"/>
                <w:szCs w:val="21"/>
                <w:u w:val="none"/>
              </w:rPr>
            </w:pP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CFDD8D">
            <w:pPr>
              <w:jc w:val="center"/>
              <w:rPr>
                <w:rFonts w:hint="eastAsia" w:ascii="宋体" w:hAnsi="宋体" w:eastAsia="宋体" w:cs="宋体"/>
                <w:i w:val="0"/>
                <w:color w:val="000000"/>
                <w:sz w:val="21"/>
                <w:szCs w:val="21"/>
                <w:u w:val="none"/>
              </w:rPr>
            </w:pPr>
          </w:p>
        </w:tc>
        <w:tc>
          <w:tcPr>
            <w:tcW w:w="6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8FE830">
            <w:pPr>
              <w:jc w:val="center"/>
              <w:rPr>
                <w:rFonts w:hint="eastAsia" w:ascii="宋体" w:hAnsi="宋体" w:eastAsia="宋体" w:cs="宋体"/>
                <w:i w:val="0"/>
                <w:color w:val="000000"/>
                <w:sz w:val="21"/>
                <w:szCs w:val="21"/>
                <w:u w:val="none"/>
              </w:rPr>
            </w:pPr>
          </w:p>
        </w:tc>
      </w:tr>
      <w:tr w14:paraId="6EB0247A">
        <w:tblPrEx>
          <w:tblCellMar>
            <w:top w:w="0" w:type="dxa"/>
            <w:left w:w="0" w:type="dxa"/>
            <w:bottom w:w="0" w:type="dxa"/>
            <w:right w:w="0" w:type="dxa"/>
          </w:tblCellMar>
        </w:tblPrEx>
        <w:trPr>
          <w:trHeight w:val="371" w:hRule="atLeast"/>
        </w:trPr>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8E5AAA">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15</w:t>
            </w:r>
          </w:p>
        </w:tc>
        <w:tc>
          <w:tcPr>
            <w:tcW w:w="131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5434F6">
            <w:pPr>
              <w:jc w:val="center"/>
              <w:rPr>
                <w:rFonts w:hint="eastAsia" w:ascii="宋体" w:hAnsi="宋体" w:eastAsia="宋体" w:cs="宋体"/>
                <w:i w:val="0"/>
                <w:color w:val="000000"/>
                <w:sz w:val="21"/>
                <w:szCs w:val="21"/>
                <w:u w:val="none"/>
              </w:rPr>
            </w:pPr>
          </w:p>
        </w:tc>
        <w:tc>
          <w:tcPr>
            <w:tcW w:w="25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575CFF">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流丸管、节套、卡箍等</w:t>
            </w:r>
          </w:p>
        </w:tc>
        <w:tc>
          <w:tcPr>
            <w:tcW w:w="13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089B4C">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厂家配套</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C4C428">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套</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33ECAA">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16</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F2CF1A">
            <w:pPr>
              <w:jc w:val="center"/>
              <w:rPr>
                <w:rFonts w:hint="eastAsia" w:ascii="宋体" w:hAnsi="宋体" w:eastAsia="宋体" w:cs="宋体"/>
                <w:i w:val="0"/>
                <w:color w:val="000000"/>
                <w:sz w:val="21"/>
                <w:szCs w:val="21"/>
                <w:u w:val="none"/>
              </w:rPr>
            </w:pP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961FF6">
            <w:pPr>
              <w:jc w:val="center"/>
              <w:rPr>
                <w:rFonts w:hint="eastAsia" w:ascii="宋体" w:hAnsi="宋体" w:eastAsia="宋体" w:cs="宋体"/>
                <w:i w:val="0"/>
                <w:color w:val="000000"/>
                <w:sz w:val="21"/>
                <w:szCs w:val="21"/>
                <w:u w:val="none"/>
              </w:rPr>
            </w:pPr>
          </w:p>
        </w:tc>
        <w:tc>
          <w:tcPr>
            <w:tcW w:w="6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11AA4A">
            <w:pPr>
              <w:jc w:val="center"/>
              <w:rPr>
                <w:rFonts w:hint="eastAsia" w:ascii="宋体" w:hAnsi="宋体" w:eastAsia="宋体" w:cs="宋体"/>
                <w:i w:val="0"/>
                <w:color w:val="000000"/>
                <w:sz w:val="21"/>
                <w:szCs w:val="21"/>
                <w:u w:val="none"/>
              </w:rPr>
            </w:pPr>
          </w:p>
        </w:tc>
      </w:tr>
      <w:tr w14:paraId="10585AEC">
        <w:tblPrEx>
          <w:tblCellMar>
            <w:top w:w="0" w:type="dxa"/>
            <w:left w:w="0" w:type="dxa"/>
            <w:bottom w:w="0" w:type="dxa"/>
            <w:right w:w="0" w:type="dxa"/>
          </w:tblCellMar>
        </w:tblPrEx>
        <w:trPr>
          <w:trHeight w:val="906" w:hRule="atLeast"/>
        </w:trPr>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95B2E5">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16</w:t>
            </w:r>
          </w:p>
        </w:tc>
        <w:tc>
          <w:tcPr>
            <w:tcW w:w="131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0121D6">
            <w:pPr>
              <w:jc w:val="center"/>
              <w:rPr>
                <w:rFonts w:hint="eastAsia" w:ascii="宋体" w:hAnsi="宋体" w:eastAsia="宋体" w:cs="宋体"/>
                <w:i w:val="0"/>
                <w:color w:val="000000"/>
                <w:sz w:val="21"/>
                <w:szCs w:val="21"/>
                <w:u w:val="none"/>
              </w:rPr>
            </w:pPr>
          </w:p>
        </w:tc>
        <w:tc>
          <w:tcPr>
            <w:tcW w:w="25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95E6FB">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水平皮带输送机含机架、调节装置、环形皮带、托辊、立辊、前、后辊筒轴、驱动装置、链轮、链条、轴承等</w:t>
            </w:r>
          </w:p>
        </w:tc>
        <w:tc>
          <w:tcPr>
            <w:tcW w:w="13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FCD0C2">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国茂减速机、哈、瓦、洛轴承</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98638C">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套</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21BB74">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8570AA">
            <w:pPr>
              <w:jc w:val="center"/>
              <w:rPr>
                <w:rFonts w:hint="eastAsia" w:ascii="宋体" w:hAnsi="宋体" w:eastAsia="宋体" w:cs="宋体"/>
                <w:i w:val="0"/>
                <w:color w:val="000000"/>
                <w:sz w:val="21"/>
                <w:szCs w:val="21"/>
                <w:u w:val="none"/>
              </w:rPr>
            </w:pP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497D17">
            <w:pPr>
              <w:jc w:val="center"/>
              <w:rPr>
                <w:rFonts w:hint="eastAsia" w:ascii="宋体" w:hAnsi="宋体" w:eastAsia="宋体" w:cs="宋体"/>
                <w:i w:val="0"/>
                <w:color w:val="000000"/>
                <w:sz w:val="21"/>
                <w:szCs w:val="21"/>
                <w:u w:val="none"/>
              </w:rPr>
            </w:pPr>
          </w:p>
        </w:tc>
        <w:tc>
          <w:tcPr>
            <w:tcW w:w="6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ADF5DB">
            <w:pPr>
              <w:jc w:val="center"/>
              <w:rPr>
                <w:rFonts w:hint="eastAsia" w:ascii="宋体" w:hAnsi="宋体" w:eastAsia="宋体" w:cs="宋体"/>
                <w:i w:val="0"/>
                <w:color w:val="000000"/>
                <w:sz w:val="21"/>
                <w:szCs w:val="21"/>
                <w:u w:val="none"/>
              </w:rPr>
            </w:pPr>
          </w:p>
        </w:tc>
      </w:tr>
      <w:tr w14:paraId="29682C43">
        <w:tblPrEx>
          <w:tblCellMar>
            <w:top w:w="0" w:type="dxa"/>
            <w:left w:w="0" w:type="dxa"/>
            <w:bottom w:w="0" w:type="dxa"/>
            <w:right w:w="0" w:type="dxa"/>
          </w:tblCellMar>
        </w:tblPrEx>
        <w:trPr>
          <w:trHeight w:val="888" w:hRule="atLeast"/>
        </w:trPr>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3C59D7">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17</w:t>
            </w:r>
          </w:p>
        </w:tc>
        <w:tc>
          <w:tcPr>
            <w:tcW w:w="131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AC675E">
            <w:pPr>
              <w:jc w:val="center"/>
              <w:rPr>
                <w:rFonts w:hint="eastAsia" w:ascii="宋体" w:hAnsi="宋体" w:eastAsia="宋体" w:cs="宋体"/>
                <w:i w:val="0"/>
                <w:color w:val="000000"/>
                <w:sz w:val="21"/>
                <w:szCs w:val="21"/>
                <w:u w:val="none"/>
              </w:rPr>
            </w:pPr>
          </w:p>
        </w:tc>
        <w:tc>
          <w:tcPr>
            <w:tcW w:w="25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07667D">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横向螺旋输送器：含壳体，绞龙，轴承，链轮，链条，驱动装置等</w:t>
            </w:r>
          </w:p>
        </w:tc>
        <w:tc>
          <w:tcPr>
            <w:tcW w:w="13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CA481B">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国茂减速机、哈、瓦、洛轴承</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9818B6">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套</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D57986">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71198B">
            <w:pPr>
              <w:jc w:val="center"/>
              <w:rPr>
                <w:rFonts w:hint="eastAsia" w:ascii="宋体" w:hAnsi="宋体" w:eastAsia="宋体" w:cs="宋体"/>
                <w:i w:val="0"/>
                <w:color w:val="000000"/>
                <w:sz w:val="21"/>
                <w:szCs w:val="21"/>
                <w:u w:val="none"/>
              </w:rPr>
            </w:pP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7F13BE">
            <w:pPr>
              <w:jc w:val="center"/>
              <w:rPr>
                <w:rFonts w:hint="eastAsia" w:ascii="宋体" w:hAnsi="宋体" w:eastAsia="宋体" w:cs="宋体"/>
                <w:i w:val="0"/>
                <w:color w:val="000000"/>
                <w:sz w:val="21"/>
                <w:szCs w:val="21"/>
                <w:u w:val="none"/>
              </w:rPr>
            </w:pPr>
          </w:p>
        </w:tc>
        <w:tc>
          <w:tcPr>
            <w:tcW w:w="6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CC1401">
            <w:pPr>
              <w:jc w:val="center"/>
              <w:rPr>
                <w:rFonts w:hint="eastAsia" w:ascii="宋体" w:hAnsi="宋体" w:eastAsia="宋体" w:cs="宋体"/>
                <w:i w:val="0"/>
                <w:color w:val="000000"/>
                <w:sz w:val="21"/>
                <w:szCs w:val="21"/>
                <w:u w:val="none"/>
              </w:rPr>
            </w:pPr>
          </w:p>
        </w:tc>
      </w:tr>
      <w:tr w14:paraId="67119E22">
        <w:tblPrEx>
          <w:tblCellMar>
            <w:top w:w="0" w:type="dxa"/>
            <w:left w:w="0" w:type="dxa"/>
            <w:bottom w:w="0" w:type="dxa"/>
            <w:right w:w="0" w:type="dxa"/>
          </w:tblCellMar>
        </w:tblPrEx>
        <w:trPr>
          <w:trHeight w:val="612" w:hRule="atLeast"/>
        </w:trPr>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09BA0D">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18</w:t>
            </w:r>
          </w:p>
        </w:tc>
        <w:tc>
          <w:tcPr>
            <w:tcW w:w="131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246015">
            <w:pPr>
              <w:jc w:val="center"/>
              <w:rPr>
                <w:rFonts w:hint="eastAsia" w:ascii="宋体" w:hAnsi="宋体" w:eastAsia="宋体" w:cs="宋体"/>
                <w:i w:val="0"/>
                <w:color w:val="000000"/>
                <w:sz w:val="21"/>
                <w:szCs w:val="21"/>
                <w:u w:val="none"/>
              </w:rPr>
            </w:pPr>
          </w:p>
        </w:tc>
        <w:tc>
          <w:tcPr>
            <w:tcW w:w="25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5E4C5B">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纵向螺旋输送器：含壳体，绞龙，轴承，链轮，链条，驱动装置等</w:t>
            </w:r>
          </w:p>
        </w:tc>
        <w:tc>
          <w:tcPr>
            <w:tcW w:w="13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AAA343">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国茂减速机、哈、瓦、洛轴承</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B5FE59">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套</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8954FD">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B3482C">
            <w:pPr>
              <w:jc w:val="center"/>
              <w:rPr>
                <w:rFonts w:hint="eastAsia" w:ascii="宋体" w:hAnsi="宋体" w:eastAsia="宋体" w:cs="宋体"/>
                <w:i w:val="0"/>
                <w:color w:val="000000"/>
                <w:sz w:val="21"/>
                <w:szCs w:val="21"/>
                <w:u w:val="none"/>
              </w:rPr>
            </w:pP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BE7F78">
            <w:pPr>
              <w:jc w:val="center"/>
              <w:rPr>
                <w:rFonts w:hint="eastAsia" w:ascii="宋体" w:hAnsi="宋体" w:eastAsia="宋体" w:cs="宋体"/>
                <w:i w:val="0"/>
                <w:color w:val="000000"/>
                <w:sz w:val="21"/>
                <w:szCs w:val="21"/>
                <w:u w:val="none"/>
              </w:rPr>
            </w:pPr>
          </w:p>
        </w:tc>
        <w:tc>
          <w:tcPr>
            <w:tcW w:w="6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71F661">
            <w:pPr>
              <w:jc w:val="center"/>
              <w:rPr>
                <w:rFonts w:hint="eastAsia" w:ascii="宋体" w:hAnsi="宋体" w:eastAsia="宋体" w:cs="宋体"/>
                <w:i w:val="0"/>
                <w:color w:val="000000"/>
                <w:sz w:val="21"/>
                <w:szCs w:val="21"/>
                <w:u w:val="none"/>
              </w:rPr>
            </w:pPr>
          </w:p>
        </w:tc>
      </w:tr>
      <w:tr w14:paraId="31026240">
        <w:tblPrEx>
          <w:tblCellMar>
            <w:top w:w="0" w:type="dxa"/>
            <w:left w:w="0" w:type="dxa"/>
            <w:bottom w:w="0" w:type="dxa"/>
            <w:right w:w="0" w:type="dxa"/>
          </w:tblCellMar>
        </w:tblPrEx>
        <w:trPr>
          <w:trHeight w:val="608" w:hRule="atLeast"/>
        </w:trPr>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BF99D1">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11</w:t>
            </w:r>
          </w:p>
        </w:tc>
        <w:tc>
          <w:tcPr>
            <w:tcW w:w="131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24DF1D">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照明系统</w:t>
            </w:r>
          </w:p>
        </w:tc>
        <w:tc>
          <w:tcPr>
            <w:tcW w:w="25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97FE62">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倒砂（补喷）室照明、地坑照明</w:t>
            </w:r>
          </w:p>
        </w:tc>
        <w:tc>
          <w:tcPr>
            <w:tcW w:w="13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446E7A">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海洋王、哈工大品牌</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2FE8E2">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套</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29EBE8">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AA4AFC">
            <w:pPr>
              <w:jc w:val="center"/>
              <w:rPr>
                <w:rFonts w:hint="eastAsia" w:ascii="宋体" w:hAnsi="宋体" w:eastAsia="宋体" w:cs="宋体"/>
                <w:i w:val="0"/>
                <w:color w:val="000000"/>
                <w:sz w:val="21"/>
                <w:szCs w:val="21"/>
                <w:u w:val="none"/>
              </w:rPr>
            </w:pP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61FE31">
            <w:pPr>
              <w:jc w:val="center"/>
              <w:rPr>
                <w:rFonts w:hint="eastAsia" w:ascii="宋体" w:hAnsi="宋体" w:eastAsia="宋体" w:cs="宋体"/>
                <w:i w:val="0"/>
                <w:color w:val="000000"/>
                <w:sz w:val="21"/>
                <w:szCs w:val="21"/>
                <w:u w:val="none"/>
              </w:rPr>
            </w:pPr>
          </w:p>
        </w:tc>
        <w:tc>
          <w:tcPr>
            <w:tcW w:w="6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9BE117">
            <w:pPr>
              <w:jc w:val="center"/>
              <w:rPr>
                <w:rFonts w:hint="eastAsia" w:ascii="宋体" w:hAnsi="宋体" w:eastAsia="宋体" w:cs="宋体"/>
                <w:i w:val="0"/>
                <w:color w:val="000000"/>
                <w:sz w:val="21"/>
                <w:szCs w:val="21"/>
                <w:u w:val="none"/>
              </w:rPr>
            </w:pPr>
          </w:p>
        </w:tc>
      </w:tr>
      <w:tr w14:paraId="064CD89B">
        <w:tblPrEx>
          <w:tblCellMar>
            <w:top w:w="0" w:type="dxa"/>
            <w:left w:w="0" w:type="dxa"/>
            <w:bottom w:w="0" w:type="dxa"/>
            <w:right w:w="0" w:type="dxa"/>
          </w:tblCellMar>
        </w:tblPrEx>
        <w:trPr>
          <w:trHeight w:val="612" w:hRule="atLeast"/>
        </w:trPr>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29D94F">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12</w:t>
            </w:r>
          </w:p>
        </w:tc>
        <w:tc>
          <w:tcPr>
            <w:tcW w:w="131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0CCE4C">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平台、踏步梯、扶手</w:t>
            </w:r>
          </w:p>
        </w:tc>
        <w:tc>
          <w:tcPr>
            <w:tcW w:w="25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3D7C1B">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设备主体、提升机、分离器检修平台踏步梯、扶手等</w:t>
            </w:r>
          </w:p>
        </w:tc>
        <w:tc>
          <w:tcPr>
            <w:tcW w:w="13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25AF6D">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厂家配套</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D7CB82">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套</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00D157">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98D0E9">
            <w:pPr>
              <w:jc w:val="center"/>
              <w:rPr>
                <w:rFonts w:hint="eastAsia" w:ascii="宋体" w:hAnsi="宋体" w:eastAsia="宋体" w:cs="宋体"/>
                <w:i w:val="0"/>
                <w:color w:val="000000"/>
                <w:sz w:val="21"/>
                <w:szCs w:val="21"/>
                <w:u w:val="none"/>
              </w:rPr>
            </w:pP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989B8D">
            <w:pPr>
              <w:jc w:val="center"/>
              <w:rPr>
                <w:rFonts w:hint="eastAsia" w:ascii="宋体" w:hAnsi="宋体" w:eastAsia="宋体" w:cs="宋体"/>
                <w:i w:val="0"/>
                <w:color w:val="000000"/>
                <w:sz w:val="21"/>
                <w:szCs w:val="21"/>
                <w:u w:val="none"/>
              </w:rPr>
            </w:pPr>
          </w:p>
        </w:tc>
        <w:tc>
          <w:tcPr>
            <w:tcW w:w="6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0A4E3B">
            <w:pPr>
              <w:jc w:val="center"/>
              <w:rPr>
                <w:rFonts w:hint="eastAsia" w:ascii="宋体" w:hAnsi="宋体" w:eastAsia="宋体" w:cs="宋体"/>
                <w:i w:val="0"/>
                <w:color w:val="000000"/>
                <w:sz w:val="21"/>
                <w:szCs w:val="21"/>
                <w:u w:val="none"/>
              </w:rPr>
            </w:pPr>
          </w:p>
        </w:tc>
      </w:tr>
      <w:tr w14:paraId="12175551">
        <w:tblPrEx>
          <w:tblCellMar>
            <w:top w:w="0" w:type="dxa"/>
            <w:left w:w="0" w:type="dxa"/>
            <w:bottom w:w="0" w:type="dxa"/>
            <w:right w:w="0" w:type="dxa"/>
          </w:tblCellMar>
        </w:tblPrEx>
        <w:trPr>
          <w:trHeight w:val="543" w:hRule="atLeast"/>
        </w:trPr>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9DBAB2">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13</w:t>
            </w:r>
          </w:p>
        </w:tc>
        <w:tc>
          <w:tcPr>
            <w:tcW w:w="131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136D27">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补喷系统</w:t>
            </w:r>
          </w:p>
        </w:tc>
        <w:tc>
          <w:tcPr>
            <w:tcW w:w="25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F05A1F">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喷砂机、喷砂管、喷枪、遥控器等</w:t>
            </w:r>
          </w:p>
        </w:tc>
        <w:tc>
          <w:tcPr>
            <w:tcW w:w="13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4A263B">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厂家配套</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3E3BC0">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套</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5F6FBE">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313653">
            <w:pPr>
              <w:jc w:val="center"/>
              <w:rPr>
                <w:rFonts w:hint="eastAsia" w:ascii="宋体" w:hAnsi="宋体" w:eastAsia="宋体" w:cs="宋体"/>
                <w:i w:val="0"/>
                <w:color w:val="000000"/>
                <w:sz w:val="21"/>
                <w:szCs w:val="21"/>
                <w:u w:val="none"/>
              </w:rPr>
            </w:pP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5D8FD7">
            <w:pPr>
              <w:jc w:val="center"/>
              <w:rPr>
                <w:rFonts w:hint="eastAsia" w:ascii="宋体" w:hAnsi="宋体" w:eastAsia="宋体" w:cs="宋体"/>
                <w:i w:val="0"/>
                <w:color w:val="000000"/>
                <w:sz w:val="21"/>
                <w:szCs w:val="21"/>
                <w:u w:val="none"/>
              </w:rPr>
            </w:pPr>
          </w:p>
        </w:tc>
        <w:tc>
          <w:tcPr>
            <w:tcW w:w="6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570BF1">
            <w:pPr>
              <w:keepNext w:val="0"/>
              <w:keepLines w:val="0"/>
              <w:widowControl/>
              <w:suppressLineNumbers w:val="0"/>
              <w:jc w:val="center"/>
              <w:textAlignment w:val="top"/>
              <w:rPr>
                <w:rFonts w:hint="eastAsia" w:ascii="宋体" w:hAnsi="宋体" w:eastAsia="宋体" w:cs="宋体"/>
                <w:i w:val="0"/>
                <w:color w:val="000000"/>
                <w:sz w:val="21"/>
                <w:szCs w:val="21"/>
                <w:u w:val="none"/>
              </w:rPr>
            </w:pPr>
          </w:p>
        </w:tc>
      </w:tr>
      <w:tr w14:paraId="1EBC4A0B">
        <w:tblPrEx>
          <w:tblCellMar>
            <w:top w:w="0" w:type="dxa"/>
            <w:left w:w="0" w:type="dxa"/>
            <w:bottom w:w="0" w:type="dxa"/>
            <w:right w:w="0" w:type="dxa"/>
          </w:tblCellMar>
        </w:tblPrEx>
        <w:trPr>
          <w:trHeight w:val="612" w:hRule="atLeast"/>
        </w:trPr>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F55165">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14</w:t>
            </w:r>
          </w:p>
        </w:tc>
        <w:tc>
          <w:tcPr>
            <w:tcW w:w="1315"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350A89">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除尘系统</w:t>
            </w:r>
          </w:p>
        </w:tc>
        <w:tc>
          <w:tcPr>
            <w:tcW w:w="25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87FFC9">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沉降集丸器、旋风除尘器、脉冲反吹滤筒除尘器</w:t>
            </w:r>
          </w:p>
        </w:tc>
        <w:tc>
          <w:tcPr>
            <w:tcW w:w="13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269068">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国内一线</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8C930E">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套</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53CC0D">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BFDBA7">
            <w:pPr>
              <w:jc w:val="center"/>
              <w:rPr>
                <w:rFonts w:hint="eastAsia" w:ascii="宋体" w:hAnsi="宋体" w:eastAsia="宋体" w:cs="宋体"/>
                <w:i w:val="0"/>
                <w:color w:val="000000"/>
                <w:sz w:val="21"/>
                <w:szCs w:val="21"/>
                <w:u w:val="none"/>
              </w:rPr>
            </w:pP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9223CF">
            <w:pPr>
              <w:jc w:val="center"/>
              <w:rPr>
                <w:rFonts w:hint="eastAsia" w:ascii="宋体" w:hAnsi="宋体" w:eastAsia="宋体" w:cs="宋体"/>
                <w:i w:val="0"/>
                <w:color w:val="000000"/>
                <w:sz w:val="21"/>
                <w:szCs w:val="21"/>
                <w:u w:val="none"/>
              </w:rPr>
            </w:pPr>
          </w:p>
        </w:tc>
        <w:tc>
          <w:tcPr>
            <w:tcW w:w="6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A50392">
            <w:pPr>
              <w:jc w:val="center"/>
              <w:rPr>
                <w:rFonts w:hint="eastAsia" w:ascii="宋体" w:hAnsi="宋体" w:eastAsia="宋体" w:cs="宋体"/>
                <w:i w:val="0"/>
                <w:color w:val="000000"/>
                <w:sz w:val="21"/>
                <w:szCs w:val="21"/>
                <w:u w:val="none"/>
              </w:rPr>
            </w:pPr>
          </w:p>
        </w:tc>
      </w:tr>
      <w:tr w14:paraId="0147A877">
        <w:tblPrEx>
          <w:tblCellMar>
            <w:top w:w="0" w:type="dxa"/>
            <w:left w:w="0" w:type="dxa"/>
            <w:bottom w:w="0" w:type="dxa"/>
            <w:right w:w="0" w:type="dxa"/>
          </w:tblCellMar>
        </w:tblPrEx>
        <w:trPr>
          <w:trHeight w:val="759" w:hRule="atLeast"/>
        </w:trPr>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E52386">
            <w:pPr>
              <w:jc w:val="center"/>
              <w:rPr>
                <w:rFonts w:hint="eastAsia" w:ascii="宋体" w:hAnsi="宋体" w:eastAsia="宋体" w:cs="宋体"/>
                <w:i w:val="0"/>
                <w:color w:val="000000"/>
                <w:sz w:val="21"/>
                <w:szCs w:val="21"/>
                <w:u w:val="none"/>
              </w:rPr>
            </w:pPr>
          </w:p>
        </w:tc>
        <w:tc>
          <w:tcPr>
            <w:tcW w:w="131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B7C38C">
            <w:pPr>
              <w:jc w:val="center"/>
              <w:rPr>
                <w:rFonts w:hint="eastAsia" w:ascii="宋体" w:hAnsi="宋体" w:eastAsia="宋体" w:cs="宋体"/>
                <w:i w:val="0"/>
                <w:color w:val="000000"/>
                <w:sz w:val="21"/>
                <w:szCs w:val="21"/>
                <w:u w:val="none"/>
              </w:rPr>
            </w:pPr>
          </w:p>
        </w:tc>
        <w:tc>
          <w:tcPr>
            <w:tcW w:w="25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4561DB">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除尘风管、风量调节蝶阀、消音器、隔音房、烟囱等</w:t>
            </w:r>
          </w:p>
        </w:tc>
        <w:tc>
          <w:tcPr>
            <w:tcW w:w="13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E9A109">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厂家配套</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D41267">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套</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0DA801">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DB4A98">
            <w:pPr>
              <w:jc w:val="center"/>
              <w:rPr>
                <w:rFonts w:hint="eastAsia" w:ascii="宋体" w:hAnsi="宋体" w:eastAsia="宋体" w:cs="宋体"/>
                <w:i w:val="0"/>
                <w:color w:val="000000"/>
                <w:sz w:val="21"/>
                <w:szCs w:val="21"/>
                <w:u w:val="none"/>
              </w:rPr>
            </w:pP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884517">
            <w:pPr>
              <w:jc w:val="center"/>
              <w:rPr>
                <w:rFonts w:hint="eastAsia" w:ascii="宋体" w:hAnsi="宋体" w:eastAsia="宋体" w:cs="宋体"/>
                <w:i w:val="0"/>
                <w:color w:val="000000"/>
                <w:sz w:val="21"/>
                <w:szCs w:val="21"/>
                <w:u w:val="none"/>
              </w:rPr>
            </w:pPr>
          </w:p>
        </w:tc>
        <w:tc>
          <w:tcPr>
            <w:tcW w:w="6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6B231D">
            <w:pPr>
              <w:jc w:val="center"/>
              <w:rPr>
                <w:rFonts w:hint="eastAsia" w:ascii="宋体" w:hAnsi="宋体" w:eastAsia="宋体" w:cs="宋体"/>
                <w:i w:val="0"/>
                <w:color w:val="000000"/>
                <w:sz w:val="21"/>
                <w:szCs w:val="21"/>
                <w:u w:val="none"/>
              </w:rPr>
            </w:pPr>
          </w:p>
        </w:tc>
      </w:tr>
      <w:tr w14:paraId="2996DFC1">
        <w:tblPrEx>
          <w:tblCellMar>
            <w:top w:w="0" w:type="dxa"/>
            <w:left w:w="0" w:type="dxa"/>
            <w:bottom w:w="0" w:type="dxa"/>
            <w:right w:w="0" w:type="dxa"/>
          </w:tblCellMar>
        </w:tblPrEx>
        <w:trPr>
          <w:trHeight w:val="612" w:hRule="atLeast"/>
        </w:trPr>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818010">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15</w:t>
            </w:r>
          </w:p>
        </w:tc>
        <w:tc>
          <w:tcPr>
            <w:tcW w:w="131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15716F">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电控系统</w:t>
            </w:r>
          </w:p>
        </w:tc>
        <w:tc>
          <w:tcPr>
            <w:tcW w:w="25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06374D">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仿威图集控柜、西门子PLC、昆仑通太液晶显示器、施耐德电器元件等</w:t>
            </w:r>
          </w:p>
        </w:tc>
        <w:tc>
          <w:tcPr>
            <w:tcW w:w="13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817F8C">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DB108F">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套</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126E52">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3609A0">
            <w:pPr>
              <w:jc w:val="center"/>
              <w:rPr>
                <w:rFonts w:hint="eastAsia" w:ascii="宋体" w:hAnsi="宋体" w:eastAsia="宋体" w:cs="宋体"/>
                <w:i w:val="0"/>
                <w:color w:val="000000"/>
                <w:sz w:val="21"/>
                <w:szCs w:val="21"/>
                <w:u w:val="none"/>
              </w:rPr>
            </w:pP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D3970A">
            <w:pPr>
              <w:jc w:val="center"/>
              <w:rPr>
                <w:rFonts w:hint="eastAsia" w:ascii="宋体" w:hAnsi="宋体" w:eastAsia="宋体" w:cs="宋体"/>
                <w:i w:val="0"/>
                <w:color w:val="000000"/>
                <w:sz w:val="21"/>
                <w:szCs w:val="21"/>
                <w:u w:val="none"/>
              </w:rPr>
            </w:pPr>
          </w:p>
        </w:tc>
        <w:tc>
          <w:tcPr>
            <w:tcW w:w="6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2A77A9">
            <w:pPr>
              <w:jc w:val="center"/>
              <w:rPr>
                <w:rFonts w:hint="eastAsia" w:ascii="宋体" w:hAnsi="宋体" w:eastAsia="宋体" w:cs="宋体"/>
                <w:i w:val="0"/>
                <w:color w:val="000000"/>
                <w:sz w:val="21"/>
                <w:szCs w:val="21"/>
                <w:u w:val="none"/>
              </w:rPr>
            </w:pPr>
          </w:p>
        </w:tc>
      </w:tr>
      <w:tr w14:paraId="22FAA703">
        <w:tblPrEx>
          <w:tblCellMar>
            <w:top w:w="0" w:type="dxa"/>
            <w:left w:w="0" w:type="dxa"/>
            <w:bottom w:w="0" w:type="dxa"/>
            <w:right w:w="0" w:type="dxa"/>
          </w:tblCellMar>
        </w:tblPrEx>
        <w:trPr>
          <w:trHeight w:val="716" w:hRule="atLeast"/>
        </w:trPr>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AC31B7">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16</w:t>
            </w:r>
          </w:p>
        </w:tc>
        <w:tc>
          <w:tcPr>
            <w:tcW w:w="131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3C4A1C">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气控系统</w:t>
            </w:r>
          </w:p>
        </w:tc>
        <w:tc>
          <w:tcPr>
            <w:tcW w:w="25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E665C2">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气控箱、三位五通电磁阀、气管、快接等</w:t>
            </w:r>
          </w:p>
        </w:tc>
        <w:tc>
          <w:tcPr>
            <w:tcW w:w="13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C41DBE">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亚德克</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9EC025">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套</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D946CB">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70EE5B">
            <w:pPr>
              <w:jc w:val="center"/>
              <w:rPr>
                <w:rFonts w:hint="eastAsia" w:ascii="宋体" w:hAnsi="宋体" w:eastAsia="宋体" w:cs="宋体"/>
                <w:i w:val="0"/>
                <w:color w:val="000000"/>
                <w:sz w:val="21"/>
                <w:szCs w:val="21"/>
                <w:u w:val="none"/>
              </w:rPr>
            </w:pP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97F377">
            <w:pPr>
              <w:jc w:val="center"/>
              <w:rPr>
                <w:rFonts w:hint="eastAsia" w:ascii="宋体" w:hAnsi="宋体" w:eastAsia="宋体" w:cs="宋体"/>
                <w:i w:val="0"/>
                <w:color w:val="000000"/>
                <w:sz w:val="21"/>
                <w:szCs w:val="21"/>
                <w:u w:val="none"/>
              </w:rPr>
            </w:pPr>
          </w:p>
        </w:tc>
        <w:tc>
          <w:tcPr>
            <w:tcW w:w="6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74E0AD">
            <w:pPr>
              <w:jc w:val="center"/>
              <w:rPr>
                <w:rFonts w:hint="eastAsia" w:ascii="宋体" w:hAnsi="宋体" w:eastAsia="宋体" w:cs="宋体"/>
                <w:i w:val="0"/>
                <w:color w:val="000000"/>
                <w:sz w:val="21"/>
                <w:szCs w:val="21"/>
                <w:u w:val="none"/>
              </w:rPr>
            </w:pPr>
          </w:p>
        </w:tc>
      </w:tr>
      <w:tr w14:paraId="36944C4D">
        <w:tblPrEx>
          <w:tblCellMar>
            <w:top w:w="0" w:type="dxa"/>
            <w:left w:w="0" w:type="dxa"/>
            <w:bottom w:w="0" w:type="dxa"/>
            <w:right w:w="0" w:type="dxa"/>
          </w:tblCellMar>
        </w:tblPrEx>
        <w:trPr>
          <w:trHeight w:val="319" w:hRule="atLeast"/>
        </w:trPr>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66DDD4">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17</w:t>
            </w:r>
          </w:p>
        </w:tc>
        <w:tc>
          <w:tcPr>
            <w:tcW w:w="131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E9C248">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油漆</w:t>
            </w:r>
          </w:p>
        </w:tc>
        <w:tc>
          <w:tcPr>
            <w:tcW w:w="25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658F8A">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根据买方提供色标</w:t>
            </w:r>
          </w:p>
        </w:tc>
        <w:tc>
          <w:tcPr>
            <w:tcW w:w="13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5241A7">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佐敦</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5194A1">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套</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4EA4C2">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F95D84">
            <w:pPr>
              <w:jc w:val="center"/>
              <w:rPr>
                <w:rFonts w:hint="eastAsia" w:ascii="宋体" w:hAnsi="宋体" w:eastAsia="宋体" w:cs="宋体"/>
                <w:i w:val="0"/>
                <w:color w:val="000000"/>
                <w:sz w:val="21"/>
                <w:szCs w:val="21"/>
                <w:u w:val="none"/>
              </w:rPr>
            </w:pP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01F625">
            <w:pPr>
              <w:jc w:val="center"/>
              <w:rPr>
                <w:rFonts w:hint="eastAsia" w:ascii="宋体" w:hAnsi="宋体" w:eastAsia="宋体" w:cs="宋体"/>
                <w:i w:val="0"/>
                <w:color w:val="000000"/>
                <w:sz w:val="21"/>
                <w:szCs w:val="21"/>
                <w:u w:val="none"/>
              </w:rPr>
            </w:pPr>
          </w:p>
        </w:tc>
        <w:tc>
          <w:tcPr>
            <w:tcW w:w="6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FBE0F9">
            <w:pPr>
              <w:jc w:val="center"/>
              <w:rPr>
                <w:rFonts w:hint="eastAsia" w:ascii="宋体" w:hAnsi="宋体" w:eastAsia="宋体" w:cs="宋体"/>
                <w:i w:val="0"/>
                <w:color w:val="000000"/>
                <w:sz w:val="21"/>
                <w:szCs w:val="21"/>
                <w:u w:val="none"/>
              </w:rPr>
            </w:pPr>
          </w:p>
        </w:tc>
      </w:tr>
      <w:tr w14:paraId="3C96FDB0">
        <w:tblPrEx>
          <w:tblCellMar>
            <w:top w:w="0" w:type="dxa"/>
            <w:left w:w="0" w:type="dxa"/>
            <w:bottom w:w="0" w:type="dxa"/>
            <w:right w:w="0" w:type="dxa"/>
          </w:tblCellMar>
        </w:tblPrEx>
        <w:trPr>
          <w:trHeight w:val="436" w:hRule="atLeast"/>
        </w:trPr>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EEC159">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19</w:t>
            </w:r>
          </w:p>
        </w:tc>
        <w:tc>
          <w:tcPr>
            <w:tcW w:w="131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C40CFD">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安装调试费</w:t>
            </w:r>
          </w:p>
        </w:tc>
        <w:tc>
          <w:tcPr>
            <w:tcW w:w="25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58FF71">
            <w:pPr>
              <w:jc w:val="center"/>
              <w:rPr>
                <w:rFonts w:hint="eastAsia" w:ascii="宋体" w:hAnsi="宋体" w:eastAsia="宋体" w:cs="宋体"/>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AA7447">
            <w:pPr>
              <w:jc w:val="center"/>
              <w:rPr>
                <w:rFonts w:hint="eastAsia" w:ascii="宋体" w:hAnsi="宋体" w:eastAsia="宋体" w:cs="宋体"/>
                <w:i w:val="0"/>
                <w:color w:val="000000"/>
                <w:sz w:val="21"/>
                <w:szCs w:val="21"/>
                <w:u w:val="none"/>
              </w:rPr>
            </w:pP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E2A375">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套</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F9AB43">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A6E103">
            <w:pPr>
              <w:jc w:val="center"/>
              <w:rPr>
                <w:rFonts w:hint="eastAsia" w:ascii="宋体" w:hAnsi="宋体" w:eastAsia="宋体" w:cs="宋体"/>
                <w:i w:val="0"/>
                <w:color w:val="000000"/>
                <w:sz w:val="21"/>
                <w:szCs w:val="21"/>
                <w:u w:val="none"/>
              </w:rPr>
            </w:pP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820373">
            <w:pPr>
              <w:jc w:val="center"/>
              <w:rPr>
                <w:rFonts w:hint="eastAsia" w:ascii="宋体" w:hAnsi="宋体" w:eastAsia="宋体" w:cs="宋体"/>
                <w:i w:val="0"/>
                <w:color w:val="000000"/>
                <w:sz w:val="21"/>
                <w:szCs w:val="21"/>
                <w:u w:val="none"/>
              </w:rPr>
            </w:pPr>
          </w:p>
        </w:tc>
        <w:tc>
          <w:tcPr>
            <w:tcW w:w="6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A94D31">
            <w:pPr>
              <w:jc w:val="center"/>
              <w:rPr>
                <w:rFonts w:hint="eastAsia" w:ascii="宋体" w:hAnsi="宋体" w:eastAsia="宋体" w:cs="宋体"/>
                <w:i w:val="0"/>
                <w:color w:val="000000"/>
                <w:sz w:val="21"/>
                <w:szCs w:val="21"/>
                <w:u w:val="none"/>
              </w:rPr>
            </w:pPr>
          </w:p>
        </w:tc>
      </w:tr>
      <w:tr w14:paraId="5EB31656">
        <w:tblPrEx>
          <w:tblCellMar>
            <w:top w:w="0" w:type="dxa"/>
            <w:left w:w="0" w:type="dxa"/>
            <w:bottom w:w="0" w:type="dxa"/>
            <w:right w:w="0" w:type="dxa"/>
          </w:tblCellMar>
        </w:tblPrEx>
        <w:trPr>
          <w:trHeight w:val="319" w:hRule="atLeast"/>
        </w:trPr>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E403B5">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20</w:t>
            </w:r>
          </w:p>
        </w:tc>
        <w:tc>
          <w:tcPr>
            <w:tcW w:w="131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094B70">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税费</w:t>
            </w:r>
          </w:p>
        </w:tc>
        <w:tc>
          <w:tcPr>
            <w:tcW w:w="25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E31AF9">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13%增值税</w:t>
            </w:r>
          </w:p>
        </w:tc>
        <w:tc>
          <w:tcPr>
            <w:tcW w:w="13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85CF4D">
            <w:pPr>
              <w:jc w:val="center"/>
              <w:rPr>
                <w:rFonts w:hint="eastAsia" w:ascii="宋体" w:hAnsi="宋体" w:eastAsia="宋体" w:cs="宋体"/>
                <w:i w:val="0"/>
                <w:color w:val="000000"/>
                <w:sz w:val="21"/>
                <w:szCs w:val="21"/>
                <w:u w:val="none"/>
              </w:rPr>
            </w:pP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09A2A6">
            <w:pPr>
              <w:jc w:val="center"/>
              <w:rPr>
                <w:rFonts w:hint="eastAsia" w:ascii="宋体" w:hAnsi="宋体" w:eastAsia="宋体" w:cs="宋体"/>
                <w:i w:val="0"/>
                <w:color w:val="000000"/>
                <w:sz w:val="21"/>
                <w:szCs w:val="21"/>
                <w:u w:val="none"/>
              </w:rPr>
            </w:pP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D14B19">
            <w:pPr>
              <w:jc w:val="center"/>
              <w:rPr>
                <w:rFonts w:hint="eastAsia" w:ascii="宋体" w:hAnsi="宋体" w:eastAsia="宋体" w:cs="宋体"/>
                <w:i w:val="0"/>
                <w:color w:val="000000"/>
                <w:sz w:val="21"/>
                <w:szCs w:val="21"/>
                <w:u w:val="none"/>
              </w:rPr>
            </w:pP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FC671A">
            <w:pPr>
              <w:jc w:val="center"/>
              <w:rPr>
                <w:rFonts w:hint="eastAsia" w:ascii="宋体" w:hAnsi="宋体" w:eastAsia="宋体" w:cs="宋体"/>
                <w:i w:val="0"/>
                <w:color w:val="000000"/>
                <w:sz w:val="21"/>
                <w:szCs w:val="21"/>
                <w:u w:val="none"/>
              </w:rPr>
            </w:pP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D7CD36">
            <w:pPr>
              <w:jc w:val="center"/>
              <w:rPr>
                <w:rFonts w:hint="eastAsia" w:ascii="宋体" w:hAnsi="宋体" w:eastAsia="宋体" w:cs="宋体"/>
                <w:i w:val="0"/>
                <w:color w:val="000000"/>
                <w:sz w:val="21"/>
                <w:szCs w:val="21"/>
                <w:u w:val="none"/>
              </w:rPr>
            </w:pPr>
          </w:p>
        </w:tc>
        <w:tc>
          <w:tcPr>
            <w:tcW w:w="6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0F73C1">
            <w:pPr>
              <w:jc w:val="center"/>
              <w:rPr>
                <w:rFonts w:hint="eastAsia" w:ascii="宋体" w:hAnsi="宋体" w:eastAsia="宋体" w:cs="宋体"/>
                <w:i w:val="0"/>
                <w:color w:val="000000"/>
                <w:sz w:val="21"/>
                <w:szCs w:val="21"/>
                <w:u w:val="none"/>
              </w:rPr>
            </w:pPr>
          </w:p>
        </w:tc>
      </w:tr>
      <w:tr w14:paraId="1A894266">
        <w:tblPrEx>
          <w:tblCellMar>
            <w:top w:w="0" w:type="dxa"/>
            <w:left w:w="0" w:type="dxa"/>
            <w:bottom w:w="0" w:type="dxa"/>
            <w:right w:w="0" w:type="dxa"/>
          </w:tblCellMar>
        </w:tblPrEx>
        <w:trPr>
          <w:trHeight w:val="608" w:hRule="atLeast"/>
        </w:trPr>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6F6F1B">
            <w:pPr>
              <w:jc w:val="center"/>
              <w:rPr>
                <w:rFonts w:hint="eastAsia" w:ascii="宋体" w:hAnsi="宋体" w:eastAsia="宋体" w:cs="宋体"/>
                <w:i w:val="0"/>
                <w:color w:val="000000"/>
                <w:sz w:val="21"/>
                <w:szCs w:val="21"/>
                <w:u w:val="none"/>
              </w:rPr>
            </w:pPr>
          </w:p>
        </w:tc>
        <w:tc>
          <w:tcPr>
            <w:tcW w:w="131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1AEDAD">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合计总价（大写）</w:t>
            </w:r>
          </w:p>
        </w:tc>
        <w:tc>
          <w:tcPr>
            <w:tcW w:w="5249"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EDD3AF">
            <w:pPr>
              <w:jc w:val="center"/>
              <w:rPr>
                <w:rFonts w:hint="eastAsia" w:ascii="宋体" w:hAnsi="宋体" w:eastAsia="宋体" w:cs="宋体"/>
                <w:i w:val="0"/>
                <w:color w:val="000000"/>
                <w:sz w:val="21"/>
                <w:szCs w:val="21"/>
                <w:u w:val="none"/>
              </w:rPr>
            </w:pP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9233F1">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小写</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5B1EE6">
            <w:pPr>
              <w:jc w:val="center"/>
              <w:rPr>
                <w:rFonts w:hint="eastAsia" w:ascii="宋体" w:hAnsi="宋体" w:eastAsia="宋体" w:cs="宋体"/>
                <w:i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DD9A04">
            <w:pPr>
              <w:jc w:val="center"/>
              <w:rPr>
                <w:rFonts w:hint="eastAsia" w:ascii="宋体" w:hAnsi="宋体" w:eastAsia="宋体" w:cs="宋体"/>
                <w:i w:val="0"/>
                <w:color w:val="000000"/>
                <w:sz w:val="22"/>
                <w:szCs w:val="22"/>
                <w:u w:val="none"/>
              </w:rPr>
            </w:pPr>
          </w:p>
        </w:tc>
      </w:tr>
      <w:tr w14:paraId="7547A193">
        <w:tblPrEx>
          <w:tblCellMar>
            <w:top w:w="0" w:type="dxa"/>
            <w:left w:w="0" w:type="dxa"/>
            <w:bottom w:w="0" w:type="dxa"/>
            <w:right w:w="0" w:type="dxa"/>
          </w:tblCellMar>
        </w:tblPrEx>
        <w:trPr>
          <w:trHeight w:val="856" w:hRule="atLeast"/>
        </w:trPr>
        <w:tc>
          <w:tcPr>
            <w:tcW w:w="0" w:type="auto"/>
            <w:gridSpan w:val="9"/>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DDD56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注：所有功率电机必须选用一级能耗</w:t>
            </w:r>
          </w:p>
        </w:tc>
      </w:tr>
    </w:tbl>
    <w:p w14:paraId="51205935">
      <w:pPr>
        <w:spacing w:line="660" w:lineRule="exact"/>
        <w:rPr>
          <w:rFonts w:ascii="宋体" w:hAnsi="宋体" w:eastAsia="宋体" w:cs="Times New Roman"/>
          <w:sz w:val="24"/>
          <w:szCs w:val="20"/>
        </w:rPr>
      </w:pPr>
    </w:p>
    <w:p w14:paraId="69107E41">
      <w:pPr>
        <w:spacing w:line="660" w:lineRule="exact"/>
        <w:rPr>
          <w:rFonts w:ascii="宋体" w:hAnsi="宋体" w:eastAsia="宋体" w:cs="Times New Roman"/>
          <w:sz w:val="24"/>
          <w:szCs w:val="20"/>
        </w:rPr>
      </w:pPr>
    </w:p>
    <w:p w14:paraId="7BE3A3B8">
      <w:pPr>
        <w:spacing w:line="660" w:lineRule="exact"/>
        <w:rPr>
          <w:rFonts w:ascii="宋体" w:hAnsi="宋体" w:eastAsia="宋体" w:cs="Times New Roman"/>
          <w:sz w:val="24"/>
          <w:szCs w:val="20"/>
        </w:rPr>
      </w:pPr>
      <w:r>
        <w:rPr>
          <w:rFonts w:ascii="宋体" w:hAnsi="宋体" w:eastAsia="宋体" w:cs="Times New Roman"/>
          <w:sz w:val="24"/>
          <w:szCs w:val="20"/>
        </w:rPr>
        <w:br w:type="page"/>
      </w:r>
    </w:p>
    <w:p w14:paraId="3312E3A7">
      <w:pPr>
        <w:spacing w:line="660" w:lineRule="exact"/>
        <w:rPr>
          <w:rFonts w:ascii="宋体" w:hAnsi="Calibri" w:eastAsia="宋体" w:cs="Times New Roman"/>
          <w:sz w:val="24"/>
          <w:szCs w:val="20"/>
        </w:rPr>
        <w:sectPr>
          <w:footerReference r:id="rId16" w:type="first"/>
          <w:footerReference r:id="rId15" w:type="default"/>
          <w:pgSz w:w="11907" w:h="16840"/>
          <w:pgMar w:top="1588" w:right="1418" w:bottom="1134" w:left="1418" w:header="851" w:footer="992" w:gutter="0"/>
          <w:cols w:space="720" w:num="1"/>
          <w:titlePg/>
          <w:docGrid w:linePitch="312" w:charSpace="0"/>
        </w:sectPr>
      </w:pPr>
    </w:p>
    <w:p w14:paraId="00A4BB5C">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附件10</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商务条款偏离表</w:t>
      </w:r>
    </w:p>
    <w:p w14:paraId="4AB45B6A">
      <w:pPr>
        <w:rPr>
          <w:rFonts w:ascii="Calibri" w:hAnsi="Calibri" w:eastAsia="宋体" w:cs="Times New Roman"/>
          <w:szCs w:val="20"/>
        </w:rPr>
      </w:pPr>
    </w:p>
    <w:tbl>
      <w:tblPr>
        <w:tblStyle w:val="42"/>
        <w:tblW w:w="9056"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651"/>
        <w:gridCol w:w="2875"/>
        <w:gridCol w:w="2885"/>
        <w:gridCol w:w="1645"/>
      </w:tblGrid>
      <w:tr w14:paraId="042C711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0423C4AF">
            <w:pPr>
              <w:jc w:val="center"/>
              <w:rPr>
                <w:rFonts w:ascii="Times New Roman" w:hAnsi="Times New Roman" w:eastAsia="宋体" w:cs="Times New Roman"/>
                <w:b/>
                <w:szCs w:val="20"/>
              </w:rPr>
            </w:pPr>
            <w:r>
              <w:rPr>
                <w:rFonts w:hint="eastAsia" w:ascii="宋体" w:hAnsi="宋体" w:eastAsia="宋体" w:cs="宋体"/>
                <w:sz w:val="24"/>
                <w:szCs w:val="24"/>
                <w:u w:val="single"/>
              </w:rPr>
              <w:t xml:space="preserve"> </w:t>
            </w:r>
            <w:r>
              <w:rPr>
                <w:rFonts w:ascii="宋体" w:hAnsi="宋体" w:eastAsia="宋体" w:cs="宋体"/>
                <w:sz w:val="24"/>
                <w:szCs w:val="24"/>
                <w:u w:val="single"/>
              </w:rPr>
              <w:t xml:space="preserve">   </w:t>
            </w:r>
          </w:p>
        </w:tc>
        <w:tc>
          <w:tcPr>
            <w:tcW w:w="2875" w:type="dxa"/>
            <w:tcBorders>
              <w:top w:val="single" w:color="auto" w:sz="4" w:space="0"/>
              <w:left w:val="single" w:color="auto" w:sz="4" w:space="0"/>
              <w:bottom w:val="single" w:color="auto" w:sz="4" w:space="0"/>
              <w:right w:val="single" w:color="auto" w:sz="4" w:space="0"/>
            </w:tcBorders>
            <w:vAlign w:val="center"/>
          </w:tcPr>
          <w:p w14:paraId="6B3D1DFA">
            <w:pPr>
              <w:jc w:val="center"/>
              <w:rPr>
                <w:rFonts w:ascii="Times New Roman" w:hAnsi="Times New Roman" w:eastAsia="宋体" w:cs="Times New Roman"/>
                <w:b/>
                <w:szCs w:val="20"/>
              </w:rPr>
            </w:pPr>
            <w:r>
              <w:rPr>
                <w:rFonts w:hint="eastAsia" w:ascii="宋体" w:hAnsi="宋体" w:eastAsia="宋体" w:cs="宋体"/>
                <w:b/>
                <w:szCs w:val="20"/>
              </w:rPr>
              <w:t>招标文件要求</w:t>
            </w:r>
          </w:p>
        </w:tc>
        <w:tc>
          <w:tcPr>
            <w:tcW w:w="2885" w:type="dxa"/>
            <w:tcBorders>
              <w:top w:val="single" w:color="auto" w:sz="4" w:space="0"/>
              <w:left w:val="single" w:color="auto" w:sz="4" w:space="0"/>
              <w:bottom w:val="single" w:color="auto" w:sz="4" w:space="0"/>
              <w:right w:val="single" w:color="auto" w:sz="4" w:space="0"/>
            </w:tcBorders>
            <w:vAlign w:val="center"/>
          </w:tcPr>
          <w:p w14:paraId="22B3E6B3">
            <w:pPr>
              <w:jc w:val="center"/>
              <w:rPr>
                <w:rFonts w:ascii="Times New Roman" w:hAnsi="Times New Roman" w:eastAsia="宋体" w:cs="Times New Roman"/>
                <w:b/>
                <w:szCs w:val="20"/>
              </w:rPr>
            </w:pPr>
            <w:r>
              <w:rPr>
                <w:rFonts w:hint="eastAsia" w:ascii="宋体" w:hAnsi="宋体" w:eastAsia="宋体" w:cs="宋体"/>
                <w:b/>
                <w:szCs w:val="20"/>
              </w:rPr>
              <w:t>响应规格</w:t>
            </w:r>
          </w:p>
        </w:tc>
        <w:tc>
          <w:tcPr>
            <w:tcW w:w="1645" w:type="dxa"/>
            <w:tcBorders>
              <w:top w:val="single" w:color="auto" w:sz="4" w:space="0"/>
              <w:left w:val="single" w:color="auto" w:sz="4" w:space="0"/>
              <w:bottom w:val="single" w:color="auto" w:sz="4" w:space="0"/>
            </w:tcBorders>
            <w:vAlign w:val="center"/>
          </w:tcPr>
          <w:p w14:paraId="6AA623A3">
            <w:pPr>
              <w:jc w:val="center"/>
              <w:rPr>
                <w:rFonts w:ascii="Times New Roman" w:hAnsi="Times New Roman" w:eastAsia="宋体" w:cs="Times New Roman"/>
                <w:b/>
                <w:szCs w:val="20"/>
              </w:rPr>
            </w:pPr>
            <w:r>
              <w:rPr>
                <w:rFonts w:hint="eastAsia" w:ascii="宋体" w:hAnsi="宋体" w:eastAsia="宋体" w:cs="宋体"/>
                <w:b/>
                <w:szCs w:val="20"/>
              </w:rPr>
              <w:t>是否偏离</w:t>
            </w:r>
          </w:p>
          <w:p w14:paraId="02B2106A">
            <w:pPr>
              <w:jc w:val="center"/>
              <w:rPr>
                <w:rFonts w:ascii="Times New Roman" w:hAnsi="Times New Roman" w:eastAsia="宋体" w:cs="Times New Roman"/>
                <w:b/>
                <w:szCs w:val="20"/>
              </w:rPr>
            </w:pPr>
            <w:r>
              <w:rPr>
                <w:rFonts w:hint="eastAsia" w:ascii="宋体" w:hAnsi="宋体" w:eastAsia="宋体" w:cs="宋体"/>
                <w:b/>
                <w:szCs w:val="20"/>
              </w:rPr>
              <w:t>（提供说明）</w:t>
            </w:r>
          </w:p>
        </w:tc>
      </w:tr>
      <w:tr w14:paraId="788259F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37FAB315">
            <w:pPr>
              <w:jc w:val="center"/>
              <w:rPr>
                <w:rFonts w:ascii="Times New Roman" w:hAnsi="Times New Roman" w:eastAsia="宋体" w:cs="Times New Roman"/>
                <w:b/>
                <w:szCs w:val="20"/>
              </w:rPr>
            </w:pPr>
            <w:r>
              <w:rPr>
                <w:rFonts w:hint="eastAsia" w:ascii="宋体" w:hAnsi="宋体" w:eastAsia="宋体" w:cs="宋体"/>
                <w:b/>
                <w:szCs w:val="20"/>
              </w:rPr>
              <w:t>质保期</w:t>
            </w:r>
          </w:p>
        </w:tc>
        <w:tc>
          <w:tcPr>
            <w:tcW w:w="2875" w:type="dxa"/>
            <w:tcBorders>
              <w:top w:val="single" w:color="auto" w:sz="4" w:space="0"/>
              <w:left w:val="single" w:color="auto" w:sz="4" w:space="0"/>
              <w:bottom w:val="single" w:color="auto" w:sz="4" w:space="0"/>
              <w:right w:val="single" w:color="auto" w:sz="4" w:space="0"/>
            </w:tcBorders>
            <w:vAlign w:val="center"/>
          </w:tcPr>
          <w:p w14:paraId="27B4FA8C">
            <w:pPr>
              <w:jc w:val="center"/>
              <w:rPr>
                <w:rFonts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14:paraId="64FC93D1">
            <w:pPr>
              <w:jc w:val="center"/>
              <w:rPr>
                <w:rFonts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48BF934A">
            <w:pPr>
              <w:jc w:val="center"/>
              <w:rPr>
                <w:rFonts w:ascii="Times New Roman" w:hAnsi="Times New Roman" w:eastAsia="宋体" w:cs="Times New Roman"/>
                <w:b/>
                <w:szCs w:val="20"/>
              </w:rPr>
            </w:pPr>
          </w:p>
        </w:tc>
      </w:tr>
      <w:tr w14:paraId="3B2CDE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3BC26200">
            <w:pPr>
              <w:jc w:val="center"/>
              <w:rPr>
                <w:rFonts w:ascii="Times New Roman" w:hAnsi="Times New Roman" w:eastAsia="宋体" w:cs="Times New Roman"/>
                <w:b/>
                <w:szCs w:val="20"/>
              </w:rPr>
            </w:pPr>
            <w:r>
              <w:rPr>
                <w:rFonts w:hint="eastAsia" w:ascii="宋体" w:hAnsi="宋体" w:eastAsia="宋体" w:cs="宋体"/>
                <w:b/>
                <w:szCs w:val="20"/>
              </w:rPr>
              <w:t>交货时间及地点</w:t>
            </w:r>
          </w:p>
        </w:tc>
        <w:tc>
          <w:tcPr>
            <w:tcW w:w="2875" w:type="dxa"/>
            <w:tcBorders>
              <w:top w:val="single" w:color="auto" w:sz="4" w:space="0"/>
              <w:left w:val="single" w:color="auto" w:sz="4" w:space="0"/>
              <w:bottom w:val="single" w:color="auto" w:sz="4" w:space="0"/>
              <w:right w:val="single" w:color="auto" w:sz="4" w:space="0"/>
            </w:tcBorders>
            <w:vAlign w:val="center"/>
          </w:tcPr>
          <w:p w14:paraId="2B366AD9">
            <w:pPr>
              <w:jc w:val="center"/>
              <w:rPr>
                <w:rFonts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14:paraId="61ADE04B">
            <w:pPr>
              <w:jc w:val="center"/>
              <w:rPr>
                <w:rFonts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668298CD">
            <w:pPr>
              <w:jc w:val="center"/>
              <w:rPr>
                <w:rFonts w:ascii="Times New Roman" w:hAnsi="Times New Roman" w:eastAsia="宋体" w:cs="Times New Roman"/>
                <w:b/>
                <w:szCs w:val="21"/>
              </w:rPr>
            </w:pPr>
          </w:p>
        </w:tc>
      </w:tr>
      <w:tr w14:paraId="703A4EE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435F6DF2">
            <w:pPr>
              <w:jc w:val="center"/>
              <w:rPr>
                <w:rFonts w:ascii="Times New Roman" w:hAnsi="Times New Roman" w:eastAsia="宋体" w:cs="Times New Roman"/>
                <w:b/>
                <w:szCs w:val="20"/>
              </w:rPr>
            </w:pPr>
            <w:r>
              <w:rPr>
                <w:rFonts w:hint="eastAsia" w:ascii="宋体" w:hAnsi="宋体" w:eastAsia="宋体" w:cs="宋体"/>
                <w:b/>
                <w:szCs w:val="20"/>
              </w:rPr>
              <w:t>付款条件</w:t>
            </w:r>
          </w:p>
        </w:tc>
        <w:tc>
          <w:tcPr>
            <w:tcW w:w="2875" w:type="dxa"/>
            <w:tcBorders>
              <w:top w:val="single" w:color="auto" w:sz="4" w:space="0"/>
              <w:left w:val="single" w:color="auto" w:sz="4" w:space="0"/>
              <w:bottom w:val="single" w:color="auto" w:sz="4" w:space="0"/>
              <w:right w:val="single" w:color="auto" w:sz="4" w:space="0"/>
            </w:tcBorders>
          </w:tcPr>
          <w:p w14:paraId="3F09BA46">
            <w:pPr>
              <w:jc w:val="center"/>
              <w:rPr>
                <w:rFonts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tcPr>
          <w:p w14:paraId="733BF5B4">
            <w:pPr>
              <w:jc w:val="center"/>
              <w:rPr>
                <w:rFonts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5E4DF845">
            <w:pPr>
              <w:jc w:val="center"/>
              <w:rPr>
                <w:rFonts w:ascii="Times New Roman" w:hAnsi="Times New Roman" w:eastAsia="宋体" w:cs="Times New Roman"/>
                <w:b/>
                <w:szCs w:val="20"/>
              </w:rPr>
            </w:pPr>
          </w:p>
        </w:tc>
      </w:tr>
      <w:tr w14:paraId="596B96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07F1B39C">
            <w:pPr>
              <w:jc w:val="center"/>
              <w:rPr>
                <w:rFonts w:ascii="Times New Roman" w:hAnsi="Times New Roman" w:eastAsia="宋体" w:cs="Times New Roman"/>
                <w:b/>
                <w:szCs w:val="20"/>
              </w:rPr>
            </w:pPr>
            <w:r>
              <w:rPr>
                <w:rFonts w:hint="eastAsia" w:ascii="宋体" w:hAnsi="宋体" w:eastAsia="宋体" w:cs="宋体"/>
                <w:b/>
                <w:szCs w:val="20"/>
              </w:rPr>
              <w:t>售后技术服务要求</w:t>
            </w:r>
          </w:p>
        </w:tc>
        <w:tc>
          <w:tcPr>
            <w:tcW w:w="2875" w:type="dxa"/>
            <w:tcBorders>
              <w:top w:val="single" w:color="auto" w:sz="4" w:space="0"/>
              <w:left w:val="single" w:color="auto" w:sz="4" w:space="0"/>
              <w:bottom w:val="single" w:color="auto" w:sz="4" w:space="0"/>
              <w:right w:val="single" w:color="auto" w:sz="4" w:space="0"/>
            </w:tcBorders>
            <w:vAlign w:val="center"/>
          </w:tcPr>
          <w:p w14:paraId="5E842A6E">
            <w:pPr>
              <w:jc w:val="center"/>
              <w:rPr>
                <w:rFonts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14:paraId="0F5CB819">
            <w:pPr>
              <w:jc w:val="center"/>
              <w:rPr>
                <w:rFonts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730F4D67">
            <w:pPr>
              <w:jc w:val="center"/>
              <w:rPr>
                <w:rFonts w:ascii="Times New Roman" w:hAnsi="Times New Roman" w:eastAsia="宋体" w:cs="Times New Roman"/>
                <w:b/>
                <w:szCs w:val="21"/>
              </w:rPr>
            </w:pPr>
          </w:p>
          <w:p w14:paraId="2D195CB5">
            <w:pPr>
              <w:jc w:val="center"/>
              <w:rPr>
                <w:rFonts w:ascii="Times New Roman" w:hAnsi="Times New Roman" w:eastAsia="宋体" w:cs="Times New Roman"/>
                <w:b/>
                <w:szCs w:val="21"/>
              </w:rPr>
            </w:pPr>
          </w:p>
          <w:p w14:paraId="410661FF">
            <w:pPr>
              <w:jc w:val="center"/>
              <w:rPr>
                <w:rFonts w:ascii="Times New Roman" w:hAnsi="Times New Roman" w:eastAsia="宋体" w:cs="Times New Roman"/>
                <w:b/>
                <w:szCs w:val="21"/>
              </w:rPr>
            </w:pPr>
          </w:p>
          <w:p w14:paraId="2CEA501A">
            <w:pPr>
              <w:jc w:val="center"/>
              <w:rPr>
                <w:rFonts w:ascii="Times New Roman" w:hAnsi="Times New Roman" w:eastAsia="宋体" w:cs="Times New Roman"/>
                <w:b/>
                <w:szCs w:val="21"/>
              </w:rPr>
            </w:pPr>
          </w:p>
          <w:p w14:paraId="340FAE78">
            <w:pPr>
              <w:jc w:val="center"/>
              <w:rPr>
                <w:rFonts w:ascii="Times New Roman" w:hAnsi="Times New Roman" w:eastAsia="宋体" w:cs="Times New Roman"/>
                <w:b/>
                <w:szCs w:val="21"/>
              </w:rPr>
            </w:pPr>
          </w:p>
          <w:p w14:paraId="58A4EDD6">
            <w:pPr>
              <w:jc w:val="center"/>
              <w:rPr>
                <w:rFonts w:ascii="Times New Roman" w:hAnsi="Times New Roman" w:eastAsia="宋体" w:cs="Times New Roman"/>
                <w:b/>
                <w:szCs w:val="21"/>
              </w:rPr>
            </w:pPr>
          </w:p>
          <w:p w14:paraId="4A450614">
            <w:pPr>
              <w:jc w:val="center"/>
              <w:rPr>
                <w:rFonts w:ascii="Times New Roman" w:hAnsi="Times New Roman" w:eastAsia="宋体" w:cs="Times New Roman"/>
                <w:b/>
                <w:szCs w:val="21"/>
              </w:rPr>
            </w:pPr>
          </w:p>
          <w:p w14:paraId="55071737">
            <w:pPr>
              <w:jc w:val="center"/>
              <w:rPr>
                <w:rFonts w:ascii="Times New Roman" w:hAnsi="Times New Roman" w:eastAsia="宋体" w:cs="Times New Roman"/>
                <w:b/>
                <w:szCs w:val="21"/>
              </w:rPr>
            </w:pPr>
          </w:p>
          <w:p w14:paraId="0C126CAE">
            <w:pPr>
              <w:jc w:val="center"/>
              <w:rPr>
                <w:rFonts w:ascii="Times New Roman" w:hAnsi="Times New Roman" w:eastAsia="宋体" w:cs="Times New Roman"/>
                <w:b/>
                <w:szCs w:val="21"/>
              </w:rPr>
            </w:pPr>
          </w:p>
          <w:p w14:paraId="39DFFE91">
            <w:pPr>
              <w:jc w:val="center"/>
              <w:rPr>
                <w:rFonts w:ascii="Times New Roman" w:hAnsi="Times New Roman" w:eastAsia="宋体" w:cs="Times New Roman"/>
                <w:b/>
                <w:szCs w:val="21"/>
              </w:rPr>
            </w:pPr>
          </w:p>
          <w:p w14:paraId="6135D2B8">
            <w:pPr>
              <w:jc w:val="center"/>
              <w:rPr>
                <w:rFonts w:ascii="Times New Roman" w:hAnsi="Times New Roman" w:eastAsia="宋体" w:cs="Times New Roman"/>
                <w:b/>
                <w:szCs w:val="21"/>
              </w:rPr>
            </w:pPr>
          </w:p>
          <w:p w14:paraId="68E1D913">
            <w:pPr>
              <w:jc w:val="center"/>
              <w:rPr>
                <w:rFonts w:ascii="Times New Roman" w:hAnsi="Times New Roman" w:eastAsia="宋体" w:cs="Times New Roman"/>
                <w:b/>
                <w:szCs w:val="21"/>
              </w:rPr>
            </w:pPr>
          </w:p>
          <w:p w14:paraId="3B518DE3">
            <w:pPr>
              <w:jc w:val="center"/>
              <w:rPr>
                <w:rFonts w:ascii="Times New Roman" w:hAnsi="Times New Roman" w:eastAsia="宋体" w:cs="Times New Roman"/>
                <w:b/>
                <w:szCs w:val="21"/>
              </w:rPr>
            </w:pPr>
          </w:p>
          <w:p w14:paraId="42BD0B17">
            <w:pPr>
              <w:jc w:val="center"/>
              <w:rPr>
                <w:rFonts w:ascii="Times New Roman" w:hAnsi="Times New Roman" w:eastAsia="宋体" w:cs="Times New Roman"/>
                <w:b/>
                <w:szCs w:val="21"/>
              </w:rPr>
            </w:pPr>
          </w:p>
          <w:p w14:paraId="695F5216">
            <w:pPr>
              <w:jc w:val="center"/>
              <w:rPr>
                <w:rFonts w:ascii="Times New Roman" w:hAnsi="Times New Roman" w:eastAsia="宋体" w:cs="Times New Roman"/>
                <w:b/>
                <w:szCs w:val="21"/>
              </w:rPr>
            </w:pPr>
          </w:p>
          <w:p w14:paraId="08DD02F1">
            <w:pPr>
              <w:jc w:val="center"/>
              <w:rPr>
                <w:rFonts w:ascii="Times New Roman" w:hAnsi="Times New Roman" w:eastAsia="宋体" w:cs="Times New Roman"/>
                <w:b/>
                <w:szCs w:val="21"/>
              </w:rPr>
            </w:pPr>
          </w:p>
          <w:p w14:paraId="21C68F13">
            <w:pPr>
              <w:jc w:val="center"/>
              <w:rPr>
                <w:rFonts w:ascii="Times New Roman" w:hAnsi="Times New Roman" w:eastAsia="宋体" w:cs="Times New Roman"/>
                <w:b/>
                <w:szCs w:val="20"/>
              </w:rPr>
            </w:pPr>
          </w:p>
        </w:tc>
      </w:tr>
      <w:tr w14:paraId="0E2FD44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0F6F3678">
            <w:pPr>
              <w:jc w:val="center"/>
              <w:rPr>
                <w:rFonts w:ascii="Times New Roman" w:hAnsi="Times New Roman" w:eastAsia="宋体" w:cs="Times New Roman"/>
                <w:b/>
                <w:szCs w:val="20"/>
              </w:rPr>
            </w:pPr>
            <w:r>
              <w:rPr>
                <w:rFonts w:hint="eastAsia" w:ascii="宋体" w:hAnsi="宋体" w:eastAsia="宋体" w:cs="宋体"/>
                <w:b/>
                <w:szCs w:val="20"/>
              </w:rPr>
              <w:t>备品备件及耗材等要求</w:t>
            </w:r>
          </w:p>
        </w:tc>
        <w:tc>
          <w:tcPr>
            <w:tcW w:w="2875" w:type="dxa"/>
            <w:tcBorders>
              <w:top w:val="single" w:color="auto" w:sz="4" w:space="0"/>
              <w:left w:val="single" w:color="auto" w:sz="4" w:space="0"/>
              <w:bottom w:val="single" w:color="auto" w:sz="4" w:space="0"/>
              <w:right w:val="single" w:color="auto" w:sz="4" w:space="0"/>
            </w:tcBorders>
            <w:vAlign w:val="center"/>
          </w:tcPr>
          <w:p w14:paraId="388955B0">
            <w:pPr>
              <w:jc w:val="center"/>
              <w:rPr>
                <w:rFonts w:ascii="Times New Roman" w:hAnsi="Times New Roman" w:eastAsia="宋体" w:cs="Times New Roman"/>
                <w:b/>
                <w:szCs w:val="20"/>
              </w:rPr>
            </w:pPr>
          </w:p>
        </w:tc>
        <w:tc>
          <w:tcPr>
            <w:tcW w:w="2885" w:type="dxa"/>
            <w:tcBorders>
              <w:top w:val="single" w:color="auto" w:sz="4" w:space="0"/>
              <w:left w:val="single" w:color="auto" w:sz="4" w:space="0"/>
              <w:bottom w:val="single" w:color="auto" w:sz="4" w:space="0"/>
              <w:right w:val="single" w:color="auto" w:sz="4" w:space="0"/>
            </w:tcBorders>
            <w:vAlign w:val="center"/>
          </w:tcPr>
          <w:p w14:paraId="07A90E58">
            <w:pPr>
              <w:jc w:val="center"/>
              <w:rPr>
                <w:rFonts w:ascii="Times New Roman" w:hAnsi="Times New Roman" w:eastAsia="宋体" w:cs="Times New Roman"/>
                <w:b/>
                <w:szCs w:val="20"/>
              </w:rPr>
            </w:pPr>
          </w:p>
        </w:tc>
        <w:tc>
          <w:tcPr>
            <w:tcW w:w="1645" w:type="dxa"/>
            <w:tcBorders>
              <w:top w:val="single" w:color="auto" w:sz="4" w:space="0"/>
              <w:left w:val="single" w:color="auto" w:sz="4" w:space="0"/>
              <w:bottom w:val="single" w:color="auto" w:sz="4" w:space="0"/>
            </w:tcBorders>
            <w:vAlign w:val="center"/>
          </w:tcPr>
          <w:p w14:paraId="7B97EB6E">
            <w:pPr>
              <w:jc w:val="center"/>
              <w:rPr>
                <w:rFonts w:ascii="Times New Roman" w:hAnsi="Times New Roman" w:eastAsia="宋体" w:cs="Times New Roman"/>
                <w:b/>
                <w:szCs w:val="20"/>
              </w:rPr>
            </w:pPr>
          </w:p>
        </w:tc>
      </w:tr>
    </w:tbl>
    <w:p w14:paraId="5BEF37E7">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授权代表签字：</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日期：</w:t>
      </w:r>
    </w:p>
    <w:p w14:paraId="034074C9">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注：为避免歧义，无偏离也应要提报该表，并注明“无”字。如无该表则即使在其它部分已反映，将也被视为“无偏离”。</w:t>
      </w:r>
    </w:p>
    <w:p w14:paraId="069DBB2B">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br w:type="page"/>
      </w:r>
    </w:p>
    <w:p w14:paraId="74B443BF">
      <w:pPr>
        <w:spacing w:line="360" w:lineRule="auto"/>
        <w:ind w:firstLine="480" w:firstLineChars="200"/>
        <w:rPr>
          <w:rFonts w:ascii="宋体" w:hAnsi="宋体" w:eastAsia="宋体" w:cs="Times New Roman"/>
          <w:color w:val="000000"/>
          <w:sz w:val="24"/>
          <w:szCs w:val="24"/>
        </w:rPr>
      </w:pPr>
    </w:p>
    <w:p w14:paraId="470995DE">
      <w:pPr>
        <w:spacing w:before="110" w:line="227" w:lineRule="auto"/>
        <w:ind w:left="29"/>
        <w:outlineLvl w:val="2"/>
        <w:rPr>
          <w:rFonts w:ascii="宋体" w:hAnsi="宋体" w:eastAsia="宋体" w:cs="宋体"/>
          <w:sz w:val="24"/>
          <w:szCs w:val="24"/>
        </w:rPr>
      </w:pPr>
      <w:r>
        <w:rPr>
          <w:rFonts w:hint="eastAsia" w:ascii="Times New Roman" w:hAnsi="Times New Roman" w:eastAsia="宋体" w:cs="Times New Roman"/>
          <w:b/>
          <w:bCs/>
          <w:color w:val="000000"/>
          <w:sz w:val="24"/>
          <w:szCs w:val="24"/>
        </w:rPr>
        <w:t>附件11 投标人承诺</w:t>
      </w:r>
    </w:p>
    <w:p w14:paraId="55C73C58">
      <w:pPr>
        <w:spacing w:line="272" w:lineRule="auto"/>
        <w:rPr>
          <w:rFonts w:ascii="Arial"/>
        </w:rPr>
      </w:pPr>
    </w:p>
    <w:p w14:paraId="5762CC84">
      <w:pPr>
        <w:spacing w:before="75" w:line="228" w:lineRule="auto"/>
        <w:ind w:left="134"/>
        <w:rPr>
          <w:rFonts w:ascii="宋体" w:hAnsi="宋体" w:eastAsia="宋体" w:cs="宋体"/>
          <w:sz w:val="24"/>
          <w:szCs w:val="24"/>
        </w:rPr>
      </w:pPr>
      <w:r>
        <w:rPr>
          <w:rFonts w:ascii="宋体" w:hAnsi="宋体" w:eastAsia="宋体" w:cs="宋体"/>
          <w:spacing w:val="-10"/>
          <w:sz w:val="24"/>
          <w:szCs w:val="24"/>
        </w:rPr>
        <w:t>项</w:t>
      </w:r>
      <w:r>
        <w:rPr>
          <w:rFonts w:ascii="宋体" w:hAnsi="宋体" w:eastAsia="宋体" w:cs="宋体"/>
          <w:spacing w:val="-9"/>
          <w:sz w:val="24"/>
          <w:szCs w:val="24"/>
        </w:rPr>
        <w:t>目</w:t>
      </w:r>
      <w:r>
        <w:rPr>
          <w:rFonts w:ascii="宋体" w:hAnsi="宋体" w:eastAsia="宋体" w:cs="宋体"/>
          <w:spacing w:val="-5"/>
          <w:sz w:val="24"/>
          <w:szCs w:val="24"/>
        </w:rPr>
        <w:t>名称：</w:t>
      </w:r>
      <w:r>
        <w:rPr>
          <w:rFonts w:hint="eastAsia" w:ascii="宋体" w:hAnsi="宋体" w:eastAsia="宋体" w:cs="宋体"/>
          <w:sz w:val="24"/>
          <w:szCs w:val="24"/>
          <w:u w:val="single"/>
        </w:rPr>
        <w:t xml:space="preserve"> </w:t>
      </w:r>
      <w:r>
        <w:rPr>
          <w:rFonts w:ascii="宋体" w:hAnsi="宋体" w:eastAsia="宋体" w:cs="宋体"/>
          <w:sz w:val="24"/>
          <w:szCs w:val="24"/>
          <w:u w:val="single"/>
        </w:rPr>
        <w:t xml:space="preserve">               </w:t>
      </w:r>
    </w:p>
    <w:p w14:paraId="044CC7E9">
      <w:pPr>
        <w:spacing w:before="306" w:line="227" w:lineRule="auto"/>
        <w:ind w:left="205"/>
        <w:rPr>
          <w:rFonts w:ascii="宋体" w:hAnsi="宋体" w:eastAsia="宋体" w:cs="宋体"/>
          <w:sz w:val="24"/>
          <w:szCs w:val="24"/>
        </w:rPr>
      </w:pPr>
      <w:r>
        <w:rPr>
          <w:rFonts w:ascii="宋体" w:hAnsi="宋体" w:eastAsia="宋体" w:cs="宋体"/>
          <w:spacing w:val="-4"/>
          <w:sz w:val="24"/>
          <w:szCs w:val="24"/>
        </w:rPr>
        <w:t xml:space="preserve">日期： </w:t>
      </w:r>
      <w:r>
        <w:rPr>
          <w:rFonts w:ascii="宋体" w:hAnsi="宋体" w:eastAsia="宋体" w:cs="宋体"/>
          <w:spacing w:val="-2"/>
          <w:sz w:val="24"/>
          <w:szCs w:val="24"/>
        </w:rPr>
        <w:t xml:space="preserve">   年   月   日</w:t>
      </w:r>
    </w:p>
    <w:p w14:paraId="109DF4F6"/>
    <w:p w14:paraId="16CB4781">
      <w:pPr>
        <w:spacing w:line="109" w:lineRule="exact"/>
      </w:pPr>
    </w:p>
    <w:tbl>
      <w:tblPr>
        <w:tblStyle w:val="135"/>
        <w:tblW w:w="9289"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289"/>
      </w:tblGrid>
      <w:tr w14:paraId="6CB0064E">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4186" w:hRule="atLeast"/>
        </w:trPr>
        <w:tc>
          <w:tcPr>
            <w:tcW w:w="9289" w:type="dxa"/>
          </w:tcPr>
          <w:p w14:paraId="0F82D3F1">
            <w:pPr>
              <w:spacing w:before="52" w:line="227" w:lineRule="auto"/>
              <w:ind w:left="128"/>
              <w:rPr>
                <w:rFonts w:ascii="宋体" w:hAnsi="宋体" w:eastAsia="宋体" w:cs="宋体"/>
                <w:sz w:val="24"/>
                <w:szCs w:val="24"/>
              </w:rPr>
            </w:pPr>
            <w:r>
              <w:rPr>
                <w:rFonts w:ascii="宋体" w:hAnsi="宋体" w:eastAsia="宋体" w:cs="宋体"/>
                <w:spacing w:val="5"/>
                <w:sz w:val="24"/>
                <w:szCs w:val="24"/>
              </w:rPr>
              <w:t>投</w:t>
            </w:r>
            <w:r>
              <w:rPr>
                <w:rFonts w:ascii="宋体" w:hAnsi="宋体" w:eastAsia="宋体" w:cs="宋体"/>
                <w:spacing w:val="3"/>
                <w:sz w:val="24"/>
                <w:szCs w:val="24"/>
              </w:rPr>
              <w:t>标人承诺：</w:t>
            </w:r>
          </w:p>
          <w:p w14:paraId="2909813F">
            <w:pPr>
              <w:spacing w:before="48" w:line="391" w:lineRule="auto"/>
              <w:ind w:left="125" w:right="115" w:firstLine="491"/>
              <w:rPr>
                <w:rFonts w:ascii="宋体" w:hAnsi="宋体" w:eastAsia="宋体" w:cs="宋体"/>
                <w:sz w:val="23"/>
                <w:szCs w:val="23"/>
              </w:rPr>
            </w:pPr>
            <w:r>
              <w:rPr>
                <w:rFonts w:ascii="宋体" w:hAnsi="宋体" w:eastAsia="宋体" w:cs="宋体"/>
                <w:spacing w:val="38"/>
                <w:sz w:val="24"/>
                <w:szCs w:val="24"/>
              </w:rPr>
              <w:t>我</w:t>
            </w:r>
            <w:r>
              <w:rPr>
                <w:rFonts w:ascii="宋体" w:hAnsi="宋体" w:eastAsia="宋体" w:cs="宋体"/>
                <w:spacing w:val="21"/>
                <w:sz w:val="24"/>
                <w:szCs w:val="24"/>
              </w:rPr>
              <w:t>公司承诺遵守贵公司由于招标人公司政策变化引起的随时终止项目的要求并</w:t>
            </w:r>
            <w:r>
              <w:rPr>
                <w:rFonts w:ascii="宋体" w:hAnsi="宋体" w:eastAsia="宋体" w:cs="宋体"/>
                <w:spacing w:val="12"/>
                <w:sz w:val="24"/>
                <w:szCs w:val="24"/>
              </w:rPr>
              <w:t>承</w:t>
            </w:r>
            <w:r>
              <w:rPr>
                <w:rFonts w:ascii="宋体" w:hAnsi="宋体" w:eastAsia="宋体" w:cs="宋体"/>
                <w:spacing w:val="6"/>
                <w:sz w:val="24"/>
                <w:szCs w:val="24"/>
              </w:rPr>
              <w:t>担由此带来的一切损失</w:t>
            </w:r>
            <w:r>
              <w:rPr>
                <w:rFonts w:ascii="宋体" w:hAnsi="宋体" w:eastAsia="宋体" w:cs="宋体"/>
                <w:spacing w:val="6"/>
                <w:sz w:val="23"/>
                <w:szCs w:val="23"/>
              </w:rPr>
              <w:t>。</w:t>
            </w:r>
          </w:p>
        </w:tc>
      </w:tr>
    </w:tbl>
    <w:p w14:paraId="37EED5EC">
      <w:pPr>
        <w:keepNext/>
        <w:keepLines/>
        <w:rPr>
          <w:rFonts w:ascii="Times New Roman" w:hAnsi="Times New Roman" w:eastAsia="宋体" w:cs="Times New Roman"/>
          <w:b/>
          <w:bCs/>
          <w:color w:val="000000"/>
          <w:sz w:val="24"/>
          <w:szCs w:val="24"/>
        </w:rPr>
      </w:pPr>
    </w:p>
    <w:p w14:paraId="609194AD">
      <w:pPr>
        <w:spacing w:before="75" w:line="227" w:lineRule="auto"/>
        <w:ind w:left="135"/>
        <w:rPr>
          <w:rFonts w:ascii="宋体" w:hAnsi="宋体" w:eastAsia="宋体" w:cs="宋体"/>
          <w:spacing w:val="-2"/>
          <w:sz w:val="24"/>
          <w:szCs w:val="24"/>
        </w:rPr>
      </w:pPr>
    </w:p>
    <w:p w14:paraId="4C0197CC">
      <w:pPr>
        <w:spacing w:before="75" w:line="227" w:lineRule="auto"/>
        <w:ind w:left="135"/>
        <w:rPr>
          <w:rFonts w:ascii="宋体" w:hAnsi="宋体" w:eastAsia="宋体" w:cs="宋体"/>
          <w:spacing w:val="-2"/>
          <w:sz w:val="24"/>
          <w:szCs w:val="24"/>
        </w:rPr>
      </w:pPr>
    </w:p>
    <w:p w14:paraId="5939ABD6">
      <w:pPr>
        <w:spacing w:before="75" w:line="227" w:lineRule="auto"/>
        <w:ind w:left="135"/>
        <w:rPr>
          <w:rFonts w:ascii="宋体" w:hAnsi="宋体" w:eastAsia="宋体" w:cs="宋体"/>
          <w:sz w:val="24"/>
          <w:szCs w:val="24"/>
        </w:rPr>
      </w:pPr>
      <w:r>
        <w:rPr>
          <w:rFonts w:ascii="宋体" w:hAnsi="宋体" w:eastAsia="宋体" w:cs="宋体"/>
          <w:spacing w:val="-2"/>
          <w:sz w:val="24"/>
          <w:szCs w:val="24"/>
        </w:rPr>
        <w:t>投标人名称 (盖章)：                法定代表人或授权代表(签字</w:t>
      </w:r>
      <w:r>
        <w:rPr>
          <w:rFonts w:ascii="宋体" w:hAnsi="宋体" w:eastAsia="宋体" w:cs="宋体"/>
          <w:sz w:val="24"/>
          <w:szCs w:val="24"/>
        </w:rPr>
        <w:t>)</w:t>
      </w:r>
      <w:r>
        <w:rPr>
          <w:rFonts w:hint="eastAsia" w:ascii="宋体" w:hAnsi="宋体" w:eastAsia="宋体" w:cs="宋体"/>
          <w:sz w:val="24"/>
          <w:szCs w:val="24"/>
        </w:rPr>
        <w:t>：</w:t>
      </w:r>
    </w:p>
    <w:p w14:paraId="52EEC580">
      <w:pPr>
        <w:spacing w:before="75" w:line="227" w:lineRule="auto"/>
        <w:ind w:left="135"/>
        <w:rPr>
          <w:rFonts w:ascii="宋体" w:hAnsi="宋体" w:eastAsia="宋体" w:cs="宋体"/>
          <w:sz w:val="24"/>
          <w:szCs w:val="24"/>
        </w:rPr>
      </w:pPr>
      <w:r>
        <w:rPr>
          <w:rFonts w:ascii="宋体" w:hAnsi="宋体" w:eastAsia="宋体" w:cs="宋体"/>
          <w:sz w:val="24"/>
          <w:szCs w:val="24"/>
        </w:rPr>
        <w:br w:type="page"/>
      </w:r>
    </w:p>
    <w:p w14:paraId="71E0C3ED">
      <w:pPr>
        <w:spacing w:before="75" w:line="227" w:lineRule="auto"/>
        <w:ind w:left="135"/>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附件12</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服务承诺函</w:t>
      </w:r>
    </w:p>
    <w:p w14:paraId="56C94485">
      <w:pPr>
        <w:spacing w:line="240" w:lineRule="exact"/>
        <w:jc w:val="center"/>
        <w:rPr>
          <w:rFonts w:ascii="宋体" w:hAnsi="Calibri" w:eastAsia="宋体" w:cs="Times New Roman"/>
          <w:b/>
          <w:bCs/>
          <w:sz w:val="36"/>
          <w:szCs w:val="20"/>
        </w:rPr>
      </w:pPr>
    </w:p>
    <w:p w14:paraId="0256920A">
      <w:pPr>
        <w:spacing w:line="360" w:lineRule="auto"/>
        <w:rPr>
          <w:rFonts w:ascii="宋体" w:hAnsi="宋体" w:eastAsia="宋体" w:cs="宋体"/>
          <w:sz w:val="24"/>
          <w:szCs w:val="24"/>
          <w:u w:val="single"/>
        </w:rPr>
      </w:pPr>
      <w:r>
        <w:rPr>
          <w:rFonts w:hint="eastAsia" w:ascii="宋体" w:hAnsi="宋体" w:eastAsia="宋体" w:cs="Times New Roman"/>
          <w:sz w:val="24"/>
          <w:szCs w:val="20"/>
        </w:rPr>
        <w:t>项目名称：</w:t>
      </w:r>
      <w:r>
        <w:rPr>
          <w:rFonts w:hint="eastAsia" w:ascii="宋体" w:hAnsi="宋体" w:eastAsia="宋体" w:cs="宋体"/>
          <w:sz w:val="24"/>
          <w:szCs w:val="24"/>
          <w:u w:val="single"/>
        </w:rPr>
        <w:t xml:space="preserve"> </w:t>
      </w:r>
      <w:r>
        <w:rPr>
          <w:rFonts w:ascii="宋体" w:hAnsi="宋体" w:eastAsia="宋体" w:cs="宋体"/>
          <w:sz w:val="24"/>
          <w:szCs w:val="24"/>
          <w:u w:val="single"/>
        </w:rPr>
        <w:t xml:space="preserve">              </w:t>
      </w:r>
    </w:p>
    <w:p w14:paraId="4E2D3670">
      <w:pPr>
        <w:spacing w:line="360" w:lineRule="auto"/>
        <w:rPr>
          <w:rFonts w:ascii="宋体" w:hAnsi="Calibri" w:eastAsia="宋体" w:cs="Times New Roman"/>
          <w:b/>
          <w:bCs/>
          <w:sz w:val="24"/>
          <w:szCs w:val="20"/>
        </w:rPr>
      </w:pPr>
      <w:r>
        <w:rPr>
          <w:rFonts w:hint="eastAsia" w:ascii="宋体" w:hAnsi="宋体" w:eastAsia="宋体" w:cs="Times New Roman"/>
          <w:b/>
          <w:bCs/>
          <w:sz w:val="24"/>
          <w:szCs w:val="20"/>
        </w:rPr>
        <w:t>中国重汽集团</w:t>
      </w:r>
      <w:r>
        <w:rPr>
          <w:rFonts w:hint="eastAsia" w:ascii="宋体" w:hAnsi="宋体" w:eastAsia="宋体" w:cs="Times New Roman"/>
          <w:b/>
          <w:bCs/>
          <w:sz w:val="24"/>
          <w:szCs w:val="20"/>
          <w:lang w:eastAsia="zh-CN"/>
        </w:rPr>
        <w:t>泰安五岳</w:t>
      </w:r>
      <w:r>
        <w:rPr>
          <w:rFonts w:hint="eastAsia" w:ascii="宋体" w:hAnsi="宋体" w:eastAsia="宋体" w:cs="Times New Roman"/>
          <w:b/>
          <w:bCs/>
          <w:sz w:val="24"/>
          <w:szCs w:val="20"/>
        </w:rPr>
        <w:t>有限公司：</w:t>
      </w:r>
    </w:p>
    <w:p w14:paraId="378E585B">
      <w:pPr>
        <w:spacing w:line="360" w:lineRule="auto"/>
        <w:ind w:firstLine="480"/>
        <w:rPr>
          <w:rFonts w:ascii="宋体" w:hAnsi="Calibri" w:eastAsia="宋体" w:cs="Times New Roman"/>
          <w:sz w:val="24"/>
          <w:szCs w:val="20"/>
        </w:rPr>
      </w:pPr>
      <w:r>
        <w:rPr>
          <w:rFonts w:hint="eastAsia" w:ascii="宋体" w:hAnsi="宋体" w:eastAsia="宋体" w:cs="Times New Roman"/>
          <w:sz w:val="24"/>
          <w:szCs w:val="20"/>
        </w:rPr>
        <w:t>我代表（投标人名称）对中标合同产品的服务作如下承诺：</w:t>
      </w:r>
    </w:p>
    <w:p w14:paraId="6AE07A97">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40CBE366">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68DF934C">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6422C33E">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4A90C4C">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0449933C">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5A20D30">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04E09A3F">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78A1204">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46E206F5">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6831C73C">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58B527A8">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8BF3039">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9A9CC88">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2183E5F">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71D887F">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630A3CA3">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AC52484">
      <w:pPr>
        <w:spacing w:line="360" w:lineRule="auto"/>
        <w:ind w:firstLine="480" w:firstLineChars="200"/>
        <w:rPr>
          <w:rFonts w:ascii="宋体" w:hAnsi="宋体" w:eastAsia="宋体" w:cs="Times New Roman"/>
          <w:sz w:val="24"/>
          <w:szCs w:val="20"/>
          <w:u w:val="single"/>
        </w:rPr>
      </w:pPr>
    </w:p>
    <w:p w14:paraId="181693A1">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投标人：（盖章）</w:t>
      </w:r>
    </w:p>
    <w:p w14:paraId="352A3964">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法定代表人（委托代理人）：（签字）</w:t>
      </w:r>
    </w:p>
    <w:p w14:paraId="2FE88A1F">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日</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0707841B">
      <w:pPr>
        <w:rPr>
          <w:rFonts w:ascii="宋体" w:hAnsi="Calibri" w:eastAsia="宋体" w:cs="宋体"/>
          <w:b/>
          <w:bCs/>
          <w:color w:val="000000"/>
          <w:sz w:val="28"/>
          <w:szCs w:val="20"/>
        </w:rPr>
      </w:pPr>
    </w:p>
    <w:p w14:paraId="4663C62B">
      <w:pPr>
        <w:pStyle w:val="20"/>
        <w:rPr>
          <w:rFonts w:hAnsi="Calibri" w:eastAsia="宋体" w:cs="宋体"/>
          <w:b/>
          <w:bCs/>
          <w:color w:val="000000"/>
          <w:sz w:val="28"/>
          <w:szCs w:val="20"/>
        </w:rPr>
      </w:pPr>
    </w:p>
    <w:p w14:paraId="7CB62899">
      <w:pPr>
        <w:rPr>
          <w:rFonts w:ascii="宋体" w:hAnsi="Calibri" w:eastAsia="宋体" w:cs="宋体"/>
          <w:b/>
          <w:bCs/>
          <w:color w:val="000000"/>
          <w:sz w:val="28"/>
          <w:szCs w:val="20"/>
        </w:rPr>
      </w:pPr>
    </w:p>
    <w:p w14:paraId="734072A2">
      <w:pPr>
        <w:outlineLvl w:val="2"/>
        <w:rPr>
          <w:rFonts w:ascii="Calibri" w:hAnsi="Calibri" w:eastAsia="宋体" w:cs="Times New Roman"/>
          <w:szCs w:val="20"/>
        </w:rPr>
      </w:pPr>
      <w:r>
        <w:rPr>
          <w:rFonts w:ascii="Calibri" w:hAnsi="Calibri" w:eastAsia="宋体" w:cs="Times New Roman"/>
          <w:szCs w:val="20"/>
        </w:rPr>
        <w:br w:type="page"/>
      </w:r>
      <w:r>
        <w:rPr>
          <w:rFonts w:hint="eastAsia" w:ascii="Times New Roman" w:hAnsi="Times New Roman" w:eastAsia="宋体" w:cs="Times New Roman"/>
          <w:b/>
          <w:bCs/>
          <w:color w:val="000000"/>
          <w:sz w:val="24"/>
          <w:szCs w:val="24"/>
        </w:rPr>
        <w:t>附件13 投标文件封面及封口格式</w:t>
      </w:r>
    </w:p>
    <w:p w14:paraId="0A7AB734">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封面格式：</w:t>
      </w:r>
    </w:p>
    <w:tbl>
      <w:tblPr>
        <w:tblStyle w:val="42"/>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0"/>
      </w:tblGrid>
      <w:tr w14:paraId="795D1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0" w:type="dxa"/>
          </w:tcPr>
          <w:p w14:paraId="20D2ED3B">
            <w:pPr>
              <w:jc w:val="center"/>
              <w:rPr>
                <w:rFonts w:ascii="Times New Roman" w:hAnsi="Times New Roman" w:eastAsia="宋体" w:cs="Times New Roman"/>
                <w:b/>
                <w:szCs w:val="20"/>
              </w:rPr>
            </w:pPr>
          </w:p>
          <w:p w14:paraId="56E3B1C5">
            <w:pPr>
              <w:jc w:val="center"/>
              <w:rPr>
                <w:rFonts w:ascii="宋体" w:hAnsi="Times New Roman" w:eastAsia="宋体" w:cs="宋体"/>
                <w:b/>
                <w:sz w:val="30"/>
                <w:szCs w:val="30"/>
              </w:rPr>
            </w:pPr>
            <w:r>
              <w:rPr>
                <w:rFonts w:hint="eastAsia" w:ascii="宋体" w:hAnsi="宋体" w:eastAsia="宋体" w:cs="宋体"/>
                <w:b/>
                <w:sz w:val="30"/>
                <w:szCs w:val="30"/>
              </w:rPr>
              <w:t>技术</w:t>
            </w:r>
            <w:r>
              <w:rPr>
                <w:rFonts w:ascii="宋体" w:hAnsi="宋体" w:eastAsia="宋体" w:cs="宋体"/>
                <w:b/>
                <w:sz w:val="30"/>
                <w:szCs w:val="30"/>
              </w:rPr>
              <w:t>/</w:t>
            </w:r>
            <w:r>
              <w:rPr>
                <w:rFonts w:hint="eastAsia" w:ascii="宋体" w:hAnsi="宋体" w:eastAsia="宋体" w:cs="宋体"/>
                <w:b/>
                <w:sz w:val="30"/>
                <w:szCs w:val="30"/>
              </w:rPr>
              <w:t>资质</w:t>
            </w:r>
            <w:r>
              <w:rPr>
                <w:rFonts w:ascii="宋体" w:hAnsi="宋体" w:eastAsia="宋体" w:cs="宋体"/>
                <w:b/>
                <w:sz w:val="30"/>
                <w:szCs w:val="30"/>
              </w:rPr>
              <w:t>/</w:t>
            </w:r>
            <w:r>
              <w:rPr>
                <w:rFonts w:hint="eastAsia" w:ascii="宋体" w:hAnsi="宋体" w:eastAsia="宋体" w:cs="宋体"/>
                <w:b/>
                <w:sz w:val="30"/>
                <w:szCs w:val="30"/>
              </w:rPr>
              <w:t>商务/开标一览表文件</w:t>
            </w:r>
          </w:p>
          <w:p w14:paraId="7827BB63">
            <w:pPr>
              <w:rPr>
                <w:rFonts w:ascii="Times New Roman" w:hAnsi="Times New Roman" w:eastAsia="等线" w:cs="Times New Roman"/>
                <w:b/>
                <w:sz w:val="30"/>
                <w:szCs w:val="30"/>
              </w:rPr>
            </w:pPr>
          </w:p>
          <w:p w14:paraId="274CC997">
            <w:pPr>
              <w:jc w:val="center"/>
              <w:rPr>
                <w:rFonts w:ascii="Times New Roman" w:hAnsi="Times New Roman" w:eastAsia="宋体" w:cs="Times New Roman"/>
                <w:b/>
                <w:sz w:val="30"/>
                <w:szCs w:val="30"/>
              </w:rPr>
            </w:pPr>
            <w:r>
              <w:rPr>
                <w:rFonts w:hint="eastAsia" w:ascii="宋体" w:hAnsi="宋体" w:eastAsia="宋体" w:cs="宋体"/>
                <w:b/>
                <w:sz w:val="30"/>
                <w:szCs w:val="30"/>
              </w:rPr>
              <w:t>（</w:t>
            </w:r>
            <w:r>
              <w:rPr>
                <w:rFonts w:ascii="等线" w:hAnsi="等线" w:eastAsia="等线" w:cs="Times New Roman"/>
                <w:b/>
                <w:sz w:val="30"/>
                <w:szCs w:val="30"/>
              </w:rPr>
              <w:t>1</w:t>
            </w:r>
            <w:r>
              <w:rPr>
                <w:rFonts w:hint="eastAsia" w:ascii="宋体" w:hAnsi="宋体" w:eastAsia="宋体" w:cs="宋体"/>
                <w:b/>
                <w:sz w:val="30"/>
                <w:szCs w:val="30"/>
              </w:rPr>
              <w:t>正本）</w:t>
            </w:r>
          </w:p>
          <w:p w14:paraId="47DE6CD0">
            <w:pPr>
              <w:jc w:val="center"/>
              <w:rPr>
                <w:rFonts w:ascii="Times New Roman" w:hAnsi="Times New Roman" w:eastAsia="宋体" w:cs="Times New Roman"/>
                <w:b/>
                <w:szCs w:val="20"/>
              </w:rPr>
            </w:pPr>
          </w:p>
          <w:p w14:paraId="3B0141ED">
            <w:pPr>
              <w:jc w:val="center"/>
              <w:rPr>
                <w:rFonts w:ascii="Times New Roman" w:hAnsi="Times New Roman" w:eastAsia="宋体" w:cs="Times New Roman"/>
                <w:b/>
                <w:szCs w:val="20"/>
              </w:rPr>
            </w:pPr>
          </w:p>
          <w:p w14:paraId="3A4AFD2F">
            <w:pPr>
              <w:jc w:val="center"/>
              <w:rPr>
                <w:rFonts w:ascii="宋体" w:hAnsi="宋体" w:eastAsia="宋体" w:cs="宋体"/>
                <w:sz w:val="24"/>
                <w:szCs w:val="24"/>
                <w:u w:val="single"/>
              </w:rPr>
            </w:pPr>
            <w:r>
              <w:rPr>
                <w:rFonts w:hint="eastAsia" w:ascii="宋体" w:hAnsi="宋体" w:eastAsia="宋体" w:cs="宋体"/>
                <w:b/>
                <w:szCs w:val="20"/>
              </w:rPr>
              <w:t>项目名称：</w:t>
            </w:r>
            <w:r>
              <w:rPr>
                <w:rFonts w:hint="eastAsia" w:ascii="宋体" w:hAnsi="宋体" w:eastAsia="宋体" w:cs="宋体"/>
                <w:sz w:val="24"/>
                <w:szCs w:val="24"/>
                <w:u w:val="single"/>
              </w:rPr>
              <w:t xml:space="preserve"> </w:t>
            </w:r>
          </w:p>
          <w:p w14:paraId="69DFD6FA">
            <w:pPr>
              <w:jc w:val="center"/>
              <w:rPr>
                <w:rFonts w:ascii="Times New Roman" w:hAnsi="Times New Roman" w:eastAsia="宋体" w:cs="Times New Roman"/>
                <w:b/>
                <w:szCs w:val="20"/>
              </w:rPr>
            </w:pPr>
            <w:r>
              <w:rPr>
                <w:rFonts w:hint="eastAsia" w:ascii="宋体" w:hAnsi="宋体" w:eastAsia="宋体" w:cs="宋体"/>
                <w:b/>
                <w:szCs w:val="20"/>
              </w:rPr>
              <w:t>投标人名称（公章）：</w:t>
            </w:r>
          </w:p>
          <w:p w14:paraId="4B472C08">
            <w:pPr>
              <w:jc w:val="center"/>
              <w:rPr>
                <w:rFonts w:ascii="Times New Roman" w:hAnsi="Times New Roman" w:eastAsia="宋体" w:cs="Times New Roman"/>
                <w:b/>
                <w:szCs w:val="20"/>
              </w:rPr>
            </w:pPr>
            <w:r>
              <w:rPr>
                <w:rFonts w:hint="eastAsia" w:ascii="宋体" w:hAnsi="宋体" w:eastAsia="宋体" w:cs="宋体"/>
                <w:b/>
                <w:szCs w:val="20"/>
              </w:rPr>
              <w:t>地址：</w:t>
            </w:r>
          </w:p>
          <w:p w14:paraId="04710860">
            <w:pPr>
              <w:jc w:val="center"/>
              <w:rPr>
                <w:rFonts w:ascii="Times New Roman" w:hAnsi="Times New Roman" w:eastAsia="宋体" w:cs="Times New Roman"/>
                <w:b/>
                <w:szCs w:val="20"/>
              </w:rPr>
            </w:pPr>
            <w:r>
              <w:rPr>
                <w:rFonts w:hint="eastAsia" w:ascii="宋体" w:hAnsi="宋体" w:eastAsia="宋体" w:cs="宋体"/>
                <w:b/>
                <w:szCs w:val="20"/>
              </w:rPr>
              <w:t>授权代表电话：</w:t>
            </w:r>
          </w:p>
          <w:p w14:paraId="7F5AF9B4">
            <w:pPr>
              <w:jc w:val="center"/>
              <w:rPr>
                <w:rFonts w:ascii="Times New Roman" w:hAnsi="Times New Roman" w:eastAsia="宋体" w:cs="Times New Roman"/>
                <w:b/>
                <w:szCs w:val="20"/>
              </w:rPr>
            </w:pPr>
            <w:r>
              <w:rPr>
                <w:rFonts w:hint="eastAsia" w:ascii="宋体" w:hAnsi="宋体" w:eastAsia="宋体" w:cs="宋体"/>
                <w:b/>
                <w:szCs w:val="20"/>
              </w:rPr>
              <w:t>传真：</w:t>
            </w:r>
          </w:p>
          <w:p w14:paraId="602A5C62">
            <w:pPr>
              <w:jc w:val="center"/>
              <w:rPr>
                <w:rFonts w:ascii="Times New Roman" w:hAnsi="Times New Roman" w:eastAsia="宋体" w:cs="Times New Roman"/>
                <w:b/>
                <w:szCs w:val="20"/>
              </w:rPr>
            </w:pPr>
          </w:p>
          <w:p w14:paraId="54270E51">
            <w:pPr>
              <w:jc w:val="center"/>
              <w:rPr>
                <w:rFonts w:ascii="Times New Roman" w:hAnsi="Times New Roman" w:eastAsia="宋体" w:cs="Times New Roman"/>
                <w:b/>
                <w:szCs w:val="20"/>
              </w:rPr>
            </w:pPr>
          </w:p>
        </w:tc>
      </w:tr>
    </w:tbl>
    <w:p w14:paraId="0340034D">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授权代表签字：</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日期：</w:t>
      </w:r>
    </w:p>
    <w:p w14:paraId="49CB5233">
      <w:pPr>
        <w:pStyle w:val="20"/>
      </w:pPr>
      <w:r>
        <w:br w:type="page"/>
      </w:r>
    </w:p>
    <w:p w14:paraId="2F994344">
      <w:pPr>
        <w:pStyle w:val="20"/>
      </w:pPr>
    </w:p>
    <w:p w14:paraId="35C644F3">
      <w:pPr>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附件14评分标准</w:t>
      </w:r>
    </w:p>
    <w:tbl>
      <w:tblPr>
        <w:tblStyle w:val="42"/>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15"/>
        <w:gridCol w:w="564"/>
        <w:gridCol w:w="11"/>
        <w:gridCol w:w="1265"/>
        <w:gridCol w:w="709"/>
        <w:gridCol w:w="5583"/>
      </w:tblGrid>
      <w:tr w14:paraId="34736F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7" w:hRule="atLeast"/>
          <w:jc w:val="center"/>
        </w:trPr>
        <w:tc>
          <w:tcPr>
            <w:tcW w:w="815" w:type="dxa"/>
            <w:tcBorders>
              <w:top w:val="single" w:color="auto" w:sz="4" w:space="0"/>
              <w:left w:val="single" w:color="auto" w:sz="4" w:space="0"/>
              <w:bottom w:val="single" w:color="auto" w:sz="4" w:space="0"/>
              <w:right w:val="single" w:color="auto" w:sz="4" w:space="0"/>
            </w:tcBorders>
            <w:vAlign w:val="center"/>
          </w:tcPr>
          <w:p w14:paraId="124FEE87">
            <w:pPr>
              <w:ind w:right="34" w:rightChars="16"/>
              <w:jc w:val="center"/>
              <w:rPr>
                <w:rFonts w:ascii="Times New Roman" w:hAnsi="Times New Roman" w:eastAsia="宋体" w:cs="Times New Roman"/>
                <w:b/>
                <w:szCs w:val="21"/>
              </w:rPr>
            </w:pPr>
            <w:r>
              <w:rPr>
                <w:rFonts w:ascii="Times New Roman" w:hAnsi="Times New Roman" w:eastAsia="宋体" w:cs="Times New Roman"/>
                <w:b/>
              </w:rPr>
              <w:t>评标因素</w:t>
            </w:r>
          </w:p>
        </w:tc>
        <w:tc>
          <w:tcPr>
            <w:tcW w:w="564" w:type="dxa"/>
            <w:tcBorders>
              <w:top w:val="single" w:color="auto" w:sz="4" w:space="0"/>
              <w:left w:val="single" w:color="auto" w:sz="4" w:space="0"/>
              <w:bottom w:val="single" w:color="auto" w:sz="4" w:space="0"/>
              <w:right w:val="single" w:color="auto" w:sz="4" w:space="0"/>
            </w:tcBorders>
            <w:vAlign w:val="center"/>
          </w:tcPr>
          <w:p w14:paraId="1F7E7920">
            <w:pPr>
              <w:ind w:right="34" w:rightChars="16"/>
              <w:jc w:val="center"/>
              <w:rPr>
                <w:rFonts w:ascii="Times New Roman" w:hAnsi="Times New Roman" w:eastAsia="宋体" w:cs="Times New Roman"/>
                <w:b/>
                <w:szCs w:val="21"/>
              </w:rPr>
            </w:pPr>
            <w:r>
              <w:rPr>
                <w:rFonts w:ascii="Times New Roman" w:hAnsi="Times New Roman" w:eastAsia="宋体" w:cs="Times New Roman"/>
                <w:b/>
              </w:rPr>
              <w:t>总分</w:t>
            </w:r>
          </w:p>
        </w:tc>
        <w:tc>
          <w:tcPr>
            <w:tcW w:w="1276" w:type="dxa"/>
            <w:gridSpan w:val="2"/>
            <w:tcBorders>
              <w:top w:val="single" w:color="auto" w:sz="4" w:space="0"/>
              <w:left w:val="single" w:color="auto" w:sz="4" w:space="0"/>
              <w:bottom w:val="single" w:color="auto" w:sz="4" w:space="0"/>
              <w:right w:val="single" w:color="auto" w:sz="4" w:space="0"/>
            </w:tcBorders>
            <w:vAlign w:val="center"/>
          </w:tcPr>
          <w:p w14:paraId="51F9906C">
            <w:pPr>
              <w:ind w:right="34" w:rightChars="16"/>
              <w:jc w:val="center"/>
              <w:rPr>
                <w:rFonts w:ascii="Times New Roman" w:hAnsi="Times New Roman" w:eastAsia="宋体" w:cs="Times New Roman"/>
                <w:b/>
                <w:szCs w:val="21"/>
              </w:rPr>
            </w:pPr>
            <w:r>
              <w:rPr>
                <w:rFonts w:ascii="Times New Roman" w:hAnsi="Times New Roman" w:eastAsia="宋体" w:cs="Times New Roman"/>
                <w:b/>
              </w:rPr>
              <w:t>评审内容</w:t>
            </w:r>
          </w:p>
        </w:tc>
        <w:tc>
          <w:tcPr>
            <w:tcW w:w="709" w:type="dxa"/>
            <w:tcBorders>
              <w:top w:val="single" w:color="auto" w:sz="4" w:space="0"/>
              <w:left w:val="single" w:color="auto" w:sz="4" w:space="0"/>
              <w:bottom w:val="single" w:color="auto" w:sz="4" w:space="0"/>
              <w:right w:val="single" w:color="auto" w:sz="4" w:space="0"/>
            </w:tcBorders>
            <w:vAlign w:val="center"/>
          </w:tcPr>
          <w:p w14:paraId="6E266A3B">
            <w:pPr>
              <w:ind w:right="34" w:rightChars="16"/>
              <w:jc w:val="center"/>
              <w:rPr>
                <w:rFonts w:ascii="Times New Roman" w:hAnsi="Times New Roman" w:eastAsia="宋体" w:cs="Times New Roman"/>
                <w:b/>
                <w:szCs w:val="21"/>
              </w:rPr>
            </w:pPr>
            <w:r>
              <w:rPr>
                <w:rFonts w:ascii="Times New Roman" w:hAnsi="Times New Roman" w:eastAsia="宋体" w:cs="Times New Roman"/>
                <w:b/>
              </w:rPr>
              <w:t>最高</w:t>
            </w:r>
          </w:p>
          <w:p w14:paraId="52C641F5">
            <w:pPr>
              <w:ind w:right="34" w:rightChars="16"/>
              <w:jc w:val="center"/>
              <w:rPr>
                <w:rFonts w:ascii="Times New Roman" w:hAnsi="Times New Roman" w:eastAsia="宋体" w:cs="Times New Roman"/>
                <w:b/>
                <w:szCs w:val="21"/>
              </w:rPr>
            </w:pPr>
            <w:r>
              <w:rPr>
                <w:rFonts w:ascii="Times New Roman" w:hAnsi="Times New Roman" w:eastAsia="宋体" w:cs="Times New Roman"/>
                <w:b/>
              </w:rPr>
              <w:t>得分</w:t>
            </w:r>
          </w:p>
        </w:tc>
        <w:tc>
          <w:tcPr>
            <w:tcW w:w="5583" w:type="dxa"/>
            <w:tcBorders>
              <w:top w:val="single" w:color="auto" w:sz="4" w:space="0"/>
              <w:left w:val="single" w:color="auto" w:sz="4" w:space="0"/>
              <w:bottom w:val="single" w:color="auto" w:sz="4" w:space="0"/>
              <w:right w:val="single" w:color="auto" w:sz="4" w:space="0"/>
            </w:tcBorders>
            <w:vAlign w:val="center"/>
          </w:tcPr>
          <w:p w14:paraId="1ADD3CD5">
            <w:pPr>
              <w:ind w:right="34" w:rightChars="16"/>
              <w:jc w:val="center"/>
              <w:rPr>
                <w:rFonts w:ascii="Times New Roman" w:hAnsi="Times New Roman" w:eastAsia="宋体" w:cs="Times New Roman"/>
                <w:b/>
                <w:szCs w:val="21"/>
              </w:rPr>
            </w:pPr>
            <w:r>
              <w:rPr>
                <w:rFonts w:ascii="Times New Roman" w:hAnsi="Times New Roman" w:eastAsia="宋体" w:cs="Times New Roman"/>
                <w:b/>
              </w:rPr>
              <w:t>评分标准</w:t>
            </w:r>
          </w:p>
        </w:tc>
      </w:tr>
      <w:tr w14:paraId="7779B0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7" w:hRule="atLeast"/>
          <w:jc w:val="center"/>
        </w:trPr>
        <w:tc>
          <w:tcPr>
            <w:tcW w:w="815" w:type="dxa"/>
            <w:vMerge w:val="restart"/>
            <w:tcBorders>
              <w:top w:val="single" w:color="auto" w:sz="4" w:space="0"/>
              <w:left w:val="single" w:color="auto" w:sz="4" w:space="0"/>
              <w:right w:val="single" w:color="auto" w:sz="4" w:space="0"/>
            </w:tcBorders>
            <w:vAlign w:val="center"/>
          </w:tcPr>
          <w:p w14:paraId="4B80BD9A">
            <w:pPr>
              <w:jc w:val="center"/>
              <w:rPr>
                <w:rFonts w:ascii="Times New Roman" w:hAnsi="Times New Roman" w:eastAsia="宋体" w:cs="Times New Roman"/>
              </w:rPr>
            </w:pPr>
            <w:r>
              <w:rPr>
                <w:rFonts w:ascii="Times New Roman" w:hAnsi="Times New Roman" w:eastAsia="宋体" w:cs="Times New Roman"/>
              </w:rPr>
              <w:t>技术因素</w:t>
            </w:r>
          </w:p>
        </w:tc>
        <w:tc>
          <w:tcPr>
            <w:tcW w:w="564" w:type="dxa"/>
            <w:vMerge w:val="restart"/>
            <w:tcBorders>
              <w:top w:val="single" w:color="auto" w:sz="4" w:space="0"/>
              <w:left w:val="single" w:color="auto" w:sz="4" w:space="0"/>
              <w:right w:val="single" w:color="auto" w:sz="4" w:space="0"/>
            </w:tcBorders>
            <w:vAlign w:val="center"/>
          </w:tcPr>
          <w:p w14:paraId="24F68960">
            <w:pPr>
              <w:jc w:val="center"/>
              <w:rPr>
                <w:rFonts w:ascii="Times New Roman" w:hAnsi="Times New Roman" w:eastAsia="宋体" w:cs="Times New Roman"/>
              </w:rPr>
            </w:pPr>
            <w:r>
              <w:rPr>
                <w:rFonts w:ascii="Times New Roman" w:hAnsi="Times New Roman" w:eastAsia="宋体" w:cs="Times New Roman"/>
              </w:rPr>
              <w:t>80</w:t>
            </w:r>
          </w:p>
        </w:tc>
        <w:tc>
          <w:tcPr>
            <w:tcW w:w="1276" w:type="dxa"/>
            <w:gridSpan w:val="2"/>
            <w:vMerge w:val="restart"/>
            <w:tcBorders>
              <w:top w:val="single" w:color="auto" w:sz="4" w:space="0"/>
              <w:left w:val="single" w:color="auto" w:sz="4" w:space="0"/>
              <w:bottom w:val="single" w:color="auto" w:sz="4" w:space="0"/>
              <w:right w:val="single" w:color="auto" w:sz="4" w:space="0"/>
            </w:tcBorders>
            <w:vAlign w:val="center"/>
          </w:tcPr>
          <w:p w14:paraId="2100E5D8">
            <w:pPr>
              <w:jc w:val="center"/>
              <w:rPr>
                <w:rFonts w:ascii="Times New Roman" w:hAnsi="Times New Roman" w:eastAsia="宋体" w:cs="Times New Roman"/>
              </w:rPr>
            </w:pPr>
            <w:r>
              <w:rPr>
                <w:rFonts w:ascii="Times New Roman" w:hAnsi="Times New Roman" w:eastAsia="宋体" w:cs="Times New Roman"/>
              </w:rPr>
              <w:t>技术方案</w:t>
            </w:r>
          </w:p>
        </w:tc>
        <w:tc>
          <w:tcPr>
            <w:tcW w:w="709" w:type="dxa"/>
            <w:tcBorders>
              <w:top w:val="single" w:color="auto" w:sz="4" w:space="0"/>
              <w:left w:val="single" w:color="auto" w:sz="4" w:space="0"/>
              <w:bottom w:val="single" w:color="auto" w:sz="4" w:space="0"/>
              <w:right w:val="single" w:color="auto" w:sz="4" w:space="0"/>
            </w:tcBorders>
            <w:vAlign w:val="center"/>
          </w:tcPr>
          <w:p w14:paraId="3A7E4B43">
            <w:pPr>
              <w:jc w:val="center"/>
              <w:rPr>
                <w:rFonts w:ascii="Times New Roman" w:hAnsi="Times New Roman" w:eastAsia="宋体" w:cs="Times New Roman"/>
              </w:rPr>
            </w:pPr>
            <w:r>
              <w:rPr>
                <w:rFonts w:ascii="Times New Roman" w:hAnsi="Times New Roman" w:eastAsia="宋体" w:cs="Times New Roman"/>
              </w:rPr>
              <w:t>10</w:t>
            </w:r>
          </w:p>
        </w:tc>
        <w:tc>
          <w:tcPr>
            <w:tcW w:w="5583" w:type="dxa"/>
            <w:tcBorders>
              <w:top w:val="single" w:color="auto" w:sz="4" w:space="0"/>
              <w:left w:val="single" w:color="auto" w:sz="4" w:space="0"/>
              <w:bottom w:val="single" w:color="auto" w:sz="4" w:space="0"/>
              <w:right w:val="single" w:color="auto" w:sz="4" w:space="0"/>
            </w:tcBorders>
            <w:vAlign w:val="center"/>
          </w:tcPr>
          <w:p w14:paraId="1A1A213C">
            <w:pPr>
              <w:tabs>
                <w:tab w:val="left" w:pos="7854"/>
              </w:tabs>
              <w:rPr>
                <w:rFonts w:ascii="Times New Roman" w:hAnsi="Times New Roman" w:eastAsia="宋体" w:cs="Times New Roman"/>
              </w:rPr>
            </w:pPr>
            <w:r>
              <w:rPr>
                <w:rFonts w:ascii="Times New Roman" w:hAnsi="Times New Roman" w:eastAsia="宋体" w:cs="Times New Roman"/>
              </w:rPr>
              <w:t>投标人的装备制造能力、生产设备、加工工艺先进、完善程度，视情况得0-10</w:t>
            </w:r>
          </w:p>
        </w:tc>
      </w:tr>
      <w:tr w14:paraId="6AF989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7" w:hRule="atLeast"/>
          <w:jc w:val="center"/>
        </w:trPr>
        <w:tc>
          <w:tcPr>
            <w:tcW w:w="815" w:type="dxa"/>
            <w:vMerge w:val="continue"/>
            <w:tcBorders>
              <w:left w:val="single" w:color="auto" w:sz="4" w:space="0"/>
              <w:right w:val="single" w:color="auto" w:sz="4" w:space="0"/>
            </w:tcBorders>
            <w:vAlign w:val="center"/>
          </w:tcPr>
          <w:p w14:paraId="127E60D6">
            <w:pPr>
              <w:widowControl/>
              <w:jc w:val="left"/>
              <w:rPr>
                <w:rFonts w:ascii="Times New Roman" w:hAnsi="Times New Roman" w:eastAsia="宋体" w:cs="Times New Roman"/>
              </w:rPr>
            </w:pPr>
          </w:p>
        </w:tc>
        <w:tc>
          <w:tcPr>
            <w:tcW w:w="564" w:type="dxa"/>
            <w:vMerge w:val="continue"/>
            <w:tcBorders>
              <w:left w:val="single" w:color="auto" w:sz="4" w:space="0"/>
              <w:right w:val="single" w:color="auto" w:sz="4" w:space="0"/>
            </w:tcBorders>
            <w:vAlign w:val="center"/>
          </w:tcPr>
          <w:p w14:paraId="1555B64E">
            <w:pPr>
              <w:widowControl/>
              <w:jc w:val="left"/>
              <w:rPr>
                <w:rFonts w:ascii="Times New Roman" w:hAnsi="Times New Roman" w:eastAsia="宋体" w:cs="Times New Roman"/>
              </w:rPr>
            </w:pPr>
          </w:p>
        </w:tc>
        <w:tc>
          <w:tcPr>
            <w:tcW w:w="1276" w:type="dxa"/>
            <w:gridSpan w:val="2"/>
            <w:vMerge w:val="continue"/>
            <w:tcBorders>
              <w:top w:val="single" w:color="auto" w:sz="4" w:space="0"/>
              <w:left w:val="single" w:color="auto" w:sz="4" w:space="0"/>
              <w:bottom w:val="single" w:color="auto" w:sz="4" w:space="0"/>
              <w:right w:val="single" w:color="auto" w:sz="4" w:space="0"/>
            </w:tcBorders>
            <w:vAlign w:val="center"/>
          </w:tcPr>
          <w:p w14:paraId="143F8988">
            <w:pPr>
              <w:widowControl/>
              <w:jc w:val="left"/>
              <w:rPr>
                <w:rFonts w:ascii="Times New Roman" w:hAnsi="Times New Roman" w:eastAsia="宋体" w:cs="Times New Roman"/>
              </w:rPr>
            </w:pPr>
          </w:p>
        </w:tc>
        <w:tc>
          <w:tcPr>
            <w:tcW w:w="709" w:type="dxa"/>
            <w:tcBorders>
              <w:top w:val="single" w:color="auto" w:sz="4" w:space="0"/>
              <w:left w:val="single" w:color="auto" w:sz="4" w:space="0"/>
              <w:bottom w:val="single" w:color="auto" w:sz="4" w:space="0"/>
              <w:right w:val="single" w:color="auto" w:sz="4" w:space="0"/>
            </w:tcBorders>
            <w:vAlign w:val="center"/>
          </w:tcPr>
          <w:p w14:paraId="648BECE9">
            <w:pPr>
              <w:jc w:val="center"/>
              <w:rPr>
                <w:rFonts w:ascii="Times New Roman" w:hAnsi="Times New Roman" w:eastAsia="宋体" w:cs="Times New Roman"/>
                <w:szCs w:val="21"/>
              </w:rPr>
            </w:pPr>
            <w:r>
              <w:rPr>
                <w:rFonts w:ascii="Times New Roman" w:hAnsi="Times New Roman" w:eastAsia="宋体" w:cs="Times New Roman"/>
              </w:rPr>
              <w:t>40</w:t>
            </w:r>
          </w:p>
        </w:tc>
        <w:tc>
          <w:tcPr>
            <w:tcW w:w="5583" w:type="dxa"/>
            <w:tcBorders>
              <w:top w:val="single" w:color="auto" w:sz="4" w:space="0"/>
              <w:left w:val="single" w:color="auto" w:sz="4" w:space="0"/>
              <w:bottom w:val="single" w:color="auto" w:sz="4" w:space="0"/>
              <w:right w:val="single" w:color="auto" w:sz="4" w:space="0"/>
            </w:tcBorders>
            <w:vAlign w:val="center"/>
          </w:tcPr>
          <w:p w14:paraId="670CA3EC">
            <w:pPr>
              <w:tabs>
                <w:tab w:val="left" w:pos="7854"/>
              </w:tabs>
              <w:rPr>
                <w:rFonts w:ascii="Times New Roman" w:hAnsi="Times New Roman" w:eastAsia="宋体" w:cs="Times New Roman"/>
              </w:rPr>
            </w:pPr>
            <w:r>
              <w:rPr>
                <w:rFonts w:ascii="Times New Roman" w:hAnsi="Times New Roman" w:eastAsia="宋体" w:cs="Times New Roman"/>
              </w:rPr>
              <w:t>产品方案技术先进、各系统完善、性能可靠</w:t>
            </w:r>
            <w:r>
              <w:rPr>
                <w:rFonts w:hint="eastAsia" w:ascii="Times New Roman" w:hAnsi="Times New Roman" w:eastAsia="宋体" w:cs="Times New Roman"/>
              </w:rPr>
              <w:t>。按技术参数及配置响应程度，关键项（如抛丸器、丸料输送器、吊葫芦及吊杆）不响应，每项扣</w:t>
            </w:r>
            <w:r>
              <w:rPr>
                <w:rFonts w:ascii="Times New Roman" w:hAnsi="Times New Roman" w:eastAsia="宋体" w:cs="Times New Roman"/>
              </w:rPr>
              <w:t>10分；重要项（如提升机、分离器、输送桁架、丸料补充器、除尘系统、地平车、旋转平台等）不响应，每项扣5分。</w:t>
            </w:r>
          </w:p>
        </w:tc>
      </w:tr>
      <w:tr w14:paraId="2D8F71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7" w:hRule="atLeast"/>
          <w:jc w:val="center"/>
        </w:trPr>
        <w:tc>
          <w:tcPr>
            <w:tcW w:w="815" w:type="dxa"/>
            <w:vMerge w:val="continue"/>
            <w:tcBorders>
              <w:left w:val="single" w:color="auto" w:sz="4" w:space="0"/>
              <w:right w:val="single" w:color="auto" w:sz="4" w:space="0"/>
            </w:tcBorders>
            <w:vAlign w:val="center"/>
          </w:tcPr>
          <w:p w14:paraId="021EA085">
            <w:pPr>
              <w:widowControl/>
              <w:jc w:val="left"/>
              <w:rPr>
                <w:rFonts w:ascii="Times New Roman" w:hAnsi="Times New Roman" w:eastAsia="宋体" w:cs="Times New Roman"/>
              </w:rPr>
            </w:pPr>
          </w:p>
        </w:tc>
        <w:tc>
          <w:tcPr>
            <w:tcW w:w="564" w:type="dxa"/>
            <w:vMerge w:val="continue"/>
            <w:tcBorders>
              <w:left w:val="single" w:color="auto" w:sz="4" w:space="0"/>
              <w:right w:val="single" w:color="auto" w:sz="4" w:space="0"/>
            </w:tcBorders>
            <w:vAlign w:val="center"/>
          </w:tcPr>
          <w:p w14:paraId="6C00CE14">
            <w:pPr>
              <w:widowControl/>
              <w:jc w:val="left"/>
              <w:rPr>
                <w:rFonts w:ascii="Times New Roman" w:hAnsi="Times New Roman" w:eastAsia="宋体" w:cs="Times New Roman"/>
              </w:rPr>
            </w:pPr>
          </w:p>
        </w:tc>
        <w:tc>
          <w:tcPr>
            <w:tcW w:w="1276" w:type="dxa"/>
            <w:gridSpan w:val="2"/>
            <w:vMerge w:val="continue"/>
            <w:tcBorders>
              <w:top w:val="single" w:color="auto" w:sz="4" w:space="0"/>
              <w:left w:val="single" w:color="auto" w:sz="4" w:space="0"/>
              <w:bottom w:val="single" w:color="auto" w:sz="4" w:space="0"/>
              <w:right w:val="single" w:color="auto" w:sz="4" w:space="0"/>
            </w:tcBorders>
            <w:vAlign w:val="center"/>
          </w:tcPr>
          <w:p w14:paraId="75EEC535">
            <w:pPr>
              <w:widowControl/>
              <w:jc w:val="left"/>
              <w:rPr>
                <w:rFonts w:ascii="Times New Roman" w:hAnsi="Times New Roman" w:eastAsia="宋体" w:cs="Times New Roman"/>
              </w:rPr>
            </w:pPr>
          </w:p>
        </w:tc>
        <w:tc>
          <w:tcPr>
            <w:tcW w:w="709" w:type="dxa"/>
            <w:tcBorders>
              <w:top w:val="single" w:color="auto" w:sz="4" w:space="0"/>
              <w:left w:val="single" w:color="auto" w:sz="4" w:space="0"/>
              <w:bottom w:val="single" w:color="auto" w:sz="4" w:space="0"/>
              <w:right w:val="single" w:color="auto" w:sz="4" w:space="0"/>
            </w:tcBorders>
            <w:vAlign w:val="center"/>
          </w:tcPr>
          <w:p w14:paraId="64108168">
            <w:pPr>
              <w:jc w:val="center"/>
              <w:rPr>
                <w:rFonts w:ascii="Times New Roman" w:hAnsi="Times New Roman" w:eastAsia="宋体" w:cs="Times New Roman"/>
                <w:szCs w:val="21"/>
              </w:rPr>
            </w:pPr>
            <w:r>
              <w:rPr>
                <w:rFonts w:ascii="Times New Roman" w:hAnsi="Times New Roman" w:eastAsia="宋体" w:cs="Times New Roman"/>
              </w:rPr>
              <w:t>10</w:t>
            </w:r>
          </w:p>
        </w:tc>
        <w:tc>
          <w:tcPr>
            <w:tcW w:w="5583" w:type="dxa"/>
            <w:tcBorders>
              <w:top w:val="single" w:color="auto" w:sz="4" w:space="0"/>
              <w:left w:val="single" w:color="auto" w:sz="4" w:space="0"/>
              <w:bottom w:val="single" w:color="auto" w:sz="4" w:space="0"/>
              <w:right w:val="single" w:color="auto" w:sz="4" w:space="0"/>
            </w:tcBorders>
            <w:vAlign w:val="center"/>
          </w:tcPr>
          <w:p w14:paraId="6841560F">
            <w:pPr>
              <w:tabs>
                <w:tab w:val="left" w:pos="7854"/>
              </w:tabs>
              <w:rPr>
                <w:rFonts w:ascii="Times New Roman" w:hAnsi="Times New Roman" w:eastAsia="宋体" w:cs="Times New Roman"/>
              </w:rPr>
            </w:pPr>
            <w:r>
              <w:rPr>
                <w:rFonts w:ascii="Times New Roman" w:hAnsi="Times New Roman" w:eastAsia="宋体" w:cs="Times New Roman"/>
              </w:rPr>
              <w:t>易于维修、操作方便，产品附件配置齐全，质量可靠</w:t>
            </w:r>
            <w:r>
              <w:rPr>
                <w:rFonts w:hint="eastAsia" w:ascii="Times New Roman" w:hAnsi="Times New Roman" w:eastAsia="宋体" w:cs="Times New Roman"/>
              </w:rPr>
              <w:t>，</w:t>
            </w:r>
            <w:r>
              <w:rPr>
                <w:rFonts w:ascii="Times New Roman" w:hAnsi="Times New Roman" w:eastAsia="宋体" w:cs="Times New Roman"/>
              </w:rPr>
              <w:t>设备在使用期内的维护费用</w:t>
            </w:r>
            <w:r>
              <w:rPr>
                <w:rFonts w:hint="eastAsia" w:ascii="Times New Roman" w:hAnsi="Times New Roman" w:eastAsia="宋体" w:cs="Times New Roman"/>
              </w:rPr>
              <w:t>低</w:t>
            </w:r>
            <w:r>
              <w:rPr>
                <w:rFonts w:ascii="Times New Roman" w:hAnsi="Times New Roman" w:eastAsia="宋体" w:cs="Times New Roman"/>
              </w:rPr>
              <w:t>，视情况得0-10</w:t>
            </w:r>
          </w:p>
        </w:tc>
      </w:tr>
      <w:tr w14:paraId="4CC044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7" w:hRule="atLeast"/>
          <w:jc w:val="center"/>
        </w:trPr>
        <w:tc>
          <w:tcPr>
            <w:tcW w:w="815" w:type="dxa"/>
            <w:vMerge w:val="continue"/>
            <w:tcBorders>
              <w:left w:val="single" w:color="auto" w:sz="4" w:space="0"/>
              <w:right w:val="single" w:color="auto" w:sz="4" w:space="0"/>
            </w:tcBorders>
            <w:vAlign w:val="center"/>
          </w:tcPr>
          <w:p w14:paraId="72F436EF">
            <w:pPr>
              <w:widowControl/>
              <w:jc w:val="left"/>
              <w:rPr>
                <w:rFonts w:ascii="Times New Roman" w:hAnsi="Times New Roman" w:eastAsia="宋体" w:cs="Times New Roman"/>
              </w:rPr>
            </w:pPr>
          </w:p>
        </w:tc>
        <w:tc>
          <w:tcPr>
            <w:tcW w:w="564" w:type="dxa"/>
            <w:vMerge w:val="continue"/>
            <w:tcBorders>
              <w:left w:val="single" w:color="auto" w:sz="4" w:space="0"/>
              <w:right w:val="single" w:color="auto" w:sz="4" w:space="0"/>
            </w:tcBorders>
            <w:vAlign w:val="center"/>
          </w:tcPr>
          <w:p w14:paraId="1DEC6C42">
            <w:pPr>
              <w:widowControl/>
              <w:jc w:val="left"/>
              <w:rPr>
                <w:rFonts w:ascii="Times New Roman" w:hAnsi="Times New Roman" w:eastAsia="宋体" w:cs="Times New Roman"/>
              </w:rPr>
            </w:pPr>
          </w:p>
        </w:tc>
        <w:tc>
          <w:tcPr>
            <w:tcW w:w="1276" w:type="dxa"/>
            <w:gridSpan w:val="2"/>
            <w:vMerge w:val="continue"/>
            <w:tcBorders>
              <w:top w:val="single" w:color="auto" w:sz="4" w:space="0"/>
              <w:left w:val="single" w:color="auto" w:sz="4" w:space="0"/>
              <w:bottom w:val="single" w:color="auto" w:sz="4" w:space="0"/>
              <w:right w:val="single" w:color="auto" w:sz="4" w:space="0"/>
            </w:tcBorders>
            <w:vAlign w:val="center"/>
          </w:tcPr>
          <w:p w14:paraId="1201D627">
            <w:pPr>
              <w:widowControl/>
              <w:jc w:val="left"/>
              <w:rPr>
                <w:rFonts w:ascii="Times New Roman" w:hAnsi="Times New Roman" w:eastAsia="宋体" w:cs="Times New Roman"/>
              </w:rPr>
            </w:pPr>
          </w:p>
        </w:tc>
        <w:tc>
          <w:tcPr>
            <w:tcW w:w="709" w:type="dxa"/>
            <w:tcBorders>
              <w:top w:val="single" w:color="auto" w:sz="4" w:space="0"/>
              <w:left w:val="single" w:color="auto" w:sz="4" w:space="0"/>
              <w:right w:val="single" w:color="auto" w:sz="4" w:space="0"/>
            </w:tcBorders>
            <w:vAlign w:val="center"/>
          </w:tcPr>
          <w:p w14:paraId="6B815628">
            <w:pPr>
              <w:jc w:val="center"/>
              <w:rPr>
                <w:rFonts w:ascii="Times New Roman" w:hAnsi="Times New Roman" w:eastAsia="宋体" w:cs="Times New Roman"/>
                <w:szCs w:val="21"/>
              </w:rPr>
            </w:pPr>
            <w:r>
              <w:rPr>
                <w:rFonts w:ascii="Times New Roman" w:hAnsi="Times New Roman" w:eastAsia="宋体" w:cs="Times New Roman"/>
              </w:rPr>
              <w:t>10</w:t>
            </w:r>
          </w:p>
        </w:tc>
        <w:tc>
          <w:tcPr>
            <w:tcW w:w="5583" w:type="dxa"/>
            <w:tcBorders>
              <w:top w:val="single" w:color="auto" w:sz="4" w:space="0"/>
              <w:left w:val="single" w:color="auto" w:sz="4" w:space="0"/>
              <w:right w:val="single" w:color="auto" w:sz="4" w:space="0"/>
            </w:tcBorders>
            <w:vAlign w:val="center"/>
          </w:tcPr>
          <w:p w14:paraId="5BD31B04">
            <w:pPr>
              <w:tabs>
                <w:tab w:val="left" w:pos="7854"/>
              </w:tabs>
              <w:rPr>
                <w:rFonts w:ascii="Times New Roman" w:hAnsi="Times New Roman" w:eastAsia="宋体" w:cs="Times New Roman"/>
              </w:rPr>
            </w:pPr>
            <w:r>
              <w:rPr>
                <w:rFonts w:hint="eastAsia" w:ascii="Times New Roman" w:hAnsi="Times New Roman" w:eastAsia="宋体" w:cs="Times New Roman"/>
              </w:rPr>
              <w:t>按抛丸器、丸料输送器、提升机等关键部件的自研能力排名，以上</w:t>
            </w:r>
            <w:r>
              <w:rPr>
                <w:rFonts w:ascii="Times New Roman" w:hAnsi="Times New Roman" w:eastAsia="宋体" w:cs="Times New Roman"/>
              </w:rPr>
              <w:t>3项全部自研得10分，以上2项自研得6分，以上1项自研得2分，无以上自研项即得0分。</w:t>
            </w:r>
          </w:p>
        </w:tc>
      </w:tr>
      <w:tr w14:paraId="1588F5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7" w:hRule="atLeast"/>
          <w:jc w:val="center"/>
        </w:trPr>
        <w:tc>
          <w:tcPr>
            <w:tcW w:w="815" w:type="dxa"/>
            <w:vMerge w:val="continue"/>
            <w:tcBorders>
              <w:left w:val="single" w:color="auto" w:sz="4" w:space="0"/>
              <w:right w:val="single" w:color="auto" w:sz="4" w:space="0"/>
            </w:tcBorders>
            <w:vAlign w:val="center"/>
          </w:tcPr>
          <w:p w14:paraId="0706C58F">
            <w:pPr>
              <w:widowControl/>
              <w:jc w:val="left"/>
              <w:rPr>
                <w:rFonts w:ascii="Times New Roman" w:hAnsi="Times New Roman" w:eastAsia="宋体" w:cs="Times New Roman"/>
              </w:rPr>
            </w:pPr>
          </w:p>
        </w:tc>
        <w:tc>
          <w:tcPr>
            <w:tcW w:w="564" w:type="dxa"/>
            <w:vMerge w:val="continue"/>
            <w:tcBorders>
              <w:left w:val="single" w:color="auto" w:sz="4" w:space="0"/>
              <w:right w:val="single" w:color="auto" w:sz="4" w:space="0"/>
            </w:tcBorders>
            <w:vAlign w:val="center"/>
          </w:tcPr>
          <w:p w14:paraId="29D5B9EB">
            <w:pPr>
              <w:widowControl/>
              <w:jc w:val="left"/>
              <w:rPr>
                <w:rFonts w:ascii="Times New Roman" w:hAnsi="Times New Roman" w:eastAsia="宋体" w:cs="Times New Roman"/>
              </w:rPr>
            </w:pPr>
          </w:p>
        </w:tc>
        <w:tc>
          <w:tcPr>
            <w:tcW w:w="1276" w:type="dxa"/>
            <w:gridSpan w:val="2"/>
            <w:tcBorders>
              <w:top w:val="single" w:color="auto" w:sz="4" w:space="0"/>
              <w:left w:val="single" w:color="auto" w:sz="4" w:space="0"/>
              <w:bottom w:val="single" w:color="auto" w:sz="4" w:space="0"/>
              <w:right w:val="single" w:color="auto" w:sz="4" w:space="0"/>
            </w:tcBorders>
            <w:vAlign w:val="center"/>
          </w:tcPr>
          <w:p w14:paraId="074A4457">
            <w:pPr>
              <w:jc w:val="center"/>
              <w:rPr>
                <w:rFonts w:ascii="Times New Roman" w:hAnsi="Times New Roman" w:eastAsia="宋体" w:cs="Times New Roman"/>
                <w:szCs w:val="21"/>
              </w:rPr>
            </w:pPr>
            <w:r>
              <w:rPr>
                <w:rFonts w:ascii="Times New Roman" w:hAnsi="Times New Roman" w:eastAsia="宋体" w:cs="Times New Roman"/>
              </w:rPr>
              <w:t>质量保障</w:t>
            </w:r>
          </w:p>
        </w:tc>
        <w:tc>
          <w:tcPr>
            <w:tcW w:w="709" w:type="dxa"/>
            <w:tcBorders>
              <w:top w:val="single" w:color="auto" w:sz="4" w:space="0"/>
              <w:left w:val="single" w:color="auto" w:sz="4" w:space="0"/>
              <w:bottom w:val="nil"/>
              <w:right w:val="single" w:color="auto" w:sz="4" w:space="0"/>
            </w:tcBorders>
            <w:vAlign w:val="center"/>
          </w:tcPr>
          <w:p w14:paraId="472C7A86">
            <w:pPr>
              <w:jc w:val="center"/>
              <w:rPr>
                <w:rFonts w:ascii="Times New Roman" w:hAnsi="Times New Roman" w:eastAsia="宋体" w:cs="Times New Roman"/>
                <w:szCs w:val="21"/>
              </w:rPr>
            </w:pPr>
            <w:r>
              <w:rPr>
                <w:rFonts w:ascii="Times New Roman" w:hAnsi="Times New Roman" w:eastAsia="宋体" w:cs="Times New Roman"/>
              </w:rPr>
              <w:t>6</w:t>
            </w:r>
          </w:p>
        </w:tc>
        <w:tc>
          <w:tcPr>
            <w:tcW w:w="5583" w:type="dxa"/>
            <w:tcBorders>
              <w:top w:val="single" w:color="auto" w:sz="4" w:space="0"/>
              <w:left w:val="single" w:color="auto" w:sz="4" w:space="0"/>
              <w:bottom w:val="nil"/>
              <w:right w:val="single" w:color="auto" w:sz="4" w:space="0"/>
            </w:tcBorders>
            <w:vAlign w:val="center"/>
          </w:tcPr>
          <w:p w14:paraId="10653402">
            <w:pPr>
              <w:tabs>
                <w:tab w:val="left" w:pos="7854"/>
              </w:tabs>
              <w:rPr>
                <w:rFonts w:ascii="Times New Roman" w:hAnsi="Times New Roman" w:eastAsia="宋体" w:cs="Times New Roman"/>
              </w:rPr>
            </w:pPr>
            <w:r>
              <w:rPr>
                <w:rFonts w:ascii="Times New Roman" w:hAnsi="Times New Roman" w:eastAsia="宋体" w:cs="Times New Roman"/>
              </w:rPr>
              <w:t>具有良好的质量管理体系和完备的检测体系，保证设备造质量符合要求（提供相应证明材料）。根据提供的资料从优到劣进行综合评审排序，自主赋分。</w:t>
            </w:r>
          </w:p>
        </w:tc>
      </w:tr>
      <w:tr w14:paraId="096DB5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7" w:hRule="atLeast"/>
          <w:jc w:val="center"/>
        </w:trPr>
        <w:tc>
          <w:tcPr>
            <w:tcW w:w="815" w:type="dxa"/>
            <w:vMerge w:val="continue"/>
            <w:tcBorders>
              <w:left w:val="single" w:color="auto" w:sz="4" w:space="0"/>
              <w:right w:val="single" w:color="auto" w:sz="4" w:space="0"/>
            </w:tcBorders>
            <w:vAlign w:val="center"/>
          </w:tcPr>
          <w:p w14:paraId="4242528F">
            <w:pPr>
              <w:widowControl/>
              <w:jc w:val="left"/>
              <w:rPr>
                <w:rFonts w:ascii="Times New Roman" w:hAnsi="Times New Roman" w:eastAsia="宋体" w:cs="Times New Roman"/>
              </w:rPr>
            </w:pPr>
          </w:p>
        </w:tc>
        <w:tc>
          <w:tcPr>
            <w:tcW w:w="564" w:type="dxa"/>
            <w:vMerge w:val="continue"/>
            <w:tcBorders>
              <w:left w:val="single" w:color="auto" w:sz="4" w:space="0"/>
              <w:right w:val="single" w:color="auto" w:sz="4" w:space="0"/>
            </w:tcBorders>
            <w:vAlign w:val="center"/>
          </w:tcPr>
          <w:p w14:paraId="05661457">
            <w:pPr>
              <w:widowControl/>
              <w:jc w:val="left"/>
              <w:rPr>
                <w:rFonts w:ascii="Times New Roman" w:hAnsi="Times New Roman" w:eastAsia="宋体" w:cs="Times New Roman"/>
              </w:rPr>
            </w:pPr>
          </w:p>
        </w:tc>
        <w:tc>
          <w:tcPr>
            <w:tcW w:w="1276" w:type="dxa"/>
            <w:gridSpan w:val="2"/>
            <w:tcBorders>
              <w:top w:val="single" w:color="auto" w:sz="4" w:space="0"/>
              <w:left w:val="single" w:color="auto" w:sz="4" w:space="0"/>
              <w:bottom w:val="single" w:color="auto" w:sz="4" w:space="0"/>
              <w:right w:val="single" w:color="auto" w:sz="4" w:space="0"/>
            </w:tcBorders>
            <w:vAlign w:val="center"/>
          </w:tcPr>
          <w:p w14:paraId="3826FFA9">
            <w:pPr>
              <w:jc w:val="center"/>
              <w:rPr>
                <w:rFonts w:ascii="Times New Roman" w:hAnsi="Times New Roman" w:eastAsia="宋体" w:cs="Times New Roman"/>
              </w:rPr>
            </w:pPr>
            <w:r>
              <w:rPr>
                <w:rFonts w:hint="eastAsia" w:ascii="Times New Roman" w:hAnsi="Times New Roman" w:eastAsia="宋体" w:cs="Times New Roman"/>
              </w:rPr>
              <w:t>节能、安全、环保</w:t>
            </w:r>
          </w:p>
        </w:tc>
        <w:tc>
          <w:tcPr>
            <w:tcW w:w="709" w:type="dxa"/>
            <w:tcBorders>
              <w:top w:val="single" w:color="auto" w:sz="4" w:space="0"/>
              <w:left w:val="single" w:color="auto" w:sz="4" w:space="0"/>
              <w:bottom w:val="nil"/>
              <w:right w:val="single" w:color="auto" w:sz="4" w:space="0"/>
            </w:tcBorders>
            <w:vAlign w:val="center"/>
          </w:tcPr>
          <w:p w14:paraId="4B2AB6C2">
            <w:pPr>
              <w:jc w:val="center"/>
              <w:rPr>
                <w:rFonts w:ascii="Times New Roman" w:hAnsi="Times New Roman" w:eastAsia="宋体" w:cs="Times New Roman"/>
              </w:rPr>
            </w:pPr>
            <w:r>
              <w:rPr>
                <w:rFonts w:ascii="Times New Roman" w:hAnsi="Times New Roman" w:eastAsia="宋体" w:cs="Times New Roman"/>
              </w:rPr>
              <w:t>4</w:t>
            </w:r>
          </w:p>
        </w:tc>
        <w:tc>
          <w:tcPr>
            <w:tcW w:w="5583" w:type="dxa"/>
            <w:tcBorders>
              <w:top w:val="single" w:color="auto" w:sz="4" w:space="0"/>
              <w:left w:val="single" w:color="auto" w:sz="4" w:space="0"/>
              <w:bottom w:val="nil"/>
              <w:right w:val="single" w:color="auto" w:sz="4" w:space="0"/>
            </w:tcBorders>
            <w:vAlign w:val="center"/>
          </w:tcPr>
          <w:p w14:paraId="40B20B71">
            <w:pPr>
              <w:tabs>
                <w:tab w:val="left" w:pos="7854"/>
              </w:tabs>
              <w:rPr>
                <w:rFonts w:ascii="Times New Roman" w:hAnsi="Times New Roman" w:eastAsia="宋体" w:cs="Times New Roman"/>
              </w:rPr>
            </w:pPr>
            <w:r>
              <w:rPr>
                <w:rFonts w:hint="eastAsia" w:ascii="Times New Roman" w:hAnsi="Times New Roman" w:eastAsia="宋体" w:cs="Times New Roman"/>
              </w:rPr>
              <w:t>设备电机等采用节能措施；设备配置相应的安全、消防防护措施；设备密封、除尘装置设计、配置有效。</w:t>
            </w:r>
          </w:p>
        </w:tc>
      </w:tr>
      <w:tr w14:paraId="21253DE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7" w:hRule="atLeast"/>
          <w:jc w:val="center"/>
        </w:trPr>
        <w:tc>
          <w:tcPr>
            <w:tcW w:w="815" w:type="dxa"/>
            <w:vMerge w:val="continue"/>
            <w:tcBorders>
              <w:left w:val="single" w:color="auto" w:sz="4" w:space="0"/>
              <w:right w:val="single" w:color="auto" w:sz="4" w:space="0"/>
            </w:tcBorders>
            <w:vAlign w:val="center"/>
          </w:tcPr>
          <w:p w14:paraId="50CBA7D5">
            <w:pPr>
              <w:jc w:val="center"/>
              <w:rPr>
                <w:rFonts w:ascii="Times New Roman" w:hAnsi="Times New Roman" w:eastAsia="宋体" w:cs="Times New Roman"/>
                <w:szCs w:val="21"/>
              </w:rPr>
            </w:pPr>
          </w:p>
        </w:tc>
        <w:tc>
          <w:tcPr>
            <w:tcW w:w="564" w:type="dxa"/>
            <w:vMerge w:val="restart"/>
            <w:tcBorders>
              <w:top w:val="single" w:color="auto" w:sz="4" w:space="0"/>
              <w:left w:val="single" w:color="auto" w:sz="4" w:space="0"/>
              <w:bottom w:val="single" w:color="auto" w:sz="4" w:space="0"/>
              <w:right w:val="single" w:color="auto" w:sz="4" w:space="0"/>
            </w:tcBorders>
            <w:vAlign w:val="center"/>
          </w:tcPr>
          <w:p w14:paraId="2FF26A3A">
            <w:pPr>
              <w:jc w:val="center"/>
              <w:rPr>
                <w:rFonts w:ascii="Times New Roman" w:hAnsi="Times New Roman" w:eastAsia="宋体" w:cs="Times New Roman"/>
              </w:rPr>
            </w:pPr>
            <w:r>
              <w:rPr>
                <w:rFonts w:ascii="Times New Roman" w:hAnsi="Times New Roman" w:eastAsia="宋体" w:cs="Times New Roman"/>
              </w:rPr>
              <w:t>20</w:t>
            </w:r>
          </w:p>
        </w:tc>
        <w:tc>
          <w:tcPr>
            <w:tcW w:w="1276" w:type="dxa"/>
            <w:gridSpan w:val="2"/>
            <w:tcBorders>
              <w:top w:val="single" w:color="auto" w:sz="4" w:space="0"/>
              <w:left w:val="single" w:color="auto" w:sz="4" w:space="0"/>
              <w:bottom w:val="nil"/>
              <w:right w:val="single" w:color="auto" w:sz="4" w:space="0"/>
            </w:tcBorders>
            <w:vAlign w:val="center"/>
          </w:tcPr>
          <w:p w14:paraId="01E1F05E">
            <w:pPr>
              <w:jc w:val="center"/>
              <w:rPr>
                <w:rFonts w:ascii="Times New Roman" w:hAnsi="Times New Roman" w:eastAsia="宋体" w:cs="Times New Roman"/>
                <w:szCs w:val="21"/>
              </w:rPr>
            </w:pPr>
            <w:r>
              <w:rPr>
                <w:rFonts w:ascii="Times New Roman" w:hAnsi="Times New Roman" w:eastAsia="宋体" w:cs="Times New Roman"/>
              </w:rPr>
              <w:t>售后服务</w:t>
            </w:r>
          </w:p>
        </w:tc>
        <w:tc>
          <w:tcPr>
            <w:tcW w:w="709" w:type="dxa"/>
            <w:tcBorders>
              <w:top w:val="single" w:color="auto" w:sz="4" w:space="0"/>
              <w:left w:val="single" w:color="auto" w:sz="4" w:space="0"/>
              <w:bottom w:val="single" w:color="auto" w:sz="4" w:space="0"/>
              <w:right w:val="single" w:color="auto" w:sz="4" w:space="0"/>
            </w:tcBorders>
            <w:vAlign w:val="center"/>
          </w:tcPr>
          <w:p w14:paraId="53CEE997">
            <w:pPr>
              <w:jc w:val="center"/>
              <w:rPr>
                <w:rFonts w:ascii="Times New Roman" w:hAnsi="Times New Roman" w:eastAsia="宋体" w:cs="Times New Roman"/>
                <w:szCs w:val="21"/>
              </w:rPr>
            </w:pPr>
            <w:r>
              <w:rPr>
                <w:rFonts w:ascii="Times New Roman" w:hAnsi="Times New Roman" w:eastAsia="宋体" w:cs="Times New Roman"/>
              </w:rPr>
              <w:t>10</w:t>
            </w:r>
          </w:p>
        </w:tc>
        <w:tc>
          <w:tcPr>
            <w:tcW w:w="5583" w:type="dxa"/>
            <w:tcBorders>
              <w:top w:val="single" w:color="auto" w:sz="4" w:space="0"/>
              <w:left w:val="single" w:color="auto" w:sz="4" w:space="0"/>
              <w:bottom w:val="single" w:color="auto" w:sz="4" w:space="0"/>
              <w:right w:val="single" w:color="auto" w:sz="4" w:space="0"/>
            </w:tcBorders>
            <w:vAlign w:val="center"/>
          </w:tcPr>
          <w:p w14:paraId="43E41C7A">
            <w:pPr>
              <w:tabs>
                <w:tab w:val="left" w:pos="7854"/>
              </w:tabs>
              <w:rPr>
                <w:rFonts w:ascii="Times New Roman" w:hAnsi="Times New Roman" w:eastAsia="宋体" w:cs="Times New Roman"/>
              </w:rPr>
            </w:pPr>
            <w:r>
              <w:rPr>
                <w:rFonts w:ascii="Times New Roman" w:hAnsi="Times New Roman" w:eastAsia="宋体" w:cs="Times New Roman"/>
              </w:rPr>
              <w:t>根据投标文件中提供的售后服务方案、保证措施等的响应情况综合评审，依次赋分。</w:t>
            </w:r>
          </w:p>
        </w:tc>
      </w:tr>
      <w:tr w14:paraId="2AAF18B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7" w:hRule="atLeast"/>
          <w:jc w:val="center"/>
        </w:trPr>
        <w:tc>
          <w:tcPr>
            <w:tcW w:w="815" w:type="dxa"/>
            <w:vMerge w:val="continue"/>
            <w:tcBorders>
              <w:left w:val="single" w:color="auto" w:sz="4" w:space="0"/>
              <w:bottom w:val="single" w:color="auto" w:sz="4" w:space="0"/>
              <w:right w:val="single" w:color="auto" w:sz="4" w:space="0"/>
            </w:tcBorders>
            <w:vAlign w:val="center"/>
          </w:tcPr>
          <w:p w14:paraId="2CC488A2">
            <w:pPr>
              <w:widowControl/>
              <w:jc w:val="left"/>
              <w:rPr>
                <w:rFonts w:ascii="Times New Roman" w:hAnsi="Times New Roman" w:eastAsia="宋体" w:cs="Times New Roman"/>
                <w:szCs w:val="21"/>
              </w:rPr>
            </w:pPr>
          </w:p>
        </w:tc>
        <w:tc>
          <w:tcPr>
            <w:tcW w:w="564" w:type="dxa"/>
            <w:vMerge w:val="continue"/>
            <w:tcBorders>
              <w:top w:val="single" w:color="auto" w:sz="4" w:space="0"/>
              <w:left w:val="single" w:color="auto" w:sz="4" w:space="0"/>
              <w:bottom w:val="single" w:color="auto" w:sz="4" w:space="0"/>
              <w:right w:val="single" w:color="auto" w:sz="4" w:space="0"/>
            </w:tcBorders>
            <w:vAlign w:val="center"/>
          </w:tcPr>
          <w:p w14:paraId="0ABA6DCB">
            <w:pPr>
              <w:widowControl/>
              <w:jc w:val="left"/>
              <w:rPr>
                <w:rFonts w:ascii="Times New Roman" w:hAnsi="Times New Roman" w:eastAsia="宋体" w:cs="Times New Roman"/>
                <w:szCs w:val="21"/>
              </w:rPr>
            </w:pPr>
          </w:p>
        </w:tc>
        <w:tc>
          <w:tcPr>
            <w:tcW w:w="1276" w:type="dxa"/>
            <w:gridSpan w:val="2"/>
            <w:tcBorders>
              <w:top w:val="single" w:color="auto" w:sz="4" w:space="0"/>
              <w:left w:val="single" w:color="auto" w:sz="4" w:space="0"/>
              <w:bottom w:val="single" w:color="auto" w:sz="4" w:space="0"/>
              <w:right w:val="single" w:color="auto" w:sz="4" w:space="0"/>
            </w:tcBorders>
            <w:vAlign w:val="center"/>
          </w:tcPr>
          <w:p w14:paraId="2D12CE67">
            <w:pPr>
              <w:jc w:val="center"/>
              <w:rPr>
                <w:rFonts w:ascii="Times New Roman" w:hAnsi="Times New Roman" w:eastAsia="宋体" w:cs="Times New Roman"/>
                <w:szCs w:val="21"/>
              </w:rPr>
            </w:pPr>
            <w:r>
              <w:rPr>
                <w:rFonts w:ascii="Times New Roman" w:hAnsi="Times New Roman" w:eastAsia="宋体" w:cs="Times New Roman"/>
              </w:rPr>
              <w:t>业绩</w:t>
            </w:r>
          </w:p>
        </w:tc>
        <w:tc>
          <w:tcPr>
            <w:tcW w:w="709" w:type="dxa"/>
            <w:tcBorders>
              <w:top w:val="single" w:color="auto" w:sz="4" w:space="0"/>
              <w:left w:val="single" w:color="auto" w:sz="4" w:space="0"/>
              <w:bottom w:val="single" w:color="auto" w:sz="4" w:space="0"/>
              <w:right w:val="single" w:color="auto" w:sz="4" w:space="0"/>
            </w:tcBorders>
            <w:vAlign w:val="center"/>
          </w:tcPr>
          <w:p w14:paraId="45850E19">
            <w:pPr>
              <w:jc w:val="center"/>
              <w:rPr>
                <w:rFonts w:ascii="Times New Roman" w:hAnsi="Times New Roman" w:eastAsia="宋体" w:cs="Times New Roman"/>
                <w:szCs w:val="21"/>
              </w:rPr>
            </w:pPr>
            <w:r>
              <w:rPr>
                <w:rFonts w:ascii="Times New Roman" w:hAnsi="Times New Roman" w:eastAsia="宋体" w:cs="Times New Roman"/>
              </w:rPr>
              <w:t>10</w:t>
            </w:r>
          </w:p>
        </w:tc>
        <w:tc>
          <w:tcPr>
            <w:tcW w:w="5583" w:type="dxa"/>
            <w:tcBorders>
              <w:top w:val="single" w:color="auto" w:sz="4" w:space="0"/>
              <w:left w:val="single" w:color="auto" w:sz="4" w:space="0"/>
              <w:bottom w:val="single" w:color="auto" w:sz="4" w:space="0"/>
              <w:right w:val="single" w:color="auto" w:sz="4" w:space="0"/>
            </w:tcBorders>
            <w:vAlign w:val="center"/>
          </w:tcPr>
          <w:p w14:paraId="1C7AB644">
            <w:pPr>
              <w:tabs>
                <w:tab w:val="left" w:pos="7854"/>
              </w:tabs>
              <w:rPr>
                <w:rFonts w:ascii="Times New Roman" w:hAnsi="Times New Roman" w:eastAsia="宋体" w:cs="Times New Roman"/>
              </w:rPr>
            </w:pPr>
            <w:r>
              <w:rPr>
                <w:rFonts w:ascii="Times New Roman" w:hAnsi="Times New Roman" w:eastAsia="宋体" w:cs="Times New Roman"/>
              </w:rPr>
              <w:t>最近连续</w:t>
            </w:r>
            <w:r>
              <w:rPr>
                <w:rFonts w:hint="eastAsia" w:ascii="Times New Roman" w:hAnsi="Times New Roman" w:eastAsia="宋体" w:cs="Times New Roman"/>
              </w:rPr>
              <w:t>五</w:t>
            </w:r>
            <w:r>
              <w:rPr>
                <w:rFonts w:ascii="Times New Roman" w:hAnsi="Times New Roman" w:eastAsia="宋体" w:cs="Times New Roman"/>
              </w:rPr>
              <w:t>年有国内或国外</w:t>
            </w:r>
            <w:r>
              <w:rPr>
                <w:rFonts w:hint="eastAsia" w:ascii="Times New Roman" w:hAnsi="Times New Roman" w:eastAsia="宋体" w:cs="Times New Roman"/>
              </w:rPr>
              <w:t>相关</w:t>
            </w:r>
            <w:r>
              <w:rPr>
                <w:rFonts w:ascii="Times New Roman" w:hAnsi="Times New Roman" w:eastAsia="宋体" w:cs="Times New Roman"/>
              </w:rPr>
              <w:t>经历和经验，提供3份</w:t>
            </w:r>
            <w:r>
              <w:rPr>
                <w:rFonts w:hint="eastAsia" w:ascii="Times New Roman" w:hAnsi="Times New Roman" w:eastAsia="宋体" w:cs="Times New Roman"/>
              </w:rPr>
              <w:t>及</w:t>
            </w:r>
            <w:r>
              <w:rPr>
                <w:rFonts w:ascii="Times New Roman" w:hAnsi="Times New Roman" w:eastAsia="宋体" w:cs="Times New Roman"/>
              </w:rPr>
              <w:t>以上投标同类产品开发合同证明材料，得10分；提供2份得7分；提供1份证明材料的，得5分；无证明材料的，不得分。</w:t>
            </w:r>
          </w:p>
        </w:tc>
      </w:tr>
      <w:tr w14:paraId="39F083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52" w:hRule="atLeast"/>
          <w:jc w:val="center"/>
        </w:trPr>
        <w:tc>
          <w:tcPr>
            <w:tcW w:w="1379" w:type="dxa"/>
            <w:gridSpan w:val="2"/>
            <w:tcBorders>
              <w:top w:val="single" w:color="auto" w:sz="4" w:space="0"/>
              <w:left w:val="single" w:color="auto" w:sz="4" w:space="0"/>
              <w:bottom w:val="single" w:color="auto" w:sz="4" w:space="0"/>
              <w:right w:val="single" w:color="auto" w:sz="4" w:space="0"/>
            </w:tcBorders>
          </w:tcPr>
          <w:p w14:paraId="1A54A975">
            <w:pPr>
              <w:jc w:val="left"/>
              <w:rPr>
                <w:rFonts w:ascii="Times New Roman" w:hAnsi="Times New Roman" w:eastAsia="宋体" w:cs="Times New Roman"/>
                <w:szCs w:val="21"/>
              </w:rPr>
            </w:pPr>
            <w:r>
              <w:rPr>
                <w:rFonts w:hint="eastAsia" w:ascii="Times New Roman" w:hAnsi="Times New Roman" w:eastAsia="宋体" w:cs="Times New Roman"/>
                <w:b/>
                <w:szCs w:val="21"/>
              </w:rPr>
              <w:t>二</w:t>
            </w:r>
          </w:p>
        </w:tc>
        <w:tc>
          <w:tcPr>
            <w:tcW w:w="7568" w:type="dxa"/>
            <w:gridSpan w:val="4"/>
            <w:tcBorders>
              <w:top w:val="single" w:color="auto" w:sz="4" w:space="0"/>
              <w:left w:val="single" w:color="auto" w:sz="4" w:space="0"/>
              <w:bottom w:val="single" w:color="auto" w:sz="4" w:space="0"/>
              <w:right w:val="single" w:color="auto" w:sz="4" w:space="0"/>
            </w:tcBorders>
          </w:tcPr>
          <w:p w14:paraId="3CF5BA15">
            <w:pPr>
              <w:jc w:val="left"/>
              <w:rPr>
                <w:rFonts w:ascii="Times New Roman" w:hAnsi="Times New Roman" w:eastAsia="宋体" w:cs="Times New Roman"/>
                <w:szCs w:val="21"/>
              </w:rPr>
            </w:pPr>
            <w:r>
              <w:rPr>
                <w:rFonts w:hint="eastAsia" w:ascii="Times New Roman" w:hAnsi="Times New Roman" w:eastAsia="宋体" w:cs="Times New Roman"/>
                <w:b/>
                <w:szCs w:val="21"/>
              </w:rPr>
              <w:t>商务标</w:t>
            </w:r>
          </w:p>
        </w:tc>
      </w:tr>
      <w:tr w14:paraId="692A248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7" w:hRule="atLeast"/>
          <w:jc w:val="center"/>
        </w:trPr>
        <w:tc>
          <w:tcPr>
            <w:tcW w:w="8947" w:type="dxa"/>
            <w:gridSpan w:val="6"/>
            <w:tcBorders>
              <w:top w:val="single" w:color="auto" w:sz="4" w:space="0"/>
              <w:left w:val="single" w:color="auto" w:sz="4" w:space="0"/>
              <w:bottom w:val="single" w:color="auto" w:sz="4" w:space="0"/>
              <w:right w:val="single" w:color="auto" w:sz="4" w:space="0"/>
            </w:tcBorders>
          </w:tcPr>
          <w:p w14:paraId="5AF2D252">
            <w:pPr>
              <w:tabs>
                <w:tab w:val="left" w:pos="7854"/>
              </w:tabs>
              <w:rPr>
                <w:rFonts w:ascii="Times New Roman" w:hAnsi="Times New Roman" w:eastAsia="宋体" w:cs="Times New Roman"/>
              </w:rPr>
            </w:pPr>
            <w:r>
              <w:rPr>
                <w:rFonts w:hint="eastAsia" w:ascii="Times New Roman" w:hAnsi="Times New Roman" w:eastAsia="宋体" w:cs="Times New Roman"/>
              </w:rPr>
              <w:t xml:space="preserve">评标基准价： </w:t>
            </w:r>
          </w:p>
          <w:p w14:paraId="307B6C6E">
            <w:pPr>
              <w:tabs>
                <w:tab w:val="left" w:pos="7854"/>
              </w:tabs>
              <w:rPr>
                <w:rFonts w:ascii="Times New Roman" w:hAnsi="Times New Roman" w:eastAsia="宋体" w:cs="Times New Roman"/>
              </w:rPr>
            </w:pPr>
            <w:r>
              <w:rPr>
                <w:rFonts w:hint="eastAsia" w:ascii="Times New Roman" w:hAnsi="Times New Roman" w:eastAsia="宋体" w:cs="Times New Roman"/>
              </w:rPr>
              <w:t>1、评标基准价为本轮次有效的最终投标报价的最低价。</w:t>
            </w:r>
          </w:p>
          <w:p w14:paraId="09FB8D3C">
            <w:pPr>
              <w:tabs>
                <w:tab w:val="left" w:pos="7854"/>
              </w:tabs>
              <w:rPr>
                <w:rFonts w:ascii="Times New Roman" w:hAnsi="Times New Roman" w:eastAsia="宋体" w:cs="Times New Roman"/>
              </w:rPr>
            </w:pPr>
            <w:r>
              <w:rPr>
                <w:rFonts w:hint="eastAsia" w:ascii="Times New Roman" w:hAnsi="Times New Roman" w:eastAsia="宋体" w:cs="Times New Roman"/>
              </w:rPr>
              <w:t>2、有效的评标基准价得100分；其他投标人的价格得分按下列公式计算：投标价格得分=100×（评标基准价/投标报价）。</w:t>
            </w:r>
          </w:p>
          <w:p w14:paraId="1265DF09">
            <w:pPr>
              <w:jc w:val="left"/>
              <w:rPr>
                <w:rFonts w:ascii="Times New Roman" w:hAnsi="Times New Roman" w:eastAsia="宋体" w:cs="Times New Roman"/>
                <w:szCs w:val="21"/>
              </w:rPr>
            </w:pPr>
            <w:r>
              <w:rPr>
                <w:rFonts w:hint="eastAsia" w:ascii="Times New Roman" w:hAnsi="Times New Roman" w:eastAsia="宋体" w:cs="Times New Roman"/>
              </w:rPr>
              <w:t>注：得分值取小数点后两位，不足一个百分点的，按照四舍五入法计算。</w:t>
            </w:r>
          </w:p>
        </w:tc>
      </w:tr>
      <w:tr w14:paraId="404C8A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7" w:hRule="atLeast"/>
          <w:jc w:val="center"/>
        </w:trPr>
        <w:tc>
          <w:tcPr>
            <w:tcW w:w="1390" w:type="dxa"/>
            <w:gridSpan w:val="3"/>
            <w:tcBorders>
              <w:top w:val="single" w:color="auto" w:sz="4" w:space="0"/>
              <w:left w:val="single" w:color="auto" w:sz="4" w:space="0"/>
              <w:bottom w:val="single" w:color="auto" w:sz="4" w:space="0"/>
              <w:right w:val="single" w:color="auto" w:sz="4" w:space="0"/>
            </w:tcBorders>
          </w:tcPr>
          <w:p w14:paraId="10C7203D">
            <w:pPr>
              <w:jc w:val="left"/>
              <w:rPr>
                <w:rFonts w:ascii="Times New Roman" w:hAnsi="Times New Roman" w:eastAsia="宋体" w:cs="Times New Roman"/>
              </w:rPr>
            </w:pPr>
            <w:r>
              <w:rPr>
                <w:rFonts w:hint="eastAsia" w:ascii="Times New Roman" w:hAnsi="Times New Roman" w:eastAsia="宋体" w:cs="Times New Roman"/>
                <w:b/>
                <w:szCs w:val="21"/>
              </w:rPr>
              <w:t>三</w:t>
            </w:r>
          </w:p>
        </w:tc>
        <w:tc>
          <w:tcPr>
            <w:tcW w:w="7557" w:type="dxa"/>
            <w:gridSpan w:val="3"/>
            <w:tcBorders>
              <w:top w:val="single" w:color="auto" w:sz="4" w:space="0"/>
              <w:left w:val="single" w:color="auto" w:sz="4" w:space="0"/>
              <w:bottom w:val="single" w:color="auto" w:sz="4" w:space="0"/>
              <w:right w:val="single" w:color="auto" w:sz="4" w:space="0"/>
            </w:tcBorders>
          </w:tcPr>
          <w:p w14:paraId="422C808D">
            <w:pPr>
              <w:jc w:val="left"/>
              <w:rPr>
                <w:rFonts w:ascii="Times New Roman" w:hAnsi="Times New Roman" w:eastAsia="宋体" w:cs="Times New Roman"/>
              </w:rPr>
            </w:pPr>
            <w:r>
              <w:rPr>
                <w:rFonts w:hint="eastAsia" w:ascii="Times New Roman" w:hAnsi="Times New Roman" w:eastAsia="宋体" w:cs="Times New Roman"/>
                <w:b/>
                <w:szCs w:val="21"/>
              </w:rPr>
              <w:t>综合得分</w:t>
            </w:r>
          </w:p>
        </w:tc>
      </w:tr>
      <w:tr w14:paraId="265531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7" w:hRule="atLeast"/>
          <w:jc w:val="center"/>
        </w:trPr>
        <w:tc>
          <w:tcPr>
            <w:tcW w:w="8947" w:type="dxa"/>
            <w:gridSpan w:val="6"/>
            <w:tcBorders>
              <w:top w:val="single" w:color="auto" w:sz="4" w:space="0"/>
              <w:left w:val="single" w:color="auto" w:sz="4" w:space="0"/>
              <w:bottom w:val="single" w:color="auto" w:sz="4" w:space="0"/>
              <w:right w:val="single" w:color="auto" w:sz="4" w:space="0"/>
            </w:tcBorders>
          </w:tcPr>
          <w:p w14:paraId="536A0BD8">
            <w:pPr>
              <w:jc w:val="left"/>
              <w:rPr>
                <w:rFonts w:ascii="Times New Roman" w:hAnsi="Times New Roman" w:eastAsia="宋体" w:cs="Times New Roman"/>
                <w:b/>
                <w:szCs w:val="21"/>
              </w:rPr>
            </w:pPr>
            <w:r>
              <w:rPr>
                <w:rFonts w:hint="eastAsia" w:ascii="Times New Roman" w:hAnsi="Times New Roman" w:eastAsia="宋体" w:cs="Times New Roman"/>
                <w:b/>
                <w:szCs w:val="21"/>
              </w:rPr>
              <w:t>综合得分=技术分×</w:t>
            </w:r>
            <w:r>
              <w:rPr>
                <w:rFonts w:ascii="Times New Roman" w:hAnsi="Times New Roman" w:eastAsia="宋体" w:cs="Times New Roman"/>
                <w:b/>
                <w:szCs w:val="21"/>
              </w:rPr>
              <w:t>4</w:t>
            </w:r>
            <w:r>
              <w:rPr>
                <w:rFonts w:hint="eastAsia" w:ascii="Times New Roman" w:hAnsi="Times New Roman" w:eastAsia="宋体" w:cs="Times New Roman"/>
                <w:b/>
                <w:szCs w:val="21"/>
              </w:rPr>
              <w:t>0%＋商务标得分×</w:t>
            </w:r>
            <w:r>
              <w:rPr>
                <w:rFonts w:ascii="Times New Roman" w:hAnsi="Times New Roman" w:eastAsia="宋体" w:cs="Times New Roman"/>
                <w:b/>
                <w:szCs w:val="21"/>
              </w:rPr>
              <w:t>6</w:t>
            </w:r>
            <w:r>
              <w:rPr>
                <w:rFonts w:hint="eastAsia" w:ascii="Times New Roman" w:hAnsi="Times New Roman" w:eastAsia="宋体" w:cs="Times New Roman"/>
                <w:b/>
                <w:szCs w:val="21"/>
              </w:rPr>
              <w:t>0%</w:t>
            </w:r>
          </w:p>
        </w:tc>
      </w:tr>
    </w:tbl>
    <w:p w14:paraId="347ED651">
      <w:pPr>
        <w:pStyle w:val="20"/>
        <w:rPr>
          <w:rFonts w:hAnsi="宋体" w:eastAsia="宋体" w:cs="Times New Roman"/>
          <w:b/>
          <w:color w:val="000000"/>
          <w:sz w:val="24"/>
          <w:szCs w:val="24"/>
        </w:rPr>
      </w:pPr>
      <w:r>
        <w:rPr>
          <w:rFonts w:ascii="Calibri" w:hAnsi="Calibri" w:eastAsia="宋体" w:cs="Times New Roman"/>
          <w:szCs w:val="20"/>
        </w:rPr>
        <w:br w:type="page"/>
      </w:r>
    </w:p>
    <w:p w14:paraId="72D8258F">
      <w:pPr>
        <w:pStyle w:val="157"/>
        <w:numPr>
          <w:ilvl w:val="0"/>
          <w:numId w:val="0"/>
        </w:numPr>
        <w:ind w:leftChars="0"/>
        <w:rPr>
          <w:rFonts w:hint="eastAsia" w:ascii="宋体" w:hAnsi="宋体" w:eastAsia="宋体" w:cs="宋体"/>
          <w:b/>
          <w:bCs/>
          <w:kern w:val="0"/>
          <w:sz w:val="24"/>
          <w:szCs w:val="24"/>
          <w:lang w:val="en-US" w:eastAsia="zh-CN" w:bidi="ar-SA"/>
        </w:rPr>
      </w:pPr>
      <w:r>
        <w:rPr>
          <w:rFonts w:hint="eastAsia" w:hAnsi="宋体" w:eastAsia="宋体" w:cs="宋体"/>
          <w:b/>
          <w:bCs/>
          <w:sz w:val="24"/>
          <w:szCs w:val="24"/>
        </w:rPr>
        <w:t>附件1</w:t>
      </w:r>
      <w:r>
        <w:rPr>
          <w:rFonts w:hint="eastAsia" w:hAnsi="宋体" w:eastAsia="宋体" w:cs="宋体"/>
          <w:b/>
          <w:bCs/>
          <w:sz w:val="24"/>
          <w:szCs w:val="24"/>
          <w:lang w:val="en-US" w:eastAsia="zh-CN"/>
        </w:rPr>
        <w:t>5</w:t>
      </w:r>
      <w:r>
        <w:rPr>
          <w:rFonts w:hint="eastAsia" w:hAnsi="宋体" w:eastAsia="宋体" w:cs="宋体"/>
          <w:b/>
          <w:bCs/>
          <w:sz w:val="24"/>
          <w:szCs w:val="24"/>
        </w:rPr>
        <w:t xml:space="preserve"> </w:t>
      </w:r>
      <w:r>
        <w:rPr>
          <w:rFonts w:hint="eastAsia" w:ascii="宋体" w:hAnsi="宋体" w:eastAsia="宋体" w:cs="宋体"/>
          <w:b/>
          <w:bCs/>
          <w:kern w:val="0"/>
          <w:sz w:val="24"/>
          <w:szCs w:val="24"/>
          <w:lang w:val="en-US" w:eastAsia="zh-CN" w:bidi="ar-SA"/>
        </w:rPr>
        <w:t>SRM非生产供应商注册操作手册</w:t>
      </w:r>
    </w:p>
    <w:p w14:paraId="6E36A7D3">
      <w:pPr>
        <w:adjustRightInd w:val="0"/>
        <w:snapToGrid w:val="0"/>
        <w:jc w:val="left"/>
        <w:rPr>
          <w:rFonts w:ascii="宋体" w:hAnsi="宋体" w:eastAsia="宋体" w:cs="宋体"/>
          <w:color w:val="000000"/>
          <w:sz w:val="24"/>
          <w:szCs w:val="24"/>
          <w:highlight w:val="none"/>
        </w:rPr>
      </w:pPr>
    </w:p>
    <w:p w14:paraId="24FA2DDB">
      <w:pPr>
        <w:adjustRightInd w:val="0"/>
        <w:snapToGrid w:val="0"/>
        <w:spacing w:line="360" w:lineRule="auto"/>
        <w:jc w:val="left"/>
        <w:rPr>
          <w:rFonts w:ascii="宋体" w:hAnsi="宋体" w:eastAsia="宋体" w:cs="宋体"/>
          <w:color w:val="000000"/>
          <w:sz w:val="24"/>
          <w:szCs w:val="24"/>
          <w:highlight w:val="none"/>
        </w:rPr>
      </w:pPr>
      <w:r>
        <w:rPr>
          <w:rFonts w:ascii="宋体" w:hAnsi="宋体" w:eastAsia="宋体" w:cs="宋体"/>
          <w:color w:val="000000"/>
          <w:sz w:val="24"/>
          <w:szCs w:val="24"/>
          <w:highlight w:val="none"/>
        </w:rPr>
        <w:t>浏览器中输入地址;</w:t>
      </w:r>
    </w:p>
    <w:p w14:paraId="72E7EF2C">
      <w:pPr>
        <w:adjustRightInd w:val="0"/>
        <w:snapToGrid w:val="0"/>
        <w:spacing w:line="360" w:lineRule="auto"/>
        <w:jc w:val="left"/>
        <w:rPr>
          <w:rFonts w:hint="default" w:ascii="宋体" w:hAnsi="宋体" w:eastAsia="宋体" w:cs="宋体"/>
          <w:color w:val="000000"/>
          <w:sz w:val="24"/>
          <w:szCs w:val="24"/>
          <w:highlight w:val="none"/>
          <w:lang w:val="en-US" w:eastAsia="zh-CN"/>
        </w:rPr>
      </w:pPr>
      <w:r>
        <w:rPr>
          <w:color w:val="000000"/>
          <w:highlight w:val="none"/>
        </w:rPr>
        <w:fldChar w:fldCharType="begin"/>
      </w:r>
      <w:r>
        <w:rPr>
          <w:color w:val="000000"/>
          <w:highlight w:val="none"/>
        </w:rPr>
        <w:instrText xml:space="preserve"> HYPERLINK "http://ecaitong.sinotruk.com:8012/" \l "/login" \t "dlt" </w:instrText>
      </w:r>
      <w:r>
        <w:rPr>
          <w:color w:val="000000"/>
          <w:highlight w:val="none"/>
        </w:rPr>
        <w:fldChar w:fldCharType="separate"/>
      </w:r>
      <w:r>
        <w:rPr>
          <w:rFonts w:ascii="宋体" w:hAnsi="宋体" w:eastAsia="宋体" w:cs="宋体"/>
          <w:color w:val="000000"/>
          <w:sz w:val="24"/>
          <w:szCs w:val="24"/>
          <w:highlight w:val="none"/>
        </w:rPr>
        <w:t>http</w:t>
      </w:r>
      <w:r>
        <w:rPr>
          <w:rFonts w:hint="eastAsia" w:ascii="宋体" w:hAnsi="宋体" w:eastAsia="宋体" w:cs="宋体"/>
          <w:color w:val="000000"/>
          <w:sz w:val="24"/>
          <w:szCs w:val="24"/>
          <w:highlight w:val="none"/>
          <w:lang w:val="en-US" w:eastAsia="zh-CN"/>
        </w:rPr>
        <w:t>s</w:t>
      </w:r>
      <w:r>
        <w:rPr>
          <w:rFonts w:ascii="宋体" w:hAnsi="宋体" w:eastAsia="宋体" w:cs="宋体"/>
          <w:color w:val="000000"/>
          <w:sz w:val="24"/>
          <w:szCs w:val="24"/>
          <w:highlight w:val="none"/>
        </w:rPr>
        <w:t>://ecaitong.sinotruk.com:8012/#/login</w:t>
      </w:r>
      <w:r>
        <w:rPr>
          <w:rFonts w:ascii="宋体" w:hAnsi="宋体" w:eastAsia="宋体" w:cs="宋体"/>
          <w:color w:val="000000"/>
          <w:sz w:val="24"/>
          <w:szCs w:val="24"/>
          <w:highlight w:val="none"/>
        </w:rPr>
        <w:fldChar w:fldCharType="end"/>
      </w:r>
      <w:r>
        <w:rPr>
          <w:rFonts w:ascii="宋体" w:hAnsi="宋体" w:eastAsia="宋体" w:cs="宋体"/>
          <w:color w:val="000000"/>
          <w:sz w:val="24"/>
          <w:szCs w:val="24"/>
          <w:highlight w:val="none"/>
        </w:rPr>
        <w:br w:type="textWrapping"/>
      </w:r>
      <w:r>
        <w:rPr>
          <w:rFonts w:hint="eastAsia" w:ascii="宋体" w:hAnsi="宋体" w:cs="宋体"/>
          <w:b/>
          <w:bCs/>
          <w:color w:val="000000"/>
          <w:sz w:val="24"/>
          <w:szCs w:val="24"/>
          <w:highlight w:val="none"/>
          <w:lang w:val="en-US" w:eastAsia="zh-CN"/>
        </w:rPr>
        <w:t>注：登录页面可下载《供应商用户手册》</w:t>
      </w:r>
    </w:p>
    <w:p w14:paraId="1282D468">
      <w:pPr>
        <w:adjustRightInd w:val="0"/>
        <w:snapToGrid w:val="0"/>
        <w:spacing w:line="360" w:lineRule="auto"/>
        <w:jc w:val="left"/>
        <w:rPr>
          <w:rFonts w:ascii="宋体" w:hAnsi="宋体" w:eastAsia="宋体" w:cs="宋体"/>
          <w:color w:val="000000"/>
          <w:sz w:val="24"/>
          <w:szCs w:val="24"/>
          <w:highlight w:val="none"/>
        </w:rPr>
      </w:pPr>
      <w:r>
        <w:rPr>
          <w:rFonts w:ascii="宋体" w:hAnsi="宋体" w:eastAsia="宋体" w:cs="宋体"/>
          <w:color w:val="000000"/>
          <w:sz w:val="24"/>
          <w:szCs w:val="24"/>
          <w:highlight w:val="none"/>
        </w:rPr>
        <w:t>1.点击立即注册</w:t>
      </w:r>
    </w:p>
    <w:p w14:paraId="70F17FDE">
      <w:pPr>
        <w:snapToGrid w:val="0"/>
        <w:spacing w:line="312" w:lineRule="auto"/>
        <w:rPr>
          <w:color w:val="000000"/>
          <w:highlight w:val="none"/>
        </w:rPr>
      </w:pPr>
      <w:r>
        <w:rPr>
          <w:color w:val="000000"/>
          <w:highlight w:val="none"/>
        </w:rPr>
        <w:drawing>
          <wp:inline distT="0" distB="0" distL="114300" distR="114300">
            <wp:extent cx="5760085" cy="2933065"/>
            <wp:effectExtent l="0" t="0" r="12065" b="635"/>
            <wp:docPr id="32" name="图片 2" descr="descript"/>
            <wp:cNvGraphicFramePr/>
            <a:graphic xmlns:a="http://schemas.openxmlformats.org/drawingml/2006/main">
              <a:graphicData uri="http://schemas.openxmlformats.org/drawingml/2006/picture">
                <pic:pic xmlns:pic="http://schemas.openxmlformats.org/drawingml/2006/picture">
                  <pic:nvPicPr>
                    <pic:cNvPr id="32" name="图片 2" descr="descript"/>
                    <pic:cNvPicPr/>
                  </pic:nvPicPr>
                  <pic:blipFill>
                    <a:blip r:embed="rId24"/>
                    <a:stretch>
                      <a:fillRect/>
                    </a:stretch>
                  </pic:blipFill>
                  <pic:spPr>
                    <a:xfrm>
                      <a:off x="0" y="0"/>
                      <a:ext cx="5760085" cy="2933065"/>
                    </a:xfrm>
                    <a:prstGeom prst="rect">
                      <a:avLst/>
                    </a:prstGeom>
                    <a:noFill/>
                    <a:ln>
                      <a:noFill/>
                    </a:ln>
                  </pic:spPr>
                </pic:pic>
              </a:graphicData>
            </a:graphic>
          </wp:inline>
        </w:drawing>
      </w:r>
    </w:p>
    <w:p w14:paraId="085C7C62">
      <w:pPr>
        <w:spacing w:line="360" w:lineRule="auto"/>
        <w:rPr>
          <w:rFonts w:ascii="宋体" w:hAnsi="宋体" w:eastAsia="宋体" w:cs="宋体"/>
          <w:color w:val="000000"/>
          <w:sz w:val="24"/>
          <w:szCs w:val="28"/>
          <w:highlight w:val="none"/>
        </w:rPr>
      </w:pPr>
      <w:r>
        <w:rPr>
          <w:rFonts w:hint="eastAsia" w:ascii="宋体" w:hAnsi="宋体" w:eastAsia="宋体" w:cs="宋体"/>
          <w:color w:val="000000"/>
          <w:sz w:val="24"/>
          <w:szCs w:val="28"/>
          <w:highlight w:val="none"/>
        </w:rPr>
        <w:t>2.</w:t>
      </w:r>
      <w:r>
        <w:rPr>
          <w:rFonts w:ascii="宋体" w:hAnsi="宋体" w:eastAsia="宋体" w:cs="宋体"/>
          <w:color w:val="000000"/>
          <w:sz w:val="24"/>
          <w:szCs w:val="28"/>
          <w:highlight w:val="none"/>
        </w:rPr>
        <w:t>填写手机号码（没有注册过的）</w:t>
      </w:r>
    </w:p>
    <w:p w14:paraId="29671C24">
      <w:pPr>
        <w:snapToGrid w:val="0"/>
        <w:spacing w:line="312" w:lineRule="auto"/>
        <w:rPr>
          <w:color w:val="000000"/>
          <w:highlight w:val="none"/>
        </w:rPr>
      </w:pPr>
      <w:r>
        <w:rPr>
          <w:color w:val="000000"/>
          <w:highlight w:val="none"/>
        </w:rPr>
        <w:drawing>
          <wp:inline distT="0" distB="0" distL="114300" distR="114300">
            <wp:extent cx="5760085" cy="2766695"/>
            <wp:effectExtent l="0" t="0" r="12065" b="14605"/>
            <wp:docPr id="43" name="图片 3" descr="descript"/>
            <wp:cNvGraphicFramePr/>
            <a:graphic xmlns:a="http://schemas.openxmlformats.org/drawingml/2006/main">
              <a:graphicData uri="http://schemas.openxmlformats.org/drawingml/2006/picture">
                <pic:pic xmlns:pic="http://schemas.openxmlformats.org/drawingml/2006/picture">
                  <pic:nvPicPr>
                    <pic:cNvPr id="43" name="图片 3" descr="descript"/>
                    <pic:cNvPicPr/>
                  </pic:nvPicPr>
                  <pic:blipFill>
                    <a:blip r:embed="rId25"/>
                    <a:stretch>
                      <a:fillRect/>
                    </a:stretch>
                  </pic:blipFill>
                  <pic:spPr>
                    <a:xfrm>
                      <a:off x="0" y="0"/>
                      <a:ext cx="5760085" cy="2766695"/>
                    </a:xfrm>
                    <a:prstGeom prst="rect">
                      <a:avLst/>
                    </a:prstGeom>
                    <a:noFill/>
                    <a:ln>
                      <a:noFill/>
                    </a:ln>
                  </pic:spPr>
                </pic:pic>
              </a:graphicData>
            </a:graphic>
          </wp:inline>
        </w:drawing>
      </w:r>
    </w:p>
    <w:p w14:paraId="34DCCD59">
      <w:pPr>
        <w:spacing w:line="360" w:lineRule="auto"/>
        <w:rPr>
          <w:rFonts w:ascii="宋体" w:hAnsi="宋体" w:eastAsia="宋体" w:cs="宋体"/>
          <w:color w:val="000000"/>
          <w:sz w:val="24"/>
          <w:szCs w:val="28"/>
          <w:highlight w:val="none"/>
        </w:rPr>
      </w:pPr>
      <w:r>
        <w:rPr>
          <w:rFonts w:hint="eastAsia" w:ascii="宋体" w:hAnsi="宋体" w:eastAsia="宋体" w:cs="宋体"/>
          <w:color w:val="000000"/>
          <w:sz w:val="24"/>
          <w:szCs w:val="28"/>
          <w:highlight w:val="none"/>
        </w:rPr>
        <w:t>3.</w:t>
      </w:r>
      <w:r>
        <w:rPr>
          <w:rFonts w:ascii="宋体" w:hAnsi="宋体" w:eastAsia="宋体" w:cs="宋体"/>
          <w:color w:val="000000"/>
          <w:sz w:val="24"/>
          <w:szCs w:val="28"/>
          <w:highlight w:val="none"/>
        </w:rPr>
        <w:t>注册成功登录这个手机号码的账号进入系统，点击供应商注册</w:t>
      </w:r>
    </w:p>
    <w:p w14:paraId="173F6016">
      <w:pPr>
        <w:snapToGrid w:val="0"/>
        <w:spacing w:line="312" w:lineRule="auto"/>
        <w:rPr>
          <w:color w:val="000000"/>
          <w:highlight w:val="none"/>
        </w:rPr>
      </w:pPr>
      <w:r>
        <w:rPr>
          <w:color w:val="000000"/>
          <w:highlight w:val="none"/>
        </w:rPr>
        <w:drawing>
          <wp:inline distT="0" distB="0" distL="114300" distR="114300">
            <wp:extent cx="5760085" cy="2869565"/>
            <wp:effectExtent l="0" t="0" r="12065" b="6985"/>
            <wp:docPr id="41" name="图片 4" descr="descript"/>
            <wp:cNvGraphicFramePr/>
            <a:graphic xmlns:a="http://schemas.openxmlformats.org/drawingml/2006/main">
              <a:graphicData uri="http://schemas.openxmlformats.org/drawingml/2006/picture">
                <pic:pic xmlns:pic="http://schemas.openxmlformats.org/drawingml/2006/picture">
                  <pic:nvPicPr>
                    <pic:cNvPr id="41" name="图片 4" descr="descript"/>
                    <pic:cNvPicPr/>
                  </pic:nvPicPr>
                  <pic:blipFill>
                    <a:blip r:embed="rId26"/>
                    <a:stretch>
                      <a:fillRect/>
                    </a:stretch>
                  </pic:blipFill>
                  <pic:spPr>
                    <a:xfrm>
                      <a:off x="0" y="0"/>
                      <a:ext cx="5760085" cy="2869565"/>
                    </a:xfrm>
                    <a:prstGeom prst="rect">
                      <a:avLst/>
                    </a:prstGeom>
                    <a:noFill/>
                    <a:ln>
                      <a:noFill/>
                    </a:ln>
                  </pic:spPr>
                </pic:pic>
              </a:graphicData>
            </a:graphic>
          </wp:inline>
        </w:drawing>
      </w:r>
    </w:p>
    <w:p w14:paraId="2534B2DC">
      <w:pPr>
        <w:spacing w:line="360" w:lineRule="auto"/>
        <w:rPr>
          <w:rFonts w:ascii="宋体" w:hAnsi="宋体" w:eastAsia="宋体" w:cs="宋体"/>
          <w:color w:val="000000"/>
          <w:sz w:val="24"/>
          <w:szCs w:val="28"/>
          <w:highlight w:val="none"/>
        </w:rPr>
      </w:pPr>
      <w:r>
        <w:rPr>
          <w:rFonts w:hint="eastAsia" w:ascii="宋体" w:hAnsi="宋体" w:eastAsia="宋体" w:cs="宋体"/>
          <w:color w:val="000000"/>
          <w:sz w:val="24"/>
          <w:szCs w:val="28"/>
          <w:highlight w:val="none"/>
        </w:rPr>
        <w:t>4.</w:t>
      </w:r>
      <w:r>
        <w:rPr>
          <w:rFonts w:ascii="宋体" w:hAnsi="宋体" w:eastAsia="宋体" w:cs="宋体"/>
          <w:color w:val="000000"/>
          <w:sz w:val="24"/>
          <w:szCs w:val="28"/>
          <w:highlight w:val="none"/>
        </w:rPr>
        <w:t>点击新增</w:t>
      </w:r>
    </w:p>
    <w:p w14:paraId="407308EE">
      <w:pPr>
        <w:snapToGrid w:val="0"/>
        <w:spacing w:line="312" w:lineRule="auto"/>
        <w:rPr>
          <w:color w:val="000000"/>
          <w:highlight w:val="none"/>
        </w:rPr>
      </w:pPr>
      <w:r>
        <w:rPr>
          <w:color w:val="000000"/>
          <w:highlight w:val="none"/>
        </w:rPr>
        <w:drawing>
          <wp:inline distT="0" distB="0" distL="114300" distR="114300">
            <wp:extent cx="5760085" cy="2853055"/>
            <wp:effectExtent l="0" t="0" r="12065" b="4445"/>
            <wp:docPr id="42" name="图片 5" descr="descript"/>
            <wp:cNvGraphicFramePr/>
            <a:graphic xmlns:a="http://schemas.openxmlformats.org/drawingml/2006/main">
              <a:graphicData uri="http://schemas.openxmlformats.org/drawingml/2006/picture">
                <pic:pic xmlns:pic="http://schemas.openxmlformats.org/drawingml/2006/picture">
                  <pic:nvPicPr>
                    <pic:cNvPr id="42" name="图片 5" descr="descript"/>
                    <pic:cNvPicPr/>
                  </pic:nvPicPr>
                  <pic:blipFill>
                    <a:blip r:embed="rId27"/>
                    <a:stretch>
                      <a:fillRect/>
                    </a:stretch>
                  </pic:blipFill>
                  <pic:spPr>
                    <a:xfrm>
                      <a:off x="0" y="0"/>
                      <a:ext cx="5760085" cy="2853055"/>
                    </a:xfrm>
                    <a:prstGeom prst="rect">
                      <a:avLst/>
                    </a:prstGeom>
                    <a:noFill/>
                    <a:ln>
                      <a:noFill/>
                    </a:ln>
                  </pic:spPr>
                </pic:pic>
              </a:graphicData>
            </a:graphic>
          </wp:inline>
        </w:drawing>
      </w:r>
    </w:p>
    <w:p w14:paraId="7861585E">
      <w:pPr>
        <w:numPr>
          <w:ilvl w:val="0"/>
          <w:numId w:val="55"/>
        </w:numPr>
        <w:spacing w:line="360" w:lineRule="auto"/>
        <w:rPr>
          <w:rFonts w:ascii="宋体" w:hAnsi="宋体" w:eastAsia="宋体" w:cs="宋体"/>
          <w:color w:val="000000"/>
          <w:sz w:val="24"/>
          <w:szCs w:val="28"/>
          <w:highlight w:val="none"/>
        </w:rPr>
      </w:pPr>
      <w:r>
        <w:rPr>
          <w:rFonts w:ascii="宋体" w:hAnsi="宋体" w:eastAsia="宋体" w:cs="宋体"/>
          <w:color w:val="000000"/>
          <w:sz w:val="24"/>
          <w:szCs w:val="28"/>
          <w:highlight w:val="none"/>
        </w:rPr>
        <w:t>按要求填写所有信息，注意非生产类要填写合作单位，最后提交审批</w:t>
      </w:r>
    </w:p>
    <w:p w14:paraId="2A9721D5">
      <w:pPr>
        <w:pStyle w:val="20"/>
        <w:numPr>
          <w:ilvl w:val="0"/>
          <w:numId w:val="0"/>
        </w:numPr>
        <w:rPr>
          <w:color w:val="000000"/>
          <w:highlight w:val="none"/>
        </w:rPr>
      </w:pPr>
    </w:p>
    <w:p w14:paraId="767164A7">
      <w:pPr>
        <w:rPr>
          <w:rFonts w:ascii="宋体" w:hAnsi="宋体" w:eastAsia="宋体" w:cs="宋体"/>
          <w:color w:val="000000"/>
          <w:highlight w:val="none"/>
        </w:rPr>
      </w:pPr>
    </w:p>
    <w:p w14:paraId="555750B0">
      <w:pPr>
        <w:rPr>
          <w:color w:val="000000"/>
          <w:highlight w:val="none"/>
        </w:rPr>
      </w:pPr>
      <w:r>
        <w:rPr>
          <w:color w:val="000000"/>
          <w:highlight w:val="none"/>
        </w:rPr>
        <w:drawing>
          <wp:inline distT="0" distB="0" distL="114300" distR="114300">
            <wp:extent cx="5760085" cy="2809875"/>
            <wp:effectExtent l="0" t="0" r="12065" b="9525"/>
            <wp:docPr id="35" name="图片 6" descr="descript"/>
            <wp:cNvGraphicFramePr/>
            <a:graphic xmlns:a="http://schemas.openxmlformats.org/drawingml/2006/main">
              <a:graphicData uri="http://schemas.openxmlformats.org/drawingml/2006/picture">
                <pic:pic xmlns:pic="http://schemas.openxmlformats.org/drawingml/2006/picture">
                  <pic:nvPicPr>
                    <pic:cNvPr id="35" name="图片 6" descr="descript"/>
                    <pic:cNvPicPr/>
                  </pic:nvPicPr>
                  <pic:blipFill>
                    <a:blip r:embed="rId28"/>
                    <a:stretch>
                      <a:fillRect/>
                    </a:stretch>
                  </pic:blipFill>
                  <pic:spPr>
                    <a:xfrm>
                      <a:off x="0" y="0"/>
                      <a:ext cx="5760085" cy="2809875"/>
                    </a:xfrm>
                    <a:prstGeom prst="rect">
                      <a:avLst/>
                    </a:prstGeom>
                    <a:noFill/>
                    <a:ln>
                      <a:noFill/>
                    </a:ln>
                  </pic:spPr>
                </pic:pic>
              </a:graphicData>
            </a:graphic>
          </wp:inline>
        </w:drawing>
      </w:r>
    </w:p>
    <w:p w14:paraId="55313D37">
      <w:pPr>
        <w:pStyle w:val="20"/>
        <w:rPr>
          <w:color w:val="000000"/>
          <w:highlight w:val="none"/>
        </w:rPr>
      </w:pPr>
      <w:r>
        <w:rPr>
          <w:color w:val="000000"/>
          <w:highlight w:val="none"/>
        </w:rPr>
        <w:drawing>
          <wp:inline distT="0" distB="0" distL="114300" distR="114300">
            <wp:extent cx="5760085" cy="2820035"/>
            <wp:effectExtent l="0" t="0" r="12065" b="18415"/>
            <wp:docPr id="36" name="图片 7" descr="descript"/>
            <wp:cNvGraphicFramePr/>
            <a:graphic xmlns:a="http://schemas.openxmlformats.org/drawingml/2006/main">
              <a:graphicData uri="http://schemas.openxmlformats.org/drawingml/2006/picture">
                <pic:pic xmlns:pic="http://schemas.openxmlformats.org/drawingml/2006/picture">
                  <pic:nvPicPr>
                    <pic:cNvPr id="36" name="图片 7" descr="descript"/>
                    <pic:cNvPicPr/>
                  </pic:nvPicPr>
                  <pic:blipFill>
                    <a:blip r:embed="rId29"/>
                    <a:stretch>
                      <a:fillRect/>
                    </a:stretch>
                  </pic:blipFill>
                  <pic:spPr>
                    <a:xfrm>
                      <a:off x="0" y="0"/>
                      <a:ext cx="5760085" cy="2820035"/>
                    </a:xfrm>
                    <a:prstGeom prst="rect">
                      <a:avLst/>
                    </a:prstGeom>
                    <a:noFill/>
                    <a:ln>
                      <a:noFill/>
                    </a:ln>
                  </pic:spPr>
                </pic:pic>
              </a:graphicData>
            </a:graphic>
          </wp:inline>
        </w:drawing>
      </w:r>
    </w:p>
    <w:p w14:paraId="2B27F249">
      <w:pPr>
        <w:pStyle w:val="20"/>
        <w:rPr>
          <w:color w:val="000000"/>
          <w:highlight w:val="none"/>
        </w:rPr>
      </w:pPr>
    </w:p>
    <w:p w14:paraId="22AE485B">
      <w:pPr>
        <w:pStyle w:val="20"/>
        <w:rPr>
          <w:color w:val="000000"/>
          <w:highlight w:val="none"/>
        </w:rPr>
      </w:pPr>
    </w:p>
    <w:p w14:paraId="27D66250">
      <w:pPr>
        <w:rPr>
          <w:rFonts w:ascii="宋体" w:hAnsi="宋体" w:eastAsia="宋体" w:cs="宋体"/>
          <w:b/>
          <w:bCs/>
          <w:color w:val="000000"/>
          <w:sz w:val="24"/>
          <w:szCs w:val="28"/>
          <w:highlight w:val="none"/>
        </w:rPr>
      </w:pPr>
      <w:r>
        <w:rPr>
          <w:rFonts w:hint="eastAsia" w:ascii="宋体" w:hAnsi="宋体" w:eastAsia="宋体" w:cs="宋体"/>
          <w:b/>
          <w:bCs/>
          <w:color w:val="000000"/>
          <w:sz w:val="24"/>
          <w:szCs w:val="28"/>
          <w:highlight w:val="none"/>
        </w:rPr>
        <w:t>注：</w:t>
      </w:r>
    </w:p>
    <w:p w14:paraId="1A17B1FE">
      <w:pPr>
        <w:rPr>
          <w:rFonts w:ascii="宋体" w:hAnsi="宋体" w:eastAsia="宋体" w:cs="宋体"/>
          <w:b/>
          <w:bCs/>
          <w:color w:val="000000"/>
          <w:sz w:val="24"/>
          <w:szCs w:val="28"/>
          <w:highlight w:val="none"/>
        </w:rPr>
      </w:pPr>
      <w:r>
        <w:rPr>
          <w:rFonts w:hint="eastAsia" w:ascii="宋体" w:hAnsi="宋体" w:eastAsia="宋体" w:cs="宋体"/>
          <w:b/>
          <w:bCs/>
          <w:color w:val="000000"/>
          <w:sz w:val="24"/>
          <w:szCs w:val="28"/>
          <w:highlight w:val="none"/>
        </w:rPr>
        <w:t>1.</w:t>
      </w:r>
      <w:r>
        <w:rPr>
          <w:rFonts w:hint="eastAsia" w:ascii="宋体" w:hAnsi="Courier New" w:eastAsia="宋体" w:cs="Times New Roman"/>
          <w:b/>
          <w:bCs/>
          <w:color w:val="000000"/>
          <w:kern w:val="2"/>
          <w:sz w:val="21"/>
          <w:highlight w:val="none"/>
          <w:lang w:val="en-US" w:eastAsia="zh-CN" w:bidi="ar-SA"/>
        </w:rPr>
        <w:t>“项目名称”和“采购形式编号”见第一部分的“项目介绍”；</w:t>
      </w:r>
    </w:p>
    <w:p w14:paraId="20D2E59D">
      <w:pPr>
        <w:pStyle w:val="20"/>
        <w:bidi w:val="0"/>
        <w:rPr>
          <w:rFonts w:hint="eastAsia" w:eastAsia="宋体"/>
          <w:b/>
          <w:bCs/>
          <w:color w:val="000000"/>
          <w:highlight w:val="none"/>
          <w:lang w:val="en-US" w:eastAsia="zh-CN"/>
        </w:rPr>
      </w:pPr>
      <w:r>
        <w:rPr>
          <w:rFonts w:hint="eastAsia"/>
          <w:b/>
          <w:bCs/>
          <w:color w:val="000000"/>
          <w:highlight w:val="none"/>
        </w:rPr>
        <w:t>2.配套能力“</w:t>
      </w:r>
      <w:r>
        <w:rPr>
          <w:rFonts w:hint="eastAsia"/>
          <w:b/>
          <w:bCs/>
          <w:color w:val="000000"/>
          <w:highlight w:val="none"/>
          <w:lang w:val="en-US" w:eastAsia="zh-CN"/>
        </w:rPr>
        <w:t>意向合作单位</w:t>
      </w:r>
      <w:r>
        <w:rPr>
          <w:rFonts w:hint="eastAsia"/>
          <w:b/>
          <w:bCs/>
          <w:color w:val="000000"/>
          <w:highlight w:val="none"/>
        </w:rPr>
        <w:t>”填“直管单位</w:t>
      </w:r>
      <w:r>
        <w:rPr>
          <w:rFonts w:hint="eastAsia"/>
          <w:b/>
          <w:bCs/>
          <w:color w:val="000000"/>
          <w:highlight w:val="none"/>
          <w:lang w:eastAsia="zh-CN"/>
        </w:rPr>
        <w:t>”；</w:t>
      </w:r>
      <w:r>
        <w:rPr>
          <w:rFonts w:hint="eastAsia"/>
          <w:b/>
          <w:bCs/>
          <w:color w:val="000000"/>
          <w:highlight w:val="none"/>
        </w:rPr>
        <w:t>“供货类别”</w:t>
      </w:r>
      <w:r>
        <w:rPr>
          <w:rFonts w:hint="eastAsia"/>
          <w:b/>
          <w:bCs/>
          <w:color w:val="000000"/>
          <w:highlight w:val="none"/>
          <w:lang w:val="en-US" w:eastAsia="zh-CN"/>
        </w:rPr>
        <w:t>填“</w:t>
      </w:r>
      <w:r>
        <w:rPr>
          <w:rFonts w:hint="eastAsia"/>
          <w:b/>
          <w:bCs/>
          <w:color w:val="000000"/>
          <w:highlight w:val="none"/>
        </w:rPr>
        <w:t xml:space="preserve">非生产招标 / </w:t>
      </w:r>
      <w:r>
        <w:rPr>
          <w:rFonts w:hint="eastAsia"/>
          <w:b/>
          <w:bCs/>
          <w:color w:val="000000"/>
          <w:highlight w:val="none"/>
          <w:lang w:val="en-US" w:eastAsia="zh-CN"/>
        </w:rPr>
        <w:t>工艺设备 / 工艺设备</w:t>
      </w:r>
      <w:r>
        <w:rPr>
          <w:rFonts w:hint="eastAsia"/>
          <w:b/>
          <w:bCs/>
          <w:color w:val="000000"/>
          <w:highlight w:val="none"/>
        </w:rPr>
        <w:t>”</w:t>
      </w:r>
      <w:r>
        <w:rPr>
          <w:rFonts w:hint="eastAsia"/>
          <w:b/>
          <w:bCs/>
          <w:color w:val="000000"/>
          <w:highlight w:val="none"/>
          <w:lang w:eastAsia="zh-CN"/>
        </w:rPr>
        <w:t>。</w:t>
      </w:r>
    </w:p>
    <w:p w14:paraId="00726FFE">
      <w:pPr>
        <w:rPr>
          <w:rFonts w:hint="eastAsia" w:ascii="宋体" w:hAnsi="宋体" w:eastAsia="宋体" w:cs="宋体"/>
          <w:b/>
          <w:bCs/>
          <w:color w:val="000000"/>
          <w:sz w:val="24"/>
          <w:szCs w:val="24"/>
          <w:highlight w:val="none"/>
          <w:lang w:val="en-US" w:eastAsia="zh-CN"/>
        </w:rPr>
      </w:pPr>
      <w:r>
        <w:rPr>
          <w:rFonts w:hint="eastAsia" w:ascii="宋体" w:hAnsi="宋体" w:eastAsia="宋体" w:cs="宋体"/>
          <w:b/>
          <w:bCs/>
          <w:color w:val="000000"/>
          <w:sz w:val="24"/>
          <w:szCs w:val="24"/>
          <w:highlight w:val="none"/>
          <w:lang w:val="en-US" w:eastAsia="zh-CN"/>
        </w:rPr>
        <w:br w:type="page"/>
      </w:r>
    </w:p>
    <w:p w14:paraId="04F84A66">
      <w:pPr>
        <w:pStyle w:val="157"/>
        <w:numPr>
          <w:ilvl w:val="0"/>
          <w:numId w:val="0"/>
        </w:numPr>
        <w:ind w:leftChars="0"/>
        <w:rPr>
          <w:rFonts w:hint="eastAsia" w:ascii="宋体" w:hAnsi="宋体" w:eastAsia="宋体" w:cs="宋体"/>
          <w:b/>
          <w:bCs/>
          <w:kern w:val="0"/>
          <w:sz w:val="24"/>
          <w:szCs w:val="24"/>
          <w:lang w:val="en-US" w:eastAsia="zh-CN" w:bidi="ar-SA"/>
        </w:rPr>
      </w:pPr>
      <w:r>
        <w:rPr>
          <w:rFonts w:hint="eastAsia" w:ascii="宋体" w:hAnsi="宋体" w:eastAsia="宋体" w:cs="宋体"/>
          <w:b/>
          <w:bCs/>
          <w:kern w:val="0"/>
          <w:sz w:val="24"/>
          <w:szCs w:val="24"/>
          <w:lang w:val="en-US" w:eastAsia="zh-CN" w:bidi="ar-SA"/>
        </w:rPr>
        <w:t>附件16 SRM系统供应商用户手册</w:t>
      </w:r>
    </w:p>
    <w:p w14:paraId="2277A361">
      <w:pPr>
        <w:snapToGrid/>
        <w:spacing w:before="0" w:after="0" w:line="360" w:lineRule="auto"/>
        <w:ind w:left="0" w:right="0" w:firstLine="0"/>
        <w:jc w:val="both"/>
        <w:rPr>
          <w:rFonts w:hint="eastAsia" w:ascii="宋体" w:hAnsi="宋体" w:eastAsia="宋体" w:cs="宋体"/>
          <w:color w:val="000000"/>
          <w:sz w:val="24"/>
          <w:szCs w:val="24"/>
          <w:highlight w:val="none"/>
        </w:rPr>
      </w:pPr>
      <w:r>
        <w:rPr>
          <w:rFonts w:hint="eastAsia" w:ascii="宋体" w:hAnsi="宋体" w:eastAsia="宋体" w:cs="宋体"/>
          <w:i w:val="0"/>
          <w:strike w:val="0"/>
          <w:color w:val="000000"/>
          <w:sz w:val="24"/>
          <w:szCs w:val="24"/>
          <w:highlight w:val="none"/>
          <w:u w:val="none"/>
        </w:rPr>
        <w:t>系统网址：</w:t>
      </w:r>
      <w:r>
        <w:rPr>
          <w:rFonts w:hint="eastAsia" w:ascii="宋体" w:hAnsi="宋体" w:eastAsia="宋体" w:cs="宋体"/>
          <w:color w:val="000000"/>
          <w:sz w:val="24"/>
          <w:szCs w:val="24"/>
          <w:highlight w:val="none"/>
        </w:rPr>
        <w:fldChar w:fldCharType="begin"/>
      </w:r>
      <w:r>
        <w:rPr>
          <w:rStyle w:val="50"/>
          <w:rFonts w:hint="eastAsia" w:ascii="宋体" w:hAnsi="宋体" w:eastAsia="宋体" w:cs="宋体"/>
          <w:color w:val="000000"/>
          <w:sz w:val="24"/>
          <w:szCs w:val="24"/>
          <w:highlight w:val="none"/>
        </w:rPr>
        <w:instrText xml:space="preserve">HYPERLINK http://ecaitong.sinotruk.com:8012/ normalLink \tdkey u5b6qk \tdfu http://ecaitong.sinotruk.com:8012/ \tdfn http%3A//ecaitong.sinotruk.com%3A8012/ \tdfe -10 \tdlt text </w:instrText>
      </w:r>
      <w:r>
        <w:rPr>
          <w:rFonts w:hint="eastAsia" w:ascii="宋体" w:hAnsi="宋体" w:eastAsia="宋体" w:cs="宋体"/>
          <w:color w:val="000000"/>
          <w:sz w:val="24"/>
          <w:szCs w:val="24"/>
          <w:highlight w:val="none"/>
        </w:rPr>
        <w:fldChar w:fldCharType="separate"/>
      </w:r>
      <w:r>
        <w:rPr>
          <w:rStyle w:val="50"/>
          <w:rFonts w:hint="eastAsia" w:ascii="宋体" w:hAnsi="宋体" w:eastAsia="宋体" w:cs="宋体"/>
          <w:color w:val="000000"/>
          <w:sz w:val="24"/>
          <w:szCs w:val="24"/>
          <w:highlight w:val="none"/>
        </w:rPr>
        <w:t>http</w:t>
      </w:r>
      <w:r>
        <w:rPr>
          <w:rStyle w:val="50"/>
          <w:rFonts w:hint="eastAsia" w:ascii="宋体" w:hAnsi="宋体" w:eastAsia="宋体" w:cs="宋体"/>
          <w:color w:val="000000"/>
          <w:sz w:val="24"/>
          <w:szCs w:val="24"/>
          <w:highlight w:val="none"/>
          <w:lang w:val="en-US" w:eastAsia="zh-CN"/>
        </w:rPr>
        <w:t>s</w:t>
      </w:r>
      <w:r>
        <w:rPr>
          <w:rStyle w:val="50"/>
          <w:rFonts w:hint="eastAsia" w:ascii="宋体" w:hAnsi="宋体" w:eastAsia="宋体" w:cs="宋体"/>
          <w:color w:val="000000"/>
          <w:sz w:val="24"/>
          <w:szCs w:val="24"/>
          <w:highlight w:val="none"/>
        </w:rPr>
        <w:t>://ecaitong.sinotruk.com:8012/</w:t>
      </w:r>
      <w:r>
        <w:rPr>
          <w:rFonts w:hint="eastAsia" w:ascii="宋体" w:hAnsi="宋体" w:eastAsia="宋体" w:cs="宋体"/>
          <w:color w:val="000000"/>
          <w:sz w:val="24"/>
          <w:szCs w:val="24"/>
          <w:highlight w:val="none"/>
        </w:rPr>
        <w:fldChar w:fldCharType="end"/>
      </w:r>
    </w:p>
    <w:p w14:paraId="3EB07720">
      <w:pPr>
        <w:spacing w:before="0" w:after="0" w:line="360" w:lineRule="auto"/>
        <w:ind w:left="0"/>
        <w:rPr>
          <w:rFonts w:hint="eastAsia" w:ascii="宋体" w:hAnsi="宋体" w:eastAsia="宋体" w:cs="宋体"/>
          <w:b/>
          <w:bCs/>
          <w:color w:val="000000"/>
          <w:sz w:val="24"/>
          <w:szCs w:val="24"/>
          <w:highlight w:val="none"/>
          <w:u w:val="none"/>
        </w:rPr>
      </w:pPr>
      <w:r>
        <w:rPr>
          <w:rFonts w:hint="eastAsia" w:ascii="宋体" w:hAnsi="宋体" w:eastAsia="宋体" w:cs="宋体"/>
          <w:b/>
          <w:bCs/>
          <w:i w:val="0"/>
          <w:strike w:val="0"/>
          <w:color w:val="000000"/>
          <w:sz w:val="24"/>
          <w:szCs w:val="24"/>
          <w:highlight w:val="none"/>
          <w:u w:val="none"/>
        </w:rPr>
        <w:t>1.供应商应标</w:t>
      </w:r>
    </w:p>
    <w:p w14:paraId="63D5593B">
      <w:pPr>
        <w:snapToGrid/>
        <w:spacing w:before="0" w:after="0" w:line="360" w:lineRule="auto"/>
        <w:ind w:left="0" w:right="0"/>
        <w:jc w:val="both"/>
        <w:rPr>
          <w:rFonts w:hint="eastAsia" w:ascii="宋体" w:hAnsi="宋体" w:eastAsia="宋体" w:cs="宋体"/>
          <w:color w:val="000000"/>
          <w:sz w:val="24"/>
          <w:szCs w:val="24"/>
          <w:highlight w:val="none"/>
        </w:rPr>
      </w:pPr>
      <w:r>
        <w:rPr>
          <w:rFonts w:ascii="宋体" w:hAnsi="宋体" w:eastAsia="宋体" w:cs="宋体"/>
          <w:i w:val="0"/>
          <w:strike w:val="0"/>
          <w:color w:val="000000"/>
          <w:sz w:val="24"/>
          <w:szCs w:val="24"/>
          <w:highlight w:val="none"/>
          <w:u w:val="none"/>
        </w:rPr>
        <w:t>路径：招投标中心</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非生产类招投标</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供应商应标</w:t>
      </w:r>
    </w:p>
    <w:p w14:paraId="1B9AFAF1">
      <w:pPr>
        <w:snapToGrid/>
        <w:spacing w:before="0" w:after="0" w:line="360" w:lineRule="auto"/>
        <w:ind w:left="0" w:right="0"/>
        <w:jc w:val="both"/>
        <w:rPr>
          <w:rFonts w:ascii="宋体" w:hAnsi="宋体" w:eastAsia="宋体" w:cs="宋体"/>
          <w:i w:val="0"/>
          <w:strike w:val="0"/>
          <w:color w:val="000000"/>
          <w:sz w:val="24"/>
          <w:szCs w:val="24"/>
          <w:highlight w:val="none"/>
          <w:u w:val="none"/>
        </w:rPr>
      </w:pPr>
      <w:r>
        <w:rPr>
          <w:rFonts w:ascii="宋体" w:hAnsi="宋体" w:eastAsia="宋体" w:cs="宋体"/>
          <w:i w:val="0"/>
          <w:strike w:val="0"/>
          <w:color w:val="000000"/>
          <w:sz w:val="24"/>
          <w:szCs w:val="24"/>
          <w:highlight w:val="none"/>
          <w:u w:val="none"/>
        </w:rPr>
        <w:t>点击应标，上传文件之后点击提交。</w:t>
      </w:r>
    </w:p>
    <w:p w14:paraId="7B2BC77C">
      <w:pPr>
        <w:snapToGrid/>
        <w:spacing w:before="0" w:after="0" w:line="240" w:lineRule="auto"/>
        <w:ind w:left="0" w:right="0"/>
        <w:jc w:val="both"/>
        <w:rPr>
          <w:color w:val="000000"/>
          <w:highlight w:val="none"/>
        </w:rPr>
      </w:pPr>
      <w:r>
        <w:rPr>
          <w:color w:val="000000"/>
          <w:highlight w:val="none"/>
        </w:rPr>
        <w:drawing>
          <wp:inline distT="0" distB="0" distL="114300" distR="114300">
            <wp:extent cx="5760085" cy="2269490"/>
            <wp:effectExtent l="0" t="0" r="12065" b="16510"/>
            <wp:docPr id="44" name="图片 8" descr="descript"/>
            <wp:cNvGraphicFramePr/>
            <a:graphic xmlns:a="http://schemas.openxmlformats.org/drawingml/2006/main">
              <a:graphicData uri="http://schemas.openxmlformats.org/drawingml/2006/picture">
                <pic:pic xmlns:pic="http://schemas.openxmlformats.org/drawingml/2006/picture">
                  <pic:nvPicPr>
                    <pic:cNvPr id="44" name="图片 8" descr="descript"/>
                    <pic:cNvPicPr/>
                  </pic:nvPicPr>
                  <pic:blipFill>
                    <a:blip r:embed="rId30"/>
                    <a:stretch>
                      <a:fillRect/>
                    </a:stretch>
                  </pic:blipFill>
                  <pic:spPr>
                    <a:xfrm>
                      <a:off x="0" y="0"/>
                      <a:ext cx="5760085" cy="2269490"/>
                    </a:xfrm>
                    <a:prstGeom prst="rect">
                      <a:avLst/>
                    </a:prstGeom>
                    <a:noFill/>
                    <a:ln>
                      <a:noFill/>
                    </a:ln>
                  </pic:spPr>
                </pic:pic>
              </a:graphicData>
            </a:graphic>
          </wp:inline>
        </w:drawing>
      </w:r>
    </w:p>
    <w:p w14:paraId="68A04056">
      <w:pPr>
        <w:snapToGrid/>
        <w:spacing w:before="0" w:after="0" w:line="240" w:lineRule="auto"/>
        <w:ind w:left="0" w:right="0"/>
        <w:jc w:val="both"/>
        <w:rPr>
          <w:color w:val="000000"/>
          <w:highlight w:val="none"/>
        </w:rPr>
      </w:pPr>
    </w:p>
    <w:p w14:paraId="02FAB7FB">
      <w:pPr>
        <w:spacing w:before="0" w:after="0" w:line="360" w:lineRule="auto"/>
        <w:ind w:left="0"/>
        <w:rPr>
          <w:rFonts w:hint="eastAsia" w:ascii="宋体" w:hAnsi="宋体" w:eastAsia="宋体" w:cs="宋体"/>
          <w:b/>
          <w:bCs/>
          <w:color w:val="000000"/>
          <w:sz w:val="24"/>
          <w:szCs w:val="24"/>
          <w:highlight w:val="none"/>
          <w:u w:val="none"/>
        </w:rPr>
      </w:pPr>
      <w:r>
        <w:rPr>
          <w:rFonts w:hint="eastAsia" w:ascii="宋体" w:hAnsi="宋体" w:eastAsia="宋体" w:cs="宋体"/>
          <w:b/>
          <w:bCs/>
          <w:i w:val="0"/>
          <w:strike w:val="0"/>
          <w:color w:val="000000"/>
          <w:sz w:val="24"/>
          <w:szCs w:val="24"/>
          <w:highlight w:val="none"/>
          <w:u w:val="none"/>
        </w:rPr>
        <w:t>2.供应商投标</w:t>
      </w:r>
    </w:p>
    <w:p w14:paraId="4299396E">
      <w:pPr>
        <w:snapToGrid/>
        <w:spacing w:before="0" w:after="0" w:line="360" w:lineRule="auto"/>
        <w:ind w:left="0" w:right="0"/>
        <w:jc w:val="both"/>
        <w:rPr>
          <w:rFonts w:hint="eastAsia" w:ascii="宋体" w:hAnsi="宋体" w:eastAsia="宋体" w:cs="宋体"/>
          <w:color w:val="000000"/>
          <w:sz w:val="24"/>
          <w:szCs w:val="24"/>
          <w:highlight w:val="none"/>
        </w:rPr>
      </w:pPr>
      <w:r>
        <w:rPr>
          <w:rFonts w:ascii="宋体" w:hAnsi="宋体" w:eastAsia="宋体" w:cs="宋体"/>
          <w:i w:val="0"/>
          <w:strike w:val="0"/>
          <w:color w:val="000000"/>
          <w:sz w:val="24"/>
          <w:szCs w:val="24"/>
          <w:highlight w:val="none"/>
          <w:u w:val="none"/>
        </w:rPr>
        <w:t>路径：招投标中心</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非生产类招投标</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供应商投标</w:t>
      </w:r>
    </w:p>
    <w:p w14:paraId="1AB2DB0C">
      <w:pPr>
        <w:snapToGrid/>
        <w:spacing w:before="0" w:after="0" w:line="240" w:lineRule="auto"/>
        <w:ind w:left="0" w:right="0"/>
        <w:jc w:val="both"/>
        <w:rPr>
          <w:rFonts w:ascii="宋体" w:hAnsi="宋体" w:eastAsia="宋体" w:cs="宋体"/>
          <w:i w:val="0"/>
          <w:strike w:val="0"/>
          <w:color w:val="000000"/>
          <w:sz w:val="21"/>
          <w:highlight w:val="none"/>
          <w:u w:val="none"/>
        </w:rPr>
      </w:pPr>
      <w:r>
        <w:rPr>
          <w:rFonts w:ascii="宋体" w:hAnsi="宋体" w:eastAsia="宋体" w:cs="宋体"/>
          <w:i w:val="0"/>
          <w:strike w:val="0"/>
          <w:color w:val="000000"/>
          <w:sz w:val="21"/>
          <w:highlight w:val="none"/>
          <w:u w:val="none"/>
        </w:rPr>
        <w:drawing>
          <wp:inline distT="0" distB="0" distL="114300" distR="114300">
            <wp:extent cx="5760085" cy="2125345"/>
            <wp:effectExtent l="0" t="0" r="12065" b="8255"/>
            <wp:docPr id="33" name="图片 9" descr="descript"/>
            <wp:cNvGraphicFramePr/>
            <a:graphic xmlns:a="http://schemas.openxmlformats.org/drawingml/2006/main">
              <a:graphicData uri="http://schemas.openxmlformats.org/drawingml/2006/picture">
                <pic:pic xmlns:pic="http://schemas.openxmlformats.org/drawingml/2006/picture">
                  <pic:nvPicPr>
                    <pic:cNvPr id="33" name="图片 9" descr="descript"/>
                    <pic:cNvPicPr/>
                  </pic:nvPicPr>
                  <pic:blipFill>
                    <a:blip r:embed="rId31"/>
                    <a:stretch>
                      <a:fillRect/>
                    </a:stretch>
                  </pic:blipFill>
                  <pic:spPr>
                    <a:xfrm>
                      <a:off x="0" y="0"/>
                      <a:ext cx="5760085" cy="2125345"/>
                    </a:xfrm>
                    <a:prstGeom prst="rect">
                      <a:avLst/>
                    </a:prstGeom>
                    <a:noFill/>
                    <a:ln>
                      <a:noFill/>
                    </a:ln>
                  </pic:spPr>
                </pic:pic>
              </a:graphicData>
            </a:graphic>
          </wp:inline>
        </w:drawing>
      </w:r>
    </w:p>
    <w:p w14:paraId="7875CFDD">
      <w:pPr>
        <w:snapToGrid/>
        <w:spacing w:before="0" w:after="0" w:line="360" w:lineRule="auto"/>
        <w:ind w:left="0" w:right="0"/>
        <w:jc w:val="both"/>
        <w:rPr>
          <w:rFonts w:ascii="宋体" w:hAnsi="宋体" w:eastAsia="宋体" w:cs="宋体"/>
          <w:i w:val="0"/>
          <w:strike w:val="0"/>
          <w:color w:val="000000"/>
          <w:sz w:val="24"/>
          <w:szCs w:val="28"/>
          <w:highlight w:val="none"/>
          <w:u w:val="none"/>
        </w:rPr>
      </w:pPr>
      <w:r>
        <w:rPr>
          <w:rFonts w:ascii="宋体" w:hAnsi="宋体" w:eastAsia="宋体" w:cs="宋体"/>
          <w:i w:val="0"/>
          <w:strike w:val="0"/>
          <w:color w:val="000000"/>
          <w:sz w:val="24"/>
          <w:szCs w:val="28"/>
          <w:highlight w:val="none"/>
          <w:u w:val="none"/>
        </w:rPr>
        <w:t>点击投标按钮，进入详情页，输入投标报价并上传相应的附件。</w:t>
      </w:r>
    </w:p>
    <w:p w14:paraId="1E9E6D61">
      <w:pPr>
        <w:pStyle w:val="20"/>
        <w:rPr>
          <w:b/>
          <w:bCs/>
          <w:color w:val="000000"/>
          <w:highlight w:val="none"/>
        </w:rPr>
      </w:pPr>
      <w:r>
        <w:rPr>
          <w:rFonts w:hint="eastAsia" w:ascii="宋体" w:hAnsi="宋体" w:eastAsia="宋体" w:cs="宋体"/>
          <w:b/>
          <w:bCs/>
          <w:i w:val="0"/>
          <w:strike w:val="0"/>
          <w:color w:val="000000"/>
          <w:sz w:val="24"/>
          <w:szCs w:val="28"/>
          <w:highlight w:val="none"/>
          <w:u w:val="none"/>
          <w:lang w:val="en-US" w:eastAsia="zh-CN"/>
        </w:rPr>
        <w:t>注意：系统内的投标报价单位为“万元”，如开标现场发现填错报价，即直接淘汰</w:t>
      </w:r>
      <w:r>
        <w:rPr>
          <w:rFonts w:hint="eastAsia" w:hAnsi="宋体" w:eastAsia="宋体" w:cs="宋体"/>
          <w:b/>
          <w:bCs/>
          <w:i w:val="0"/>
          <w:strike w:val="0"/>
          <w:color w:val="000000"/>
          <w:sz w:val="24"/>
          <w:szCs w:val="28"/>
          <w:highlight w:val="none"/>
          <w:u w:val="none"/>
          <w:lang w:val="en-US" w:eastAsia="zh-CN"/>
        </w:rPr>
        <w:t>。</w:t>
      </w:r>
    </w:p>
    <w:p w14:paraId="351CF51D">
      <w:pPr>
        <w:pStyle w:val="5"/>
        <w:snapToGrid/>
        <w:spacing w:before="280" w:after="290" w:line="372" w:lineRule="auto"/>
        <w:ind w:left="425" w:right="0" w:hanging="425"/>
        <w:jc w:val="both"/>
        <w:rPr>
          <w:rFonts w:ascii="Arial" w:hAnsi="Arial" w:eastAsia="Arial" w:cs="Arial"/>
          <w:i w:val="0"/>
          <w:strike w:val="0"/>
          <w:color w:val="000000"/>
          <w:sz w:val="28"/>
          <w:highlight w:val="none"/>
          <w:u w:val="none"/>
        </w:rPr>
      </w:pPr>
      <w:r>
        <w:rPr>
          <w:rFonts w:ascii="Arial" w:hAnsi="Arial" w:eastAsia="Arial" w:cs="Arial"/>
          <w:i w:val="0"/>
          <w:strike w:val="0"/>
          <w:color w:val="000000"/>
          <w:sz w:val="28"/>
          <w:highlight w:val="none"/>
          <w:u w:val="none"/>
        </w:rPr>
        <w:drawing>
          <wp:inline distT="0" distB="0" distL="114300" distR="114300">
            <wp:extent cx="5490210" cy="2668905"/>
            <wp:effectExtent l="0" t="0" r="15240" b="17145"/>
            <wp:docPr id="40" name="图片 10" descr="descript"/>
            <wp:cNvGraphicFramePr/>
            <a:graphic xmlns:a="http://schemas.openxmlformats.org/drawingml/2006/main">
              <a:graphicData uri="http://schemas.openxmlformats.org/drawingml/2006/picture">
                <pic:pic xmlns:pic="http://schemas.openxmlformats.org/drawingml/2006/picture">
                  <pic:nvPicPr>
                    <pic:cNvPr id="40" name="图片 10" descr="descript"/>
                    <pic:cNvPicPr/>
                  </pic:nvPicPr>
                  <pic:blipFill>
                    <a:blip r:embed="rId32"/>
                    <a:stretch>
                      <a:fillRect/>
                    </a:stretch>
                  </pic:blipFill>
                  <pic:spPr>
                    <a:xfrm>
                      <a:off x="0" y="0"/>
                      <a:ext cx="5490210" cy="2668905"/>
                    </a:xfrm>
                    <a:prstGeom prst="rect">
                      <a:avLst/>
                    </a:prstGeom>
                    <a:noFill/>
                    <a:ln>
                      <a:noFill/>
                    </a:ln>
                  </pic:spPr>
                </pic:pic>
              </a:graphicData>
            </a:graphic>
          </wp:inline>
        </w:drawing>
      </w:r>
    </w:p>
    <w:p w14:paraId="4E0CB2BB">
      <w:pPr>
        <w:spacing w:before="0" w:after="0" w:line="360" w:lineRule="auto"/>
        <w:ind w:left="0"/>
        <w:rPr>
          <w:rFonts w:hint="eastAsia" w:ascii="宋体" w:hAnsi="宋体" w:eastAsia="宋体" w:cs="宋体"/>
          <w:b/>
          <w:bCs/>
          <w:color w:val="000000"/>
          <w:sz w:val="24"/>
          <w:szCs w:val="24"/>
          <w:highlight w:val="none"/>
          <w:u w:val="none"/>
        </w:rPr>
      </w:pPr>
      <w:r>
        <w:rPr>
          <w:rFonts w:hint="eastAsia" w:ascii="宋体" w:hAnsi="宋体" w:eastAsia="宋体" w:cs="宋体"/>
          <w:b/>
          <w:bCs/>
          <w:i w:val="0"/>
          <w:strike w:val="0"/>
          <w:color w:val="000000"/>
          <w:sz w:val="24"/>
          <w:szCs w:val="24"/>
          <w:highlight w:val="none"/>
          <w:u w:val="none"/>
        </w:rPr>
        <w:t>3.供应商技术标澄清函</w:t>
      </w:r>
    </w:p>
    <w:p w14:paraId="17F24BC7">
      <w:pPr>
        <w:snapToGrid/>
        <w:spacing w:before="0" w:after="0" w:line="360" w:lineRule="auto"/>
        <w:ind w:left="0" w:right="0"/>
        <w:jc w:val="both"/>
        <w:rPr>
          <w:rFonts w:hint="eastAsia" w:ascii="宋体" w:hAnsi="宋体" w:eastAsia="宋体" w:cs="宋体"/>
          <w:color w:val="000000"/>
          <w:sz w:val="24"/>
          <w:szCs w:val="24"/>
          <w:highlight w:val="none"/>
        </w:rPr>
      </w:pPr>
      <w:r>
        <w:rPr>
          <w:rFonts w:ascii="宋体" w:hAnsi="宋体" w:eastAsia="宋体" w:cs="宋体"/>
          <w:i w:val="0"/>
          <w:strike w:val="0"/>
          <w:color w:val="000000"/>
          <w:sz w:val="24"/>
          <w:szCs w:val="24"/>
          <w:highlight w:val="none"/>
          <w:u w:val="none"/>
        </w:rPr>
        <w:t>路径：招投标中心</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非生产类招投标</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供应商技术标澄清函</w:t>
      </w:r>
    </w:p>
    <w:p w14:paraId="3408C9EF">
      <w:pPr>
        <w:snapToGrid/>
        <w:spacing w:before="0" w:after="0" w:line="360" w:lineRule="auto"/>
        <w:ind w:left="0" w:right="0"/>
        <w:jc w:val="both"/>
        <w:rPr>
          <w:rFonts w:hint="eastAsia" w:ascii="宋体" w:hAnsi="宋体" w:eastAsia="宋体" w:cs="宋体"/>
          <w:color w:val="000000"/>
          <w:sz w:val="24"/>
          <w:szCs w:val="24"/>
          <w:highlight w:val="none"/>
        </w:rPr>
      </w:pPr>
      <w:r>
        <w:rPr>
          <w:rFonts w:ascii="宋体" w:hAnsi="宋体" w:eastAsia="宋体" w:cs="宋体"/>
          <w:i w:val="0"/>
          <w:strike w:val="0"/>
          <w:color w:val="000000"/>
          <w:sz w:val="24"/>
          <w:szCs w:val="24"/>
          <w:highlight w:val="none"/>
          <w:u w:val="none"/>
        </w:rPr>
        <w:t>点击编辑按钮进入系统，上传技术标澄清函。</w:t>
      </w:r>
    </w:p>
    <w:p w14:paraId="2E289805">
      <w:pPr>
        <w:spacing w:before="0" w:after="0" w:line="360" w:lineRule="auto"/>
        <w:ind w:left="0"/>
        <w:rPr>
          <w:rFonts w:ascii="Arial" w:hAnsi="Arial" w:eastAsia="Arial" w:cs="Arial"/>
          <w:i w:val="0"/>
          <w:strike w:val="0"/>
          <w:color w:val="000000"/>
          <w:sz w:val="28"/>
          <w:highlight w:val="none"/>
          <w:u w:val="none"/>
        </w:rPr>
      </w:pPr>
      <w:r>
        <w:rPr>
          <w:rFonts w:ascii="宋体" w:hAnsi="宋体" w:eastAsia="宋体" w:cs="宋体"/>
          <w:i w:val="0"/>
          <w:strike w:val="0"/>
          <w:color w:val="000000"/>
          <w:sz w:val="24"/>
          <w:szCs w:val="24"/>
          <w:highlight w:val="none"/>
          <w:u w:val="none"/>
        </w:rPr>
        <w:t>开标之后所有投标的供应商都可编辑提交，技术标入围之后</w:t>
      </w:r>
      <w:r>
        <w:rPr>
          <w:rFonts w:hint="eastAsia" w:ascii="宋体" w:hAnsi="宋体" w:eastAsia="宋体" w:cs="宋体"/>
          <w:i w:val="0"/>
          <w:strike w:val="0"/>
          <w:color w:val="000000"/>
          <w:sz w:val="24"/>
          <w:szCs w:val="24"/>
          <w:highlight w:val="none"/>
          <w:u w:val="none"/>
        </w:rPr>
        <w:t xml:space="preserve"> </w:t>
      </w:r>
      <w:r>
        <w:rPr>
          <w:rFonts w:ascii="宋体" w:hAnsi="宋体" w:eastAsia="宋体" w:cs="宋体"/>
          <w:i w:val="0"/>
          <w:strike w:val="0"/>
          <w:color w:val="000000"/>
          <w:sz w:val="24"/>
          <w:szCs w:val="24"/>
          <w:highlight w:val="none"/>
          <w:u w:val="none"/>
        </w:rPr>
        <w:t>都不可编辑</w:t>
      </w:r>
      <w:r>
        <w:rPr>
          <w:rFonts w:ascii="Arial" w:hAnsi="Arial" w:eastAsia="Arial" w:cs="Arial"/>
          <w:i w:val="0"/>
          <w:strike w:val="0"/>
          <w:color w:val="000000"/>
          <w:sz w:val="28"/>
          <w:highlight w:val="none"/>
          <w:u w:val="none"/>
        </w:rPr>
        <w:drawing>
          <wp:inline distT="0" distB="0" distL="114300" distR="114300">
            <wp:extent cx="5490210" cy="1992630"/>
            <wp:effectExtent l="0" t="0" r="15240" b="7620"/>
            <wp:docPr id="37" name="图片 11" descr="descript"/>
            <wp:cNvGraphicFramePr/>
            <a:graphic xmlns:a="http://schemas.openxmlformats.org/drawingml/2006/main">
              <a:graphicData uri="http://schemas.openxmlformats.org/drawingml/2006/picture">
                <pic:pic xmlns:pic="http://schemas.openxmlformats.org/drawingml/2006/picture">
                  <pic:nvPicPr>
                    <pic:cNvPr id="37" name="图片 11" descr="descript"/>
                    <pic:cNvPicPr/>
                  </pic:nvPicPr>
                  <pic:blipFill>
                    <a:blip r:embed="rId33"/>
                    <a:stretch>
                      <a:fillRect/>
                    </a:stretch>
                  </pic:blipFill>
                  <pic:spPr>
                    <a:xfrm>
                      <a:off x="0" y="0"/>
                      <a:ext cx="5490210" cy="1992630"/>
                    </a:xfrm>
                    <a:prstGeom prst="rect">
                      <a:avLst/>
                    </a:prstGeom>
                    <a:noFill/>
                    <a:ln>
                      <a:noFill/>
                    </a:ln>
                  </pic:spPr>
                </pic:pic>
              </a:graphicData>
            </a:graphic>
          </wp:inline>
        </w:drawing>
      </w:r>
    </w:p>
    <w:p w14:paraId="3B3E4559">
      <w:pPr>
        <w:spacing w:before="0" w:after="0" w:line="360" w:lineRule="auto"/>
        <w:ind w:left="0"/>
        <w:rPr>
          <w:rFonts w:hint="eastAsia" w:ascii="宋体" w:hAnsi="宋体" w:eastAsia="宋体" w:cs="宋体"/>
          <w:b/>
          <w:bCs/>
          <w:color w:val="000000"/>
          <w:sz w:val="24"/>
          <w:szCs w:val="24"/>
          <w:highlight w:val="none"/>
          <w:u w:val="none"/>
        </w:rPr>
      </w:pPr>
      <w:r>
        <w:rPr>
          <w:rFonts w:hint="eastAsia" w:ascii="宋体" w:hAnsi="宋体" w:eastAsia="宋体" w:cs="宋体"/>
          <w:b/>
          <w:bCs/>
          <w:i w:val="0"/>
          <w:strike w:val="0"/>
          <w:color w:val="000000"/>
          <w:sz w:val="24"/>
          <w:szCs w:val="24"/>
          <w:highlight w:val="none"/>
          <w:u w:val="none"/>
        </w:rPr>
        <w:t>4.供应商报价</w:t>
      </w:r>
    </w:p>
    <w:p w14:paraId="2AB7771A">
      <w:pPr>
        <w:snapToGrid/>
        <w:spacing w:before="0" w:after="0" w:line="360" w:lineRule="auto"/>
        <w:ind w:left="0" w:right="0"/>
        <w:jc w:val="both"/>
        <w:rPr>
          <w:rFonts w:hint="eastAsia" w:ascii="宋体" w:hAnsi="宋体" w:eastAsia="宋体" w:cs="宋体"/>
          <w:color w:val="000000"/>
          <w:sz w:val="24"/>
          <w:szCs w:val="24"/>
          <w:highlight w:val="none"/>
        </w:rPr>
      </w:pPr>
      <w:r>
        <w:rPr>
          <w:rFonts w:ascii="宋体" w:hAnsi="宋体" w:eastAsia="宋体" w:cs="宋体"/>
          <w:i w:val="0"/>
          <w:strike w:val="0"/>
          <w:color w:val="000000"/>
          <w:sz w:val="24"/>
          <w:szCs w:val="24"/>
          <w:highlight w:val="none"/>
          <w:u w:val="none"/>
        </w:rPr>
        <w:t>路径：招投标中心</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非生产类招投标</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供应商报价</w:t>
      </w:r>
    </w:p>
    <w:p w14:paraId="059A90D5">
      <w:pPr>
        <w:snapToGrid/>
        <w:spacing w:before="0" w:after="0" w:line="360" w:lineRule="auto"/>
        <w:ind w:left="0" w:right="0"/>
        <w:jc w:val="both"/>
        <w:rPr>
          <w:rFonts w:hint="eastAsia" w:ascii="宋体" w:hAnsi="宋体" w:eastAsia="宋体" w:cs="宋体"/>
          <w:color w:val="000000"/>
          <w:sz w:val="24"/>
          <w:szCs w:val="24"/>
          <w:highlight w:val="none"/>
        </w:rPr>
      </w:pPr>
      <w:r>
        <w:rPr>
          <w:rFonts w:ascii="宋体" w:hAnsi="宋体" w:eastAsia="宋体" w:cs="宋体"/>
          <w:i w:val="0"/>
          <w:strike w:val="0"/>
          <w:color w:val="000000"/>
          <w:sz w:val="24"/>
          <w:szCs w:val="24"/>
          <w:highlight w:val="none"/>
          <w:u w:val="none"/>
        </w:rPr>
        <w:t>点击报价按钮进入报价详情界面，请在此轮报价起止时间内报价，否则无法报价。</w:t>
      </w:r>
    </w:p>
    <w:p w14:paraId="4DB759AB">
      <w:pPr>
        <w:spacing w:before="0" w:after="0" w:line="360" w:lineRule="auto"/>
        <w:ind w:left="0"/>
        <w:rPr>
          <w:rFonts w:hint="eastAsia" w:ascii="宋体" w:hAnsi="宋体" w:eastAsia="宋体" w:cs="宋体"/>
          <w:b/>
          <w:bCs/>
          <w:color w:val="000000"/>
          <w:sz w:val="24"/>
          <w:szCs w:val="24"/>
          <w:highlight w:val="none"/>
          <w:u w:val="none"/>
        </w:rPr>
      </w:pPr>
      <w:r>
        <w:rPr>
          <w:rFonts w:hint="eastAsia" w:ascii="宋体" w:hAnsi="宋体" w:eastAsia="宋体" w:cs="宋体"/>
          <w:b/>
          <w:bCs/>
          <w:i w:val="0"/>
          <w:strike w:val="0"/>
          <w:color w:val="000000"/>
          <w:sz w:val="24"/>
          <w:szCs w:val="24"/>
          <w:highlight w:val="none"/>
          <w:u w:val="none"/>
        </w:rPr>
        <w:t>5.供应商澄清报价</w:t>
      </w:r>
    </w:p>
    <w:p w14:paraId="349D257A">
      <w:pPr>
        <w:snapToGrid/>
        <w:spacing w:before="0" w:after="0" w:line="360" w:lineRule="auto"/>
        <w:ind w:left="0" w:right="0"/>
        <w:jc w:val="both"/>
        <w:rPr>
          <w:rFonts w:hint="eastAsia" w:ascii="宋体" w:hAnsi="宋体" w:eastAsia="宋体" w:cs="宋体"/>
          <w:color w:val="000000"/>
          <w:sz w:val="24"/>
          <w:szCs w:val="24"/>
          <w:highlight w:val="none"/>
        </w:rPr>
      </w:pPr>
      <w:r>
        <w:rPr>
          <w:rFonts w:ascii="宋体" w:hAnsi="宋体" w:eastAsia="宋体" w:cs="宋体"/>
          <w:i w:val="0"/>
          <w:strike w:val="0"/>
          <w:color w:val="000000"/>
          <w:sz w:val="24"/>
          <w:szCs w:val="24"/>
          <w:highlight w:val="none"/>
          <w:u w:val="none"/>
        </w:rPr>
        <w:t>路径：招投标中心</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非生产类招投标</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供应商澄清报价</w:t>
      </w:r>
    </w:p>
    <w:p w14:paraId="5B9D4C61">
      <w:pPr>
        <w:snapToGrid/>
        <w:spacing w:before="0" w:after="0" w:line="360" w:lineRule="auto"/>
        <w:ind w:left="0" w:right="0"/>
        <w:jc w:val="both"/>
        <w:rPr>
          <w:rFonts w:hint="eastAsia" w:ascii="宋体" w:hAnsi="宋体" w:eastAsia="宋体" w:cs="宋体"/>
          <w:color w:val="000000"/>
          <w:sz w:val="24"/>
          <w:szCs w:val="24"/>
          <w:highlight w:val="none"/>
        </w:rPr>
      </w:pPr>
      <w:r>
        <w:rPr>
          <w:rFonts w:ascii="宋体" w:hAnsi="宋体" w:eastAsia="宋体" w:cs="宋体"/>
          <w:i w:val="0"/>
          <w:strike w:val="0"/>
          <w:color w:val="000000"/>
          <w:sz w:val="24"/>
          <w:szCs w:val="24"/>
          <w:highlight w:val="none"/>
          <w:u w:val="none"/>
        </w:rPr>
        <w:t>招标发起人接收建议价的同时会给供应商发送澄清报价，供应商在此界面进行澄清报价，点击编辑按钮进入澄清报价详细界面，输入价格并上传澄清函，之后点击提交。</w:t>
      </w:r>
    </w:p>
    <w:p w14:paraId="038ABD07">
      <w:pPr>
        <w:pStyle w:val="5"/>
        <w:snapToGrid/>
        <w:spacing w:before="280" w:after="290" w:line="372" w:lineRule="auto"/>
        <w:ind w:left="425" w:right="0" w:hanging="425"/>
        <w:jc w:val="both"/>
        <w:rPr>
          <w:rFonts w:ascii="Arial" w:hAnsi="Arial" w:eastAsia="Arial" w:cs="Arial"/>
          <w:i w:val="0"/>
          <w:strike w:val="0"/>
          <w:color w:val="000000"/>
          <w:sz w:val="28"/>
          <w:highlight w:val="none"/>
          <w:u w:val="none"/>
        </w:rPr>
      </w:pPr>
      <w:r>
        <w:rPr>
          <w:rFonts w:ascii="Arial" w:hAnsi="Arial" w:eastAsia="Arial" w:cs="Arial"/>
          <w:i w:val="0"/>
          <w:strike w:val="0"/>
          <w:color w:val="000000"/>
          <w:sz w:val="28"/>
          <w:highlight w:val="none"/>
          <w:u w:val="none"/>
        </w:rPr>
        <w:drawing>
          <wp:inline distT="0" distB="0" distL="114300" distR="114300">
            <wp:extent cx="5490210" cy="2544445"/>
            <wp:effectExtent l="0" t="0" r="15240" b="8255"/>
            <wp:docPr id="34" name="图片 12" descr="descript"/>
            <wp:cNvGraphicFramePr/>
            <a:graphic xmlns:a="http://schemas.openxmlformats.org/drawingml/2006/main">
              <a:graphicData uri="http://schemas.openxmlformats.org/drawingml/2006/picture">
                <pic:pic xmlns:pic="http://schemas.openxmlformats.org/drawingml/2006/picture">
                  <pic:nvPicPr>
                    <pic:cNvPr id="34" name="图片 12" descr="descript"/>
                    <pic:cNvPicPr/>
                  </pic:nvPicPr>
                  <pic:blipFill>
                    <a:blip r:embed="rId34"/>
                    <a:stretch>
                      <a:fillRect/>
                    </a:stretch>
                  </pic:blipFill>
                  <pic:spPr>
                    <a:xfrm>
                      <a:off x="0" y="0"/>
                      <a:ext cx="5490210" cy="2544445"/>
                    </a:xfrm>
                    <a:prstGeom prst="rect">
                      <a:avLst/>
                    </a:prstGeom>
                    <a:noFill/>
                    <a:ln>
                      <a:noFill/>
                    </a:ln>
                  </pic:spPr>
                </pic:pic>
              </a:graphicData>
            </a:graphic>
          </wp:inline>
        </w:drawing>
      </w:r>
    </w:p>
    <w:p w14:paraId="1F722B25">
      <w:pPr>
        <w:spacing w:before="0" w:after="0" w:line="360" w:lineRule="auto"/>
        <w:ind w:left="0"/>
        <w:rPr>
          <w:rFonts w:hint="eastAsia" w:ascii="宋体" w:hAnsi="宋体" w:eastAsia="宋体" w:cs="宋体"/>
          <w:b/>
          <w:bCs/>
          <w:color w:val="000000"/>
          <w:sz w:val="24"/>
          <w:szCs w:val="24"/>
          <w:highlight w:val="none"/>
          <w:u w:val="none"/>
        </w:rPr>
      </w:pPr>
      <w:r>
        <w:rPr>
          <w:rFonts w:hint="eastAsia" w:ascii="宋体" w:hAnsi="宋体" w:eastAsia="宋体" w:cs="宋体"/>
          <w:b/>
          <w:bCs/>
          <w:i w:val="0"/>
          <w:strike w:val="0"/>
          <w:color w:val="000000"/>
          <w:sz w:val="24"/>
          <w:szCs w:val="24"/>
          <w:highlight w:val="none"/>
          <w:u w:val="none"/>
        </w:rPr>
        <w:t>6.供应商查看中标通知</w:t>
      </w:r>
    </w:p>
    <w:p w14:paraId="75E9B1C3">
      <w:pPr>
        <w:snapToGrid/>
        <w:spacing w:before="0" w:after="0" w:line="360" w:lineRule="auto"/>
        <w:ind w:left="0" w:right="0"/>
        <w:jc w:val="both"/>
        <w:rPr>
          <w:rFonts w:hint="eastAsia" w:ascii="宋体" w:hAnsi="宋体" w:eastAsia="宋体" w:cs="宋体"/>
          <w:color w:val="000000"/>
          <w:sz w:val="24"/>
          <w:szCs w:val="24"/>
          <w:highlight w:val="none"/>
        </w:rPr>
      </w:pPr>
      <w:r>
        <w:rPr>
          <w:rFonts w:ascii="宋体" w:hAnsi="宋体" w:eastAsia="宋体" w:cs="宋体"/>
          <w:i w:val="0"/>
          <w:strike w:val="0"/>
          <w:color w:val="000000"/>
          <w:sz w:val="24"/>
          <w:szCs w:val="24"/>
          <w:highlight w:val="none"/>
          <w:u w:val="none"/>
        </w:rPr>
        <w:t>路径：招投标中心</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非生产类招投标</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中标项目</w:t>
      </w:r>
    </w:p>
    <w:p w14:paraId="10ABECCB">
      <w:pPr>
        <w:snapToGrid/>
        <w:spacing w:before="0" w:after="0" w:line="360" w:lineRule="auto"/>
        <w:ind w:left="0" w:right="0"/>
        <w:jc w:val="both"/>
        <w:rPr>
          <w:rFonts w:hint="eastAsia" w:ascii="宋体" w:hAnsi="宋体" w:eastAsia="宋体" w:cs="宋体"/>
          <w:color w:val="000000"/>
          <w:sz w:val="24"/>
          <w:szCs w:val="24"/>
          <w:highlight w:val="none"/>
        </w:rPr>
      </w:pPr>
      <w:r>
        <w:rPr>
          <w:rFonts w:ascii="宋体" w:hAnsi="宋体" w:eastAsia="宋体" w:cs="宋体"/>
          <w:i w:val="0"/>
          <w:strike w:val="0"/>
          <w:color w:val="000000"/>
          <w:sz w:val="24"/>
          <w:szCs w:val="24"/>
          <w:highlight w:val="none"/>
          <w:u w:val="none"/>
        </w:rPr>
        <w:t>点击查看进入查看中标项目详情</w:t>
      </w:r>
    </w:p>
    <w:p w14:paraId="25FBDD1E">
      <w:pPr>
        <w:snapToGrid/>
        <w:spacing w:before="0" w:after="0" w:line="240" w:lineRule="auto"/>
        <w:ind w:left="0" w:right="0"/>
        <w:jc w:val="both"/>
        <w:rPr>
          <w:color w:val="000000"/>
          <w:highlight w:val="none"/>
        </w:rPr>
      </w:pPr>
      <w:r>
        <w:rPr>
          <w:color w:val="000000"/>
          <w:highlight w:val="none"/>
        </w:rPr>
        <w:drawing>
          <wp:inline distT="0" distB="0" distL="114300" distR="114300">
            <wp:extent cx="5760085" cy="1956435"/>
            <wp:effectExtent l="0" t="0" r="12065" b="5715"/>
            <wp:docPr id="39" name="图片 13" descr="descript"/>
            <wp:cNvGraphicFramePr/>
            <a:graphic xmlns:a="http://schemas.openxmlformats.org/drawingml/2006/main">
              <a:graphicData uri="http://schemas.openxmlformats.org/drawingml/2006/picture">
                <pic:pic xmlns:pic="http://schemas.openxmlformats.org/drawingml/2006/picture">
                  <pic:nvPicPr>
                    <pic:cNvPr id="39" name="图片 13" descr="descript"/>
                    <pic:cNvPicPr/>
                  </pic:nvPicPr>
                  <pic:blipFill>
                    <a:blip r:embed="rId35"/>
                    <a:stretch>
                      <a:fillRect/>
                    </a:stretch>
                  </pic:blipFill>
                  <pic:spPr>
                    <a:xfrm>
                      <a:off x="0" y="0"/>
                      <a:ext cx="5760085" cy="1956435"/>
                    </a:xfrm>
                    <a:prstGeom prst="rect">
                      <a:avLst/>
                    </a:prstGeom>
                    <a:noFill/>
                    <a:ln>
                      <a:noFill/>
                    </a:ln>
                  </pic:spPr>
                </pic:pic>
              </a:graphicData>
            </a:graphic>
          </wp:inline>
        </w:drawing>
      </w:r>
    </w:p>
    <w:p w14:paraId="07E3463C">
      <w:pPr>
        <w:pStyle w:val="52"/>
        <w:rPr>
          <w:rFonts w:hint="eastAsia"/>
          <w:lang w:eastAsia="zh-CN"/>
        </w:rPr>
        <w:sectPr>
          <w:footerReference r:id="rId17" w:type="default"/>
          <w:pgSz w:w="11907" w:h="16840"/>
          <w:pgMar w:top="1025" w:right="1418" w:bottom="1418" w:left="1418" w:header="724" w:footer="851" w:gutter="0"/>
          <w:cols w:space="720" w:num="1"/>
          <w:docGrid w:linePitch="290" w:charSpace="-3931"/>
        </w:sectPr>
      </w:pPr>
    </w:p>
    <w:p w14:paraId="49846DB8">
      <w:pPr>
        <w:pStyle w:val="20"/>
        <w:rPr>
          <w:rFonts w:hint="eastAsia" w:hAnsi="宋体" w:eastAsia="宋体" w:cs="Times New Roman"/>
          <w:b/>
          <w:color w:val="000000"/>
          <w:sz w:val="24"/>
          <w:szCs w:val="24"/>
        </w:rPr>
      </w:pPr>
    </w:p>
    <w:sectPr>
      <w:headerReference r:id="rId19" w:type="first"/>
      <w:footerReference r:id="rId21" w:type="first"/>
      <w:headerReference r:id="rId18" w:type="default"/>
      <w:footerReference r:id="rId20" w:type="default"/>
      <w:pgSz w:w="11906" w:h="16838"/>
      <w:pgMar w:top="1588" w:right="1418" w:bottom="1134" w:left="1418" w:header="851" w:footer="992"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Cambria">
    <w:panose1 w:val="02040503050406030204"/>
    <w:charset w:val="00"/>
    <w:family w:val="roman"/>
    <w:pitch w:val="default"/>
    <w:sig w:usb0="E00006FF" w:usb1="420024FF" w:usb2="02000000" w:usb3="00000000" w:csb0="2000019F" w:csb1="00000000"/>
  </w:font>
  <w:font w:name="Microsoft YaHei UI">
    <w:panose1 w:val="020B0503020204020204"/>
    <w:charset w:val="86"/>
    <w:family w:val="swiss"/>
    <w:pitch w:val="default"/>
    <w:sig w:usb0="80000287" w:usb1="2ACF3C50" w:usb2="00000016" w:usb3="00000000" w:csb0="0004001F" w:csb1="00000000"/>
  </w:font>
  <w:font w:name="等线 Light">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ˎ̥">
    <w:altName w:val="Times New Roman"/>
    <w:panose1 w:val="00000000000000000000"/>
    <w:charset w:val="00"/>
    <w:family w:val="roman"/>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华文仿宋">
    <w:altName w:val="仿宋"/>
    <w:panose1 w:val="02010600040101010101"/>
    <w:charset w:val="86"/>
    <w:family w:val="auto"/>
    <w:pitch w:val="default"/>
    <w:sig w:usb0="00000000" w:usb1="00000000" w:usb2="00000000" w:usb3="00000000" w:csb0="0004009F" w:csb1="DFD7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script"/>
    <w:pitch w:val="default"/>
    <w:sig w:usb0="A00002BF" w:usb1="184F6CFA" w:usb2="00000012" w:usb3="00000000" w:csb0="00040001" w:csb1="00000000"/>
  </w:font>
  <w:font w:name="MS Gothic">
    <w:panose1 w:val="020B0609070205080204"/>
    <w:charset w:val="80"/>
    <w:family w:val="modern"/>
    <w:pitch w:val="default"/>
    <w:sig w:usb0="E00002FF" w:usb1="6AC7FDFB" w:usb2="08000012" w:usb3="00000000" w:csb0="4002009F" w:csb1="DFD70000"/>
  </w:font>
  <w:font w:name="Wingdings 2">
    <w:altName w:val="Wingdings"/>
    <w:panose1 w:val="05020102010507070707"/>
    <w:charset w:val="02"/>
    <w:family w:val="roman"/>
    <w:pitch w:val="default"/>
    <w:sig w:usb0="00000000" w:usb1="00000000" w:usb2="00000000" w:usb3="00000000" w:csb0="80000000" w:csb1="00000000"/>
  </w:font>
  <w:font w:name="KSOF0B7949D1">
    <w:panose1 w:val="02010609060101010101"/>
    <w:charset w:val="86"/>
    <w:family w:val="auto"/>
    <w:pitch w:val="default"/>
    <w:sig w:usb0="00000001" w:usb1="00000000" w:usb2="00000000" w:usb3="00000000" w:csb0="00040001" w:csb1="00000000"/>
  </w:font>
  <w:font w:name="KSOF0B79BE30">
    <w:panose1 w:val="02010609060101010101"/>
    <w:charset w:val="86"/>
    <w:family w:val="auto"/>
    <w:pitch w:val="default"/>
    <w:sig w:usb0="00000001" w:usb1="00000000" w:usb2="00000000" w:usb3="00000000" w:csb0="00040001" w:csb1="00000000"/>
  </w:font>
  <w:font w:name="Wingdings">
    <w:panose1 w:val="05000000000000000000"/>
    <w:charset w:val="00"/>
    <w:family w:val="auto"/>
    <w:pitch w:val="default"/>
    <w:sig w:usb0="00000000" w:usb1="00000000" w:usb2="00000000" w:usb3="00000000" w:csb0="80000000"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Kingsoft U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KSOF7FC4CF2A">
    <w:panose1 w:val="020B0604020202020204"/>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6A1BB3">
    <w:pPr>
      <w:pStyle w:val="2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DEA3C7">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126</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38DEA3C7">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126</w:t>
                    </w:r>
                    <w:r>
                      <w:rPr>
                        <w:rFonts w:hint="eastAsia"/>
                        <w:sz w:val="1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69492B">
    <w:pPr>
      <w:pStyle w:val="25"/>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CAF64C">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3ACAF64C">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E4623A">
    <w:pPr>
      <w:pStyle w:val="25"/>
      <w:tabs>
        <w:tab w:val="clear" w:pos="4153"/>
      </w:tabs>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41DB3F">
                          <w:pPr>
                            <w:pStyle w:val="2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4F41DB3F">
                    <w:pPr>
                      <w:pStyle w:val="25"/>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960280">
    <w:pPr>
      <w:pStyle w:val="25"/>
      <w:jc w:val="center"/>
    </w:pPr>
  </w:p>
  <w:p w14:paraId="604DEF0A">
    <w:pPr>
      <w:pStyle w:val="25"/>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73838C">
    <w:pPr>
      <w:pStyle w:val="25"/>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A9B039">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18</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59A9B039">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18</w:t>
                    </w:r>
                    <w:r>
                      <w:rPr>
                        <w:rFonts w:hint="eastAsia"/>
                        <w:sz w:val="18"/>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539C17">
    <w:pPr>
      <w:pStyle w:val="25"/>
    </w:pPr>
    <w:r>
      <w:rPr>
        <w:sz w:val="21"/>
      </w:rPr>
      <mc:AlternateContent>
        <mc:Choice Requires="wps">
          <w:drawing>
            <wp:anchor distT="0" distB="0" distL="114300" distR="114300" simplePos="0" relativeHeight="251665408" behindDoc="0" locked="0" layoutInCell="1" allowOverlap="1">
              <wp:simplePos x="0" y="0"/>
              <wp:positionH relativeFrom="margin">
                <wp:posOffset>2290445</wp:posOffset>
              </wp:positionH>
              <wp:positionV relativeFrom="paragraph">
                <wp:posOffset>105410</wp:posOffset>
              </wp:positionV>
              <wp:extent cx="1130300" cy="1828800"/>
              <wp:effectExtent l="0" t="0" r="0" b="0"/>
              <wp:wrapNone/>
              <wp:docPr id="47" name="文本框 1"/>
              <wp:cNvGraphicFramePr/>
              <a:graphic xmlns:a="http://schemas.openxmlformats.org/drawingml/2006/main">
                <a:graphicData uri="http://schemas.microsoft.com/office/word/2010/wordprocessingShape">
                  <wps:wsp>
                    <wps:cNvSpPr txBox="1"/>
                    <wps:spPr>
                      <a:xfrm>
                        <a:off x="0" y="0"/>
                        <a:ext cx="1130061" cy="1828800"/>
                      </a:xfrm>
                      <a:prstGeom prst="rect">
                        <a:avLst/>
                      </a:prstGeom>
                      <a:noFill/>
                      <a:ln w="6350">
                        <a:noFill/>
                      </a:ln>
                      <a:effectLst/>
                    </wps:spPr>
                    <wps:txbx>
                      <w:txbxContent>
                        <w:p w14:paraId="46D0EC7C">
                          <w:pPr>
                            <w:pStyle w:val="25"/>
                          </w:pPr>
                          <w:r>
                            <w:t xml:space="preserve">第 </w:t>
                          </w:r>
                          <w:r>
                            <w:fldChar w:fldCharType="begin"/>
                          </w:r>
                          <w:r>
                            <w:instrText xml:space="preserve"> PAGE  \* MERGEFORMAT </w:instrText>
                          </w:r>
                          <w:r>
                            <w:fldChar w:fldCharType="separate"/>
                          </w:r>
                          <w:r>
                            <w:t>239</w:t>
                          </w:r>
                          <w:r>
                            <w:fldChar w:fldCharType="end"/>
                          </w:r>
                          <w:r>
                            <w:t xml:space="preserve"> 页 共 </w:t>
                          </w:r>
                          <w:r>
                            <w:fldChar w:fldCharType="begin"/>
                          </w:r>
                          <w:r>
                            <w:instrText xml:space="preserve"> NUMPAGES  \* MERGEFORMAT </w:instrText>
                          </w:r>
                          <w:r>
                            <w:fldChar w:fldCharType="separate"/>
                          </w:r>
                          <w:r>
                            <w:t>286</w:t>
                          </w:r>
                          <w:r>
                            <w:fldChar w:fldCharType="end"/>
                          </w:r>
                          <w:r>
                            <w:t xml:space="preserve"> 页</w:t>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left:180.35pt;margin-top:8.3pt;height:144pt;width:89pt;mso-position-horizontal-relative:margin;z-index:251665408;mso-width-relative:page;mso-height-relative:page;" filled="f" stroked="f" coordsize="21600,21600" o:gfxdata="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IFfUn3XAAAACgEAAA8AAAAAAAAAAQAgAAAAIgAAAGRycy9kb3du&#10;cmV2LnhtbFBLAQIUABQAAAAIAIdO4kCQYKu3OQIAAGYEAAAOAAAAAAAAAAEAIAAAACYBAABkcnMv&#10;ZTJvRG9jLnhtbFBLBQYAAAAABgAGAFkBAADRBQAAAAA=&#10;">
              <v:fill on="f" focussize="0,0"/>
              <v:stroke on="f" weight="0.5pt"/>
              <v:imagedata o:title=""/>
              <o:lock v:ext="edit" aspectratio="f"/>
              <v:textbox inset="0mm,0mm,0mm,0mm" style="mso-fit-shape-to-text:t;">
                <w:txbxContent>
                  <w:p w14:paraId="46D0EC7C">
                    <w:pPr>
                      <w:pStyle w:val="25"/>
                    </w:pPr>
                    <w:r>
                      <w:t xml:space="preserve">第 </w:t>
                    </w:r>
                    <w:r>
                      <w:fldChar w:fldCharType="begin"/>
                    </w:r>
                    <w:r>
                      <w:instrText xml:space="preserve"> PAGE  \* MERGEFORMAT </w:instrText>
                    </w:r>
                    <w:r>
                      <w:fldChar w:fldCharType="separate"/>
                    </w:r>
                    <w:r>
                      <w:t>239</w:t>
                    </w:r>
                    <w:r>
                      <w:fldChar w:fldCharType="end"/>
                    </w:r>
                    <w:r>
                      <w:t xml:space="preserve"> 页 共 </w:t>
                    </w:r>
                    <w:r>
                      <w:fldChar w:fldCharType="begin"/>
                    </w:r>
                    <w:r>
                      <w:instrText xml:space="preserve"> NUMPAGES  \* MERGEFORMAT </w:instrText>
                    </w:r>
                    <w:r>
                      <w:fldChar w:fldCharType="separate"/>
                    </w:r>
                    <w:r>
                      <w:t>286</w:t>
                    </w:r>
                    <w:r>
                      <w:fldChar w:fldCharType="end"/>
                    </w:r>
                    <w: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D042E4">
    <w:pPr>
      <w:pStyle w:val="25"/>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338DCD">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246</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2A338DCD">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246</w:t>
                    </w:r>
                    <w:r>
                      <w:rPr>
                        <w:rFonts w:hint="eastAsia"/>
                        <w:sz w:val="18"/>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FB7792">
    <w:pPr>
      <w:pStyle w:val="25"/>
      <w:jc w:val="center"/>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601AD4">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245</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63601AD4">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245</w:t>
                    </w:r>
                    <w:r>
                      <w:rPr>
                        <w:rFonts w:hint="eastAsia"/>
                        <w:sz w:val="18"/>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A3B262">
    <w:pPr>
      <w:pStyle w:val="25"/>
    </w:pPr>
    <w:r>
      <w:rPr>
        <w:sz w:val="21"/>
      </w:rPr>
      <mc:AlternateContent>
        <mc:Choice Requires="wps">
          <w:drawing>
            <wp:anchor distT="0" distB="0" distL="114300" distR="114300" simplePos="0" relativeHeight="251664384" behindDoc="0" locked="0" layoutInCell="1" allowOverlap="1">
              <wp:simplePos x="0" y="0"/>
              <wp:positionH relativeFrom="margin">
                <wp:posOffset>2351405</wp:posOffset>
              </wp:positionH>
              <wp:positionV relativeFrom="paragraph">
                <wp:posOffset>97155</wp:posOffset>
              </wp:positionV>
              <wp:extent cx="1130300" cy="1828800"/>
              <wp:effectExtent l="0" t="0" r="0" b="0"/>
              <wp:wrapNone/>
              <wp:docPr id="55" name="文本框 1"/>
              <wp:cNvGraphicFramePr/>
              <a:graphic xmlns:a="http://schemas.openxmlformats.org/drawingml/2006/main">
                <a:graphicData uri="http://schemas.microsoft.com/office/word/2010/wordprocessingShape">
                  <wps:wsp>
                    <wps:cNvSpPr txBox="1"/>
                    <wps:spPr>
                      <a:xfrm>
                        <a:off x="0" y="0"/>
                        <a:ext cx="1130061" cy="1828800"/>
                      </a:xfrm>
                      <a:prstGeom prst="rect">
                        <a:avLst/>
                      </a:prstGeom>
                      <a:noFill/>
                      <a:ln w="6350">
                        <a:noFill/>
                      </a:ln>
                      <a:effectLst/>
                    </wps:spPr>
                    <wps:txbx>
                      <w:txbxContent>
                        <w:p w14:paraId="5D9377D3">
                          <w:pPr>
                            <w:pStyle w:val="25"/>
                          </w:pPr>
                          <w:r>
                            <w:t xml:space="preserve">第 </w:t>
                          </w:r>
                          <w:r>
                            <w:fldChar w:fldCharType="begin"/>
                          </w:r>
                          <w:r>
                            <w:instrText xml:space="preserve"> PAGE  \* MERGEFORMAT </w:instrText>
                          </w:r>
                          <w:r>
                            <w:fldChar w:fldCharType="separate"/>
                          </w:r>
                          <w:r>
                            <w:t>239</w:t>
                          </w:r>
                          <w:r>
                            <w:fldChar w:fldCharType="end"/>
                          </w:r>
                          <w:r>
                            <w:t xml:space="preserve"> 页 共 </w:t>
                          </w:r>
                          <w:r>
                            <w:fldChar w:fldCharType="begin"/>
                          </w:r>
                          <w:r>
                            <w:instrText xml:space="preserve"> NUMPAGES  \* MERGEFORMAT </w:instrText>
                          </w:r>
                          <w:r>
                            <w:fldChar w:fldCharType="separate"/>
                          </w:r>
                          <w:r>
                            <w:t>286</w:t>
                          </w:r>
                          <w:r>
                            <w:fldChar w:fldCharType="end"/>
                          </w:r>
                          <w:r>
                            <w:t xml:space="preserve"> 页</w:t>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left:185.15pt;margin-top:7.65pt;height:144pt;width:89pt;mso-position-horizontal-relative:margin;z-index:251664384;mso-width-relative:page;mso-height-relative:page;" filled="f" stroked="f" coordsize="21600,21600" o:gfxdata="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LXIkDjXAAAACgEAAA8AAAAAAAAAAQAgAAAAIgAAAGRycy9kb3du&#10;cmV2LnhtbFBLAQIUABQAAAAIAIdO4kDetEY5OQIAAGYEAAAOAAAAAAAAAAEAIAAAACYBAABkcnMv&#10;ZTJvRG9jLnhtbFBLBQYAAAAABgAGAFkBAADRBQAAAAA=&#10;">
              <v:fill on="f" focussize="0,0"/>
              <v:stroke on="f" weight="0.5pt"/>
              <v:imagedata o:title=""/>
              <o:lock v:ext="edit" aspectratio="f"/>
              <v:textbox inset="0mm,0mm,0mm,0mm" style="mso-fit-shape-to-text:t;">
                <w:txbxContent>
                  <w:p w14:paraId="5D9377D3">
                    <w:pPr>
                      <w:pStyle w:val="25"/>
                    </w:pPr>
                    <w:r>
                      <w:t xml:space="preserve">第 </w:t>
                    </w:r>
                    <w:r>
                      <w:fldChar w:fldCharType="begin"/>
                    </w:r>
                    <w:r>
                      <w:instrText xml:space="preserve"> PAGE  \* MERGEFORMAT </w:instrText>
                    </w:r>
                    <w:r>
                      <w:fldChar w:fldCharType="separate"/>
                    </w:r>
                    <w:r>
                      <w:t>239</w:t>
                    </w:r>
                    <w:r>
                      <w:fldChar w:fldCharType="end"/>
                    </w:r>
                    <w:r>
                      <w:t xml:space="preserve"> 页 共 </w:t>
                    </w:r>
                    <w:r>
                      <w:fldChar w:fldCharType="begin"/>
                    </w:r>
                    <w:r>
                      <w:instrText xml:space="preserve"> NUMPAGES  \* MERGEFORMAT </w:instrText>
                    </w:r>
                    <w:r>
                      <w:fldChar w:fldCharType="separate"/>
                    </w:r>
                    <w:r>
                      <w:t>286</w:t>
                    </w:r>
                    <w:r>
                      <w:fldChar w:fldCharType="end"/>
                    </w:r>
                    <w:r>
                      <w:t xml:space="preserve"> 页</w:t>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49370E">
    <w:pPr>
      <w:pStyle w:val="25"/>
      <w:jc w:val="center"/>
    </w:pPr>
    <w:r>
      <w:rPr>
        <w:sz w:val="21"/>
      </w:rPr>
      <mc:AlternateContent>
        <mc:Choice Requires="wps">
          <w:drawing>
            <wp:anchor distT="0" distB="0" distL="114300" distR="114300" simplePos="0" relativeHeight="251664384" behindDoc="0" locked="0" layoutInCell="1" allowOverlap="1">
              <wp:simplePos x="0" y="0"/>
              <wp:positionH relativeFrom="margin">
                <wp:posOffset>2351405</wp:posOffset>
              </wp:positionH>
              <wp:positionV relativeFrom="paragraph">
                <wp:posOffset>97155</wp:posOffset>
              </wp:positionV>
              <wp:extent cx="1130300" cy="1828800"/>
              <wp:effectExtent l="0" t="0" r="0" b="0"/>
              <wp:wrapNone/>
              <wp:docPr id="54" name="文本框 1"/>
              <wp:cNvGraphicFramePr/>
              <a:graphic xmlns:a="http://schemas.openxmlformats.org/drawingml/2006/main">
                <a:graphicData uri="http://schemas.microsoft.com/office/word/2010/wordprocessingShape">
                  <wps:wsp>
                    <wps:cNvSpPr txBox="1"/>
                    <wps:spPr>
                      <a:xfrm>
                        <a:off x="0" y="0"/>
                        <a:ext cx="1130061" cy="1828800"/>
                      </a:xfrm>
                      <a:prstGeom prst="rect">
                        <a:avLst/>
                      </a:prstGeom>
                      <a:noFill/>
                      <a:ln w="6350">
                        <a:noFill/>
                      </a:ln>
                      <a:effectLst/>
                    </wps:spPr>
                    <wps:txbx>
                      <w:txbxContent>
                        <w:p w14:paraId="78468A99">
                          <w:pPr>
                            <w:pStyle w:val="25"/>
                          </w:pPr>
                          <w:r>
                            <w:t xml:space="preserve">第 </w:t>
                          </w:r>
                          <w:r>
                            <w:fldChar w:fldCharType="begin"/>
                          </w:r>
                          <w:r>
                            <w:instrText xml:space="preserve"> PAGE  \* MERGEFORMAT </w:instrText>
                          </w:r>
                          <w:r>
                            <w:fldChar w:fldCharType="separate"/>
                          </w:r>
                          <w:r>
                            <w:t>239</w:t>
                          </w:r>
                          <w:r>
                            <w:fldChar w:fldCharType="end"/>
                          </w:r>
                          <w:r>
                            <w:t xml:space="preserve"> 页 共 </w:t>
                          </w:r>
                          <w:r>
                            <w:fldChar w:fldCharType="begin"/>
                          </w:r>
                          <w:r>
                            <w:instrText xml:space="preserve"> NUMPAGES  \* MERGEFORMAT </w:instrText>
                          </w:r>
                          <w:r>
                            <w:fldChar w:fldCharType="separate"/>
                          </w:r>
                          <w:r>
                            <w:t>286</w:t>
                          </w:r>
                          <w:r>
                            <w:fldChar w:fldCharType="end"/>
                          </w:r>
                          <w:r>
                            <w:t xml:space="preserve"> 页</w:t>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left:185.15pt;margin-top:7.65pt;height:144pt;width:89pt;mso-position-horizontal-relative:margin;z-index:251664384;mso-width-relative:page;mso-height-relative:page;" filled="f" stroked="f" coordsize="21600,21600" o:gfxdata="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LXIkDjXAAAACgEAAA8AAAAAAAAAAQAgAAAAIgAAAGRycy9kb3du&#10;cmV2LnhtbFBLAQIUABQAAAAIAIdO4kC/9kdjOQIAAGYEAAAOAAAAAAAAAAEAIAAAACYBAABkcnMv&#10;ZTJvRG9jLnhtbFBLBQYAAAAABgAGAFkBAADRBQAAAAA=&#10;">
              <v:fill on="f" focussize="0,0"/>
              <v:stroke on="f" weight="0.5pt"/>
              <v:imagedata o:title=""/>
              <o:lock v:ext="edit" aspectratio="f"/>
              <v:textbox inset="0mm,0mm,0mm,0mm" style="mso-fit-shape-to-text:t;">
                <w:txbxContent>
                  <w:p w14:paraId="78468A99">
                    <w:pPr>
                      <w:pStyle w:val="25"/>
                    </w:pPr>
                    <w:r>
                      <w:t xml:space="preserve">第 </w:t>
                    </w:r>
                    <w:r>
                      <w:fldChar w:fldCharType="begin"/>
                    </w:r>
                    <w:r>
                      <w:instrText xml:space="preserve"> PAGE  \* MERGEFORMAT </w:instrText>
                    </w:r>
                    <w:r>
                      <w:fldChar w:fldCharType="separate"/>
                    </w:r>
                    <w:r>
                      <w:t>239</w:t>
                    </w:r>
                    <w:r>
                      <w:fldChar w:fldCharType="end"/>
                    </w:r>
                    <w:r>
                      <w:t xml:space="preserve"> 页 共 </w:t>
                    </w:r>
                    <w:r>
                      <w:fldChar w:fldCharType="begin"/>
                    </w:r>
                    <w:r>
                      <w:instrText xml:space="preserve"> NUMPAGES  \* MERGEFORMAT </w:instrText>
                    </w:r>
                    <w:r>
                      <w:fldChar w:fldCharType="separate"/>
                    </w:r>
                    <w:r>
                      <w:t>286</w:t>
                    </w:r>
                    <w:r>
                      <w:fldChar w:fldCharType="end"/>
                    </w:r>
                    <w:r>
                      <w:t xml:space="preserve"> 页</w:t>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62B313">
    <w:pPr>
      <w:spacing w:line="179" w:lineRule="auto"/>
      <w:ind w:left="6868"/>
      <w:rPr>
        <w:rFonts w:ascii="宋体" w:hAnsi="宋体" w:eastAsia="宋体" w:cs="宋体"/>
        <w:sz w:val="17"/>
        <w:szCs w:val="17"/>
      </w:rPr>
    </w:pPr>
    <w:r>
      <w:rPr>
        <w:sz w:val="17"/>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89CAAF">
                          <w:pPr>
                            <w:pStyle w:val="25"/>
                          </w:pPr>
                          <w:r>
                            <w:fldChar w:fldCharType="begin"/>
                          </w:r>
                          <w:r>
                            <w:instrText xml:space="preserve"> PAGE  \* MERGEFORMAT </w:instrText>
                          </w:r>
                          <w:r>
                            <w:fldChar w:fldCharType="separate"/>
                          </w:r>
                          <w:r>
                            <w:t>256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ZNNQgt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CZNNQgtAgAAVwQAAA4AAAAAAAAAAQAgAAAAHwEAAGRycy9lMm9Eb2MueG1sUEsFBgAAAAAG&#10;AAYAWQEAAL4FAAAAAA==&#10;">
              <v:fill on="f" focussize="0,0"/>
              <v:stroke on="f" weight="0.5pt"/>
              <v:imagedata o:title=""/>
              <o:lock v:ext="edit" aspectratio="f"/>
              <v:textbox inset="0mm,0mm,0mm,0mm" style="mso-fit-shape-to-text:t;">
                <w:txbxContent>
                  <w:p w14:paraId="6F89CAAF">
                    <w:pPr>
                      <w:pStyle w:val="25"/>
                    </w:pPr>
                    <w:r>
                      <w:fldChar w:fldCharType="begin"/>
                    </w:r>
                    <w:r>
                      <w:instrText xml:space="preserve"> PAGE  \* MERGEFORMAT </w:instrText>
                    </w:r>
                    <w:r>
                      <w:fldChar w:fldCharType="separate"/>
                    </w:r>
                    <w:r>
                      <w:t>256</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C6D4D">
    <w:pPr>
      <w:spacing w:line="194" w:lineRule="auto"/>
      <w:rPr>
        <w:rFonts w:ascii="等线" w:hAnsi="等线" w:eastAsia="等线" w:cs="等线"/>
        <w:sz w:val="17"/>
        <w:szCs w:val="17"/>
      </w:rPr>
    </w:pPr>
    <w:r>
      <w:rPr>
        <w:sz w:val="17"/>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75" name="文本框 7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2C8F79">
                          <w:pPr>
                            <w:pStyle w:val="25"/>
                          </w:pPr>
                          <w:r>
                            <w:fldChar w:fldCharType="begin"/>
                          </w:r>
                          <w:r>
                            <w:instrText xml:space="preserve"> PAGE  \* MERGEFORMAT </w:instrText>
                          </w:r>
                          <w:r>
                            <w:fldChar w:fldCharType="separate"/>
                          </w:r>
                          <w:r>
                            <w:t>268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K5hCotAgAAVw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DK5hCotAgAAVwQAAA4AAAAAAAAAAQAgAAAAHwEAAGRycy9lMm9Eb2MueG1sUEsFBgAAAAAG&#10;AAYAWQEAAL4FAAAAAA==&#10;">
              <v:fill on="f" focussize="0,0"/>
              <v:stroke on="f" weight="0.5pt"/>
              <v:imagedata o:title=""/>
              <o:lock v:ext="edit" aspectratio="f"/>
              <v:textbox inset="0mm,0mm,0mm,0mm" style="mso-fit-shape-to-text:t;">
                <w:txbxContent>
                  <w:p w14:paraId="612C8F79">
                    <w:pPr>
                      <w:pStyle w:val="25"/>
                    </w:pPr>
                    <w:r>
                      <w:fldChar w:fldCharType="begin"/>
                    </w:r>
                    <w:r>
                      <w:instrText xml:space="preserve"> PAGE  \* MERGEFORMAT </w:instrText>
                    </w:r>
                    <w:r>
                      <w:fldChar w:fldCharType="separate"/>
                    </w:r>
                    <w:r>
                      <w:t>268</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A21357">
    <w:pPr>
      <w:pStyle w:val="25"/>
      <w:jc w:val="center"/>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2" name="文本框 9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A2DD6C">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259</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edr/gtAgAAVwQAAA4AAABkcnMvZTJvRG9jLnhtbK1UzY7TMBC+I/EO&#10;lu80aRGrUj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r6dUKKZQsVPP76f&#10;fj6cfn0jOINArfUzxN1bRIbunenQNsO5x2Hk3VVOxS8YEfgh7/Eir+gC4fHSdDKd5nBx+IYN8LPH&#10;69b58F4YRaJRUIf6JVnZYeNDHzqExGzarBspUw2lJm1Br16/y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Gedr/gtAgAAVwQAAA4AAAAAAAAAAQAgAAAAHwEAAGRycy9lMm9Eb2MueG1sUEsFBgAAAAAG&#10;AAYAWQEAAL4FAAAAAA==&#10;">
              <v:fill on="f" focussize="0,0"/>
              <v:stroke on="f" weight="0.5pt"/>
              <v:imagedata o:title=""/>
              <o:lock v:ext="edit" aspectratio="f"/>
              <v:textbox inset="0mm,0mm,0mm,0mm" style="mso-fit-shape-to-text:t;">
                <w:txbxContent>
                  <w:p w14:paraId="0DA2DD6C">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259</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A40F13">
    <w:pPr>
      <w:pStyle w:val="26"/>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91933C">
    <w:pPr>
      <w:pStyle w:val="26"/>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467C8D">
    <w:pPr>
      <w:pStyle w:val="26"/>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B889CD">
    <w:pPr>
      <w:pStyle w:val="26"/>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25A4B1">
    <w:pPr>
      <w:pStyle w:val="26"/>
    </w:pPr>
  </w:p>
  <w:p w14:paraId="42E35BC4">
    <w:pPr>
      <w:pStyle w:val="26"/>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F66CB1">
    <w:pPr>
      <w:pStyle w:val="2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849FB6"/>
    <w:multiLevelType w:val="singleLevel"/>
    <w:tmpl w:val="A6849FB6"/>
    <w:lvl w:ilvl="0" w:tentative="0">
      <w:start w:val="2"/>
      <w:numFmt w:val="chineseCounting"/>
      <w:suff w:val="nothing"/>
      <w:lvlText w:val="%1、"/>
      <w:lvlJc w:val="left"/>
      <w:rPr>
        <w:rFonts w:hint="eastAsia"/>
      </w:rPr>
    </w:lvl>
  </w:abstractNum>
  <w:abstractNum w:abstractNumId="1">
    <w:nsid w:val="B43365D3"/>
    <w:multiLevelType w:val="singleLevel"/>
    <w:tmpl w:val="B43365D3"/>
    <w:lvl w:ilvl="0" w:tentative="0">
      <w:start w:val="6"/>
      <w:numFmt w:val="chineseCounting"/>
      <w:suff w:val="space"/>
      <w:lvlText w:val="第%1章"/>
      <w:lvlJc w:val="left"/>
      <w:rPr>
        <w:rFonts w:hint="eastAsia"/>
      </w:rPr>
    </w:lvl>
  </w:abstractNum>
  <w:abstractNum w:abstractNumId="2">
    <w:nsid w:val="00000003"/>
    <w:multiLevelType w:val="singleLevel"/>
    <w:tmpl w:val="00000003"/>
    <w:lvl w:ilvl="0" w:tentative="0">
      <w:start w:val="5"/>
      <w:numFmt w:val="decimal"/>
      <w:lvlText w:val="%1."/>
      <w:lvlJc w:val="left"/>
      <w:pPr>
        <w:tabs>
          <w:tab w:val="left" w:pos="312"/>
        </w:tabs>
      </w:pPr>
    </w:lvl>
  </w:abstractNum>
  <w:abstractNum w:abstractNumId="3">
    <w:nsid w:val="00DE29F3"/>
    <w:multiLevelType w:val="singleLevel"/>
    <w:tmpl w:val="00DE29F3"/>
    <w:lvl w:ilvl="0" w:tentative="0">
      <w:start w:val="1"/>
      <w:numFmt w:val="decimal"/>
      <w:lvlText w:val="%1)"/>
      <w:lvlJc w:val="left"/>
      <w:pPr>
        <w:tabs>
          <w:tab w:val="left" w:pos="312"/>
        </w:tabs>
      </w:pPr>
    </w:lvl>
  </w:abstractNum>
  <w:abstractNum w:abstractNumId="4">
    <w:nsid w:val="0104224B"/>
    <w:multiLevelType w:val="multilevel"/>
    <w:tmpl w:val="0104224B"/>
    <w:lvl w:ilvl="0" w:tentative="0">
      <w:start w:val="1"/>
      <w:numFmt w:val="lowerLetter"/>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044E64CE"/>
    <w:multiLevelType w:val="multilevel"/>
    <w:tmpl w:val="044E64CE"/>
    <w:lvl w:ilvl="0" w:tentative="0">
      <w:start w:val="1"/>
      <w:numFmt w:val="decimal"/>
      <w:lvlText w:val="%1."/>
      <w:lvlJc w:val="left"/>
      <w:pPr>
        <w:ind w:left="1320" w:hanging="420"/>
      </w:pPr>
    </w:lvl>
    <w:lvl w:ilvl="1" w:tentative="0">
      <w:start w:val="1"/>
      <w:numFmt w:val="lowerLetter"/>
      <w:lvlText w:val="%2)"/>
      <w:lvlJc w:val="left"/>
      <w:pPr>
        <w:ind w:left="1740" w:hanging="420"/>
      </w:pPr>
    </w:lvl>
    <w:lvl w:ilvl="2" w:tentative="0">
      <w:start w:val="1"/>
      <w:numFmt w:val="lowerRoman"/>
      <w:lvlText w:val="%3."/>
      <w:lvlJc w:val="right"/>
      <w:pPr>
        <w:ind w:left="2160" w:hanging="420"/>
      </w:pPr>
    </w:lvl>
    <w:lvl w:ilvl="3" w:tentative="0">
      <w:start w:val="1"/>
      <w:numFmt w:val="decimal"/>
      <w:lvlText w:val="%4."/>
      <w:lvlJc w:val="left"/>
      <w:pPr>
        <w:ind w:left="2580" w:hanging="420"/>
      </w:pPr>
    </w:lvl>
    <w:lvl w:ilvl="4" w:tentative="0">
      <w:start w:val="1"/>
      <w:numFmt w:val="lowerLetter"/>
      <w:lvlText w:val="%5)"/>
      <w:lvlJc w:val="left"/>
      <w:pPr>
        <w:ind w:left="3000" w:hanging="420"/>
      </w:pPr>
    </w:lvl>
    <w:lvl w:ilvl="5" w:tentative="0">
      <w:start w:val="1"/>
      <w:numFmt w:val="lowerRoman"/>
      <w:lvlText w:val="%6."/>
      <w:lvlJc w:val="right"/>
      <w:pPr>
        <w:ind w:left="3420" w:hanging="420"/>
      </w:pPr>
    </w:lvl>
    <w:lvl w:ilvl="6" w:tentative="0">
      <w:start w:val="1"/>
      <w:numFmt w:val="decimal"/>
      <w:lvlText w:val="%7."/>
      <w:lvlJc w:val="left"/>
      <w:pPr>
        <w:ind w:left="3840" w:hanging="420"/>
      </w:pPr>
    </w:lvl>
    <w:lvl w:ilvl="7" w:tentative="0">
      <w:start w:val="1"/>
      <w:numFmt w:val="lowerLetter"/>
      <w:lvlText w:val="%8)"/>
      <w:lvlJc w:val="left"/>
      <w:pPr>
        <w:ind w:left="4260" w:hanging="420"/>
      </w:pPr>
    </w:lvl>
    <w:lvl w:ilvl="8" w:tentative="0">
      <w:start w:val="1"/>
      <w:numFmt w:val="lowerRoman"/>
      <w:lvlText w:val="%9."/>
      <w:lvlJc w:val="right"/>
      <w:pPr>
        <w:ind w:left="4680" w:hanging="420"/>
      </w:pPr>
    </w:lvl>
  </w:abstractNum>
  <w:abstractNum w:abstractNumId="6">
    <w:nsid w:val="04DB6FB1"/>
    <w:multiLevelType w:val="multilevel"/>
    <w:tmpl w:val="04DB6FB1"/>
    <w:lvl w:ilvl="0" w:tentative="0">
      <w:start w:val="1"/>
      <w:numFmt w:val="decimal"/>
      <w:lvlText w:val="%1."/>
      <w:lvlJc w:val="left"/>
      <w:pPr>
        <w:ind w:left="900" w:hanging="420"/>
      </w:pPr>
    </w:lvl>
    <w:lvl w:ilvl="1" w:tentative="0">
      <w:start w:val="1"/>
      <w:numFmt w:val="decimal"/>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7">
    <w:nsid w:val="06882CE3"/>
    <w:multiLevelType w:val="multilevel"/>
    <w:tmpl w:val="06882CE3"/>
    <w:lvl w:ilvl="0" w:tentative="0">
      <w:start w:val="1"/>
      <w:numFmt w:val="decimal"/>
      <w:pStyle w:val="160"/>
      <w:suff w:val="nothing"/>
      <w:lvlText w:val="（%1）"/>
      <w:lvlJc w:val="left"/>
      <w:pPr>
        <w:ind w:left="1270" w:hanging="420"/>
      </w:pPr>
      <w:rPr>
        <w:b w:val="0"/>
        <w:bCs w:val="0"/>
        <w:i w:val="0"/>
        <w:iCs w:val="0"/>
        <w:caps w:val="0"/>
        <w:smallCaps w:val="0"/>
        <w:strike w:val="0"/>
        <w:dstrike w:val="0"/>
        <w:outline w:val="0"/>
        <w:shadow w:val="0"/>
        <w:emboss w:val="0"/>
        <w:imprint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1" w:tentative="0">
      <w:start w:val="1"/>
      <w:numFmt w:val="lowerLetter"/>
      <w:lvlText w:val="%2)"/>
      <w:lvlJc w:val="left"/>
      <w:pPr>
        <w:ind w:left="1254" w:hanging="420"/>
      </w:pPr>
    </w:lvl>
    <w:lvl w:ilvl="2" w:tentative="0">
      <w:start w:val="1"/>
      <w:numFmt w:val="lowerRoman"/>
      <w:lvlText w:val="%3."/>
      <w:lvlJc w:val="right"/>
      <w:pPr>
        <w:ind w:left="1674" w:hanging="420"/>
      </w:pPr>
    </w:lvl>
    <w:lvl w:ilvl="3" w:tentative="0">
      <w:start w:val="1"/>
      <w:numFmt w:val="decimal"/>
      <w:lvlText w:val="%4."/>
      <w:lvlJc w:val="left"/>
      <w:pPr>
        <w:ind w:left="2094" w:hanging="420"/>
      </w:pPr>
    </w:lvl>
    <w:lvl w:ilvl="4" w:tentative="0">
      <w:start w:val="1"/>
      <w:numFmt w:val="lowerLetter"/>
      <w:lvlText w:val="%5)"/>
      <w:lvlJc w:val="left"/>
      <w:pPr>
        <w:ind w:left="2514" w:hanging="420"/>
      </w:pPr>
    </w:lvl>
    <w:lvl w:ilvl="5" w:tentative="0">
      <w:start w:val="1"/>
      <w:numFmt w:val="lowerRoman"/>
      <w:lvlText w:val="%6."/>
      <w:lvlJc w:val="right"/>
      <w:pPr>
        <w:ind w:left="2934" w:hanging="420"/>
      </w:pPr>
    </w:lvl>
    <w:lvl w:ilvl="6" w:tentative="0">
      <w:start w:val="1"/>
      <w:numFmt w:val="decimal"/>
      <w:lvlText w:val="%7."/>
      <w:lvlJc w:val="left"/>
      <w:pPr>
        <w:ind w:left="3354" w:hanging="420"/>
      </w:pPr>
    </w:lvl>
    <w:lvl w:ilvl="7" w:tentative="0">
      <w:start w:val="1"/>
      <w:numFmt w:val="lowerLetter"/>
      <w:lvlText w:val="%8)"/>
      <w:lvlJc w:val="left"/>
      <w:pPr>
        <w:ind w:left="3774" w:hanging="420"/>
      </w:pPr>
    </w:lvl>
    <w:lvl w:ilvl="8" w:tentative="0">
      <w:start w:val="1"/>
      <w:numFmt w:val="lowerRoman"/>
      <w:lvlText w:val="%9."/>
      <w:lvlJc w:val="right"/>
      <w:pPr>
        <w:ind w:left="4194" w:hanging="420"/>
      </w:pPr>
    </w:lvl>
  </w:abstractNum>
  <w:abstractNum w:abstractNumId="8">
    <w:nsid w:val="088E68EA"/>
    <w:multiLevelType w:val="multilevel"/>
    <w:tmpl w:val="088E68EA"/>
    <w:lvl w:ilvl="0" w:tentative="0">
      <w:start w:val="1"/>
      <w:numFmt w:val="decimalEnclosedCircle"/>
      <w:lvlText w:val="%1"/>
      <w:lvlJc w:val="left"/>
      <w:pPr>
        <w:ind w:left="900" w:hanging="420"/>
      </w:pPr>
      <w:rPr>
        <w:rFonts w:hint="default"/>
      </w:rPr>
    </w:lvl>
    <w:lvl w:ilvl="1" w:tentative="0">
      <w:start w:val="1"/>
      <w:numFmt w:val="lowerLetter"/>
      <w:lvlText w:val="%2."/>
      <w:lvlJc w:val="left"/>
      <w:pPr>
        <w:ind w:left="1260" w:hanging="36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9">
    <w:nsid w:val="08F0073A"/>
    <w:multiLevelType w:val="multilevel"/>
    <w:tmpl w:val="08F0073A"/>
    <w:lvl w:ilvl="0" w:tentative="0">
      <w:start w:val="1"/>
      <w:numFmt w:val="decimal"/>
      <w:lvlText w:val="%1"/>
      <w:lvlJc w:val="left"/>
      <w:pPr>
        <w:ind w:left="425" w:hanging="425"/>
      </w:pPr>
      <w:rPr>
        <w:rFonts w:hint="eastAsia"/>
      </w:rPr>
    </w:lvl>
    <w:lvl w:ilvl="1" w:tentative="0">
      <w:start w:val="1"/>
      <w:numFmt w:val="decimal"/>
      <w:lvlText w:val="5.%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0">
    <w:nsid w:val="09C87037"/>
    <w:multiLevelType w:val="multilevel"/>
    <w:tmpl w:val="09C87037"/>
    <w:lvl w:ilvl="0" w:tentative="0">
      <w:start w:val="1"/>
      <w:numFmt w:val="decimal"/>
      <w:lvlText w:val="%1."/>
      <w:lvlJc w:val="left"/>
      <w:pPr>
        <w:ind w:left="898" w:hanging="420"/>
      </w:pPr>
    </w:lvl>
    <w:lvl w:ilvl="1" w:tentative="0">
      <w:start w:val="1"/>
      <w:numFmt w:val="decimal"/>
      <w:lvlText w:val="%2."/>
      <w:lvlJc w:val="left"/>
      <w:pPr>
        <w:ind w:left="1318" w:hanging="420"/>
      </w:pPr>
    </w:lvl>
    <w:lvl w:ilvl="2" w:tentative="0">
      <w:start w:val="1"/>
      <w:numFmt w:val="lowerRoman"/>
      <w:lvlText w:val="%3."/>
      <w:lvlJc w:val="right"/>
      <w:pPr>
        <w:ind w:left="1738" w:hanging="420"/>
      </w:pPr>
    </w:lvl>
    <w:lvl w:ilvl="3" w:tentative="0">
      <w:start w:val="1"/>
      <w:numFmt w:val="decimal"/>
      <w:lvlText w:val="%4."/>
      <w:lvlJc w:val="left"/>
      <w:pPr>
        <w:ind w:left="2158" w:hanging="420"/>
      </w:pPr>
    </w:lvl>
    <w:lvl w:ilvl="4" w:tentative="0">
      <w:start w:val="1"/>
      <w:numFmt w:val="lowerLetter"/>
      <w:lvlText w:val="%5)"/>
      <w:lvlJc w:val="left"/>
      <w:pPr>
        <w:ind w:left="2578" w:hanging="420"/>
      </w:pPr>
    </w:lvl>
    <w:lvl w:ilvl="5" w:tentative="0">
      <w:start w:val="1"/>
      <w:numFmt w:val="lowerRoman"/>
      <w:lvlText w:val="%6."/>
      <w:lvlJc w:val="right"/>
      <w:pPr>
        <w:ind w:left="2998" w:hanging="420"/>
      </w:pPr>
    </w:lvl>
    <w:lvl w:ilvl="6" w:tentative="0">
      <w:start w:val="1"/>
      <w:numFmt w:val="decimal"/>
      <w:lvlText w:val="%7."/>
      <w:lvlJc w:val="left"/>
      <w:pPr>
        <w:ind w:left="3418" w:hanging="420"/>
      </w:pPr>
    </w:lvl>
    <w:lvl w:ilvl="7" w:tentative="0">
      <w:start w:val="1"/>
      <w:numFmt w:val="lowerLetter"/>
      <w:lvlText w:val="%8)"/>
      <w:lvlJc w:val="left"/>
      <w:pPr>
        <w:ind w:left="3838" w:hanging="420"/>
      </w:pPr>
    </w:lvl>
    <w:lvl w:ilvl="8" w:tentative="0">
      <w:start w:val="1"/>
      <w:numFmt w:val="lowerRoman"/>
      <w:lvlText w:val="%9."/>
      <w:lvlJc w:val="right"/>
      <w:pPr>
        <w:ind w:left="4258" w:hanging="420"/>
      </w:pPr>
    </w:lvl>
  </w:abstractNum>
  <w:abstractNum w:abstractNumId="11">
    <w:nsid w:val="0A9E7121"/>
    <w:multiLevelType w:val="multilevel"/>
    <w:tmpl w:val="0A9E7121"/>
    <w:lvl w:ilvl="0" w:tentative="0">
      <w:start w:val="1"/>
      <w:numFmt w:val="decimal"/>
      <w:lvlText w:val="%1"/>
      <w:lvlJc w:val="left"/>
      <w:pPr>
        <w:ind w:left="425" w:hanging="425"/>
      </w:pPr>
      <w:rPr>
        <w:rFonts w:hint="eastAsia"/>
      </w:rPr>
    </w:lvl>
    <w:lvl w:ilvl="1" w:tentative="0">
      <w:start w:val="1"/>
      <w:numFmt w:val="decimal"/>
      <w:lvlText w:val="3.%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2">
    <w:nsid w:val="0B416A9B"/>
    <w:multiLevelType w:val="multilevel"/>
    <w:tmpl w:val="0B416A9B"/>
    <w:lvl w:ilvl="0" w:tentative="0">
      <w:start w:val="1"/>
      <w:numFmt w:val="decimal"/>
      <w:lvlText w:val="%1."/>
      <w:lvlJc w:val="left"/>
      <w:pPr>
        <w:ind w:left="1318" w:hanging="420"/>
      </w:pPr>
    </w:lvl>
    <w:lvl w:ilvl="1" w:tentative="0">
      <w:start w:val="1"/>
      <w:numFmt w:val="lowerLetter"/>
      <w:lvlText w:val="%2)"/>
      <w:lvlJc w:val="left"/>
      <w:pPr>
        <w:ind w:left="1738" w:hanging="420"/>
      </w:pPr>
    </w:lvl>
    <w:lvl w:ilvl="2" w:tentative="0">
      <w:start w:val="1"/>
      <w:numFmt w:val="lowerRoman"/>
      <w:lvlText w:val="%3."/>
      <w:lvlJc w:val="right"/>
      <w:pPr>
        <w:ind w:left="2158" w:hanging="420"/>
      </w:pPr>
    </w:lvl>
    <w:lvl w:ilvl="3" w:tentative="0">
      <w:start w:val="1"/>
      <w:numFmt w:val="decimal"/>
      <w:lvlText w:val="%4."/>
      <w:lvlJc w:val="left"/>
      <w:pPr>
        <w:ind w:left="2578" w:hanging="420"/>
      </w:pPr>
    </w:lvl>
    <w:lvl w:ilvl="4" w:tentative="0">
      <w:start w:val="1"/>
      <w:numFmt w:val="lowerLetter"/>
      <w:lvlText w:val="%5)"/>
      <w:lvlJc w:val="left"/>
      <w:pPr>
        <w:ind w:left="2998" w:hanging="420"/>
      </w:pPr>
    </w:lvl>
    <w:lvl w:ilvl="5" w:tentative="0">
      <w:start w:val="1"/>
      <w:numFmt w:val="lowerRoman"/>
      <w:lvlText w:val="%6."/>
      <w:lvlJc w:val="right"/>
      <w:pPr>
        <w:ind w:left="3418" w:hanging="420"/>
      </w:pPr>
    </w:lvl>
    <w:lvl w:ilvl="6" w:tentative="0">
      <w:start w:val="1"/>
      <w:numFmt w:val="decimal"/>
      <w:lvlText w:val="%7."/>
      <w:lvlJc w:val="left"/>
      <w:pPr>
        <w:ind w:left="3838" w:hanging="420"/>
      </w:pPr>
    </w:lvl>
    <w:lvl w:ilvl="7" w:tentative="0">
      <w:start w:val="1"/>
      <w:numFmt w:val="lowerLetter"/>
      <w:lvlText w:val="%8)"/>
      <w:lvlJc w:val="left"/>
      <w:pPr>
        <w:ind w:left="4258" w:hanging="420"/>
      </w:pPr>
    </w:lvl>
    <w:lvl w:ilvl="8" w:tentative="0">
      <w:start w:val="1"/>
      <w:numFmt w:val="lowerRoman"/>
      <w:lvlText w:val="%9."/>
      <w:lvlJc w:val="right"/>
      <w:pPr>
        <w:ind w:left="4678" w:hanging="420"/>
      </w:pPr>
    </w:lvl>
  </w:abstractNum>
  <w:abstractNum w:abstractNumId="13">
    <w:nsid w:val="0D0F2BB7"/>
    <w:multiLevelType w:val="multilevel"/>
    <w:tmpl w:val="0D0F2BB7"/>
    <w:lvl w:ilvl="0" w:tentative="0">
      <w:start w:val="1"/>
      <w:numFmt w:val="decimal"/>
      <w:lvlText w:val="%1"/>
      <w:lvlJc w:val="left"/>
      <w:pPr>
        <w:ind w:left="425" w:hanging="425"/>
      </w:pPr>
      <w:rPr>
        <w:rFonts w:hint="eastAsia"/>
      </w:rPr>
    </w:lvl>
    <w:lvl w:ilvl="1" w:tentative="0">
      <w:start w:val="1"/>
      <w:numFmt w:val="decimal"/>
      <w:lvlText w:val="5.%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4">
    <w:nsid w:val="17026CF2"/>
    <w:multiLevelType w:val="multilevel"/>
    <w:tmpl w:val="17026CF2"/>
    <w:lvl w:ilvl="0" w:tentative="0">
      <w:start w:val="1"/>
      <w:numFmt w:val="decimal"/>
      <w:lvlText w:val="%1."/>
      <w:lvlJc w:val="left"/>
      <w:pPr>
        <w:ind w:left="900" w:hanging="420"/>
      </w:pPr>
    </w:lvl>
    <w:lvl w:ilvl="1" w:tentative="0">
      <w:start w:val="1"/>
      <w:numFmt w:val="decimal"/>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5">
    <w:nsid w:val="178D3D0E"/>
    <w:multiLevelType w:val="multilevel"/>
    <w:tmpl w:val="178D3D0E"/>
    <w:lvl w:ilvl="0" w:tentative="0">
      <w:start w:val="1"/>
      <w:numFmt w:val="bullet"/>
      <w:pStyle w:val="171"/>
      <w:lvlText w:val=""/>
      <w:lvlJc w:val="left"/>
      <w:pPr>
        <w:tabs>
          <w:tab w:val="left" w:pos="367"/>
        </w:tabs>
        <w:ind w:left="367" w:hanging="360"/>
      </w:pPr>
      <w:rPr>
        <w:rFonts w:hint="default" w:ascii="Symbol" w:hAnsi="Symbol"/>
      </w:rPr>
    </w:lvl>
    <w:lvl w:ilvl="1" w:tentative="0">
      <w:start w:val="1"/>
      <w:numFmt w:val="bullet"/>
      <w:lvlText w:val="o"/>
      <w:lvlJc w:val="left"/>
      <w:pPr>
        <w:tabs>
          <w:tab w:val="left" w:pos="1087"/>
        </w:tabs>
        <w:ind w:left="1087" w:hanging="360"/>
      </w:pPr>
      <w:rPr>
        <w:rFonts w:hint="default" w:ascii="Courier New" w:hAnsi="Courier New" w:cs="Courier New"/>
      </w:rPr>
    </w:lvl>
    <w:lvl w:ilvl="2" w:tentative="0">
      <w:start w:val="1"/>
      <w:numFmt w:val="bullet"/>
      <w:lvlText w:val=""/>
      <w:lvlJc w:val="left"/>
      <w:pPr>
        <w:tabs>
          <w:tab w:val="left" w:pos="1807"/>
        </w:tabs>
        <w:ind w:left="1807" w:hanging="360"/>
      </w:pPr>
      <w:rPr>
        <w:rFonts w:hint="default" w:ascii="Wingdings" w:hAnsi="Wingdings"/>
      </w:rPr>
    </w:lvl>
    <w:lvl w:ilvl="3" w:tentative="0">
      <w:start w:val="1"/>
      <w:numFmt w:val="bullet"/>
      <w:lvlText w:val=""/>
      <w:lvlJc w:val="left"/>
      <w:pPr>
        <w:tabs>
          <w:tab w:val="left" w:pos="2527"/>
        </w:tabs>
        <w:ind w:left="2527" w:hanging="360"/>
      </w:pPr>
      <w:rPr>
        <w:rFonts w:hint="default" w:ascii="Symbol" w:hAnsi="Symbol"/>
      </w:rPr>
    </w:lvl>
    <w:lvl w:ilvl="4" w:tentative="0">
      <w:start w:val="1"/>
      <w:numFmt w:val="bullet"/>
      <w:lvlText w:val="o"/>
      <w:lvlJc w:val="left"/>
      <w:pPr>
        <w:tabs>
          <w:tab w:val="left" w:pos="3247"/>
        </w:tabs>
        <w:ind w:left="3247" w:hanging="360"/>
      </w:pPr>
      <w:rPr>
        <w:rFonts w:hint="default" w:ascii="Courier New" w:hAnsi="Courier New" w:cs="Courier New"/>
      </w:rPr>
    </w:lvl>
    <w:lvl w:ilvl="5" w:tentative="0">
      <w:start w:val="1"/>
      <w:numFmt w:val="bullet"/>
      <w:lvlText w:val=""/>
      <w:lvlJc w:val="left"/>
      <w:pPr>
        <w:tabs>
          <w:tab w:val="left" w:pos="3967"/>
        </w:tabs>
        <w:ind w:left="3967" w:hanging="360"/>
      </w:pPr>
      <w:rPr>
        <w:rFonts w:hint="default" w:ascii="Wingdings" w:hAnsi="Wingdings"/>
      </w:rPr>
    </w:lvl>
    <w:lvl w:ilvl="6" w:tentative="0">
      <w:start w:val="1"/>
      <w:numFmt w:val="bullet"/>
      <w:lvlText w:val=""/>
      <w:lvlJc w:val="left"/>
      <w:pPr>
        <w:tabs>
          <w:tab w:val="left" w:pos="4687"/>
        </w:tabs>
        <w:ind w:left="4687" w:hanging="360"/>
      </w:pPr>
      <w:rPr>
        <w:rFonts w:hint="default" w:ascii="Symbol" w:hAnsi="Symbol"/>
      </w:rPr>
    </w:lvl>
    <w:lvl w:ilvl="7" w:tentative="0">
      <w:start w:val="1"/>
      <w:numFmt w:val="bullet"/>
      <w:lvlText w:val="o"/>
      <w:lvlJc w:val="left"/>
      <w:pPr>
        <w:tabs>
          <w:tab w:val="left" w:pos="5407"/>
        </w:tabs>
        <w:ind w:left="5407" w:hanging="360"/>
      </w:pPr>
      <w:rPr>
        <w:rFonts w:hint="default" w:ascii="Courier New" w:hAnsi="Courier New" w:cs="Courier New"/>
      </w:rPr>
    </w:lvl>
    <w:lvl w:ilvl="8" w:tentative="0">
      <w:start w:val="1"/>
      <w:numFmt w:val="bullet"/>
      <w:lvlText w:val=""/>
      <w:lvlJc w:val="left"/>
      <w:pPr>
        <w:tabs>
          <w:tab w:val="left" w:pos="6127"/>
        </w:tabs>
        <w:ind w:left="6127" w:hanging="360"/>
      </w:pPr>
      <w:rPr>
        <w:rFonts w:hint="default" w:ascii="Wingdings" w:hAnsi="Wingdings"/>
      </w:rPr>
    </w:lvl>
  </w:abstractNum>
  <w:abstractNum w:abstractNumId="16">
    <w:nsid w:val="1ADA5F20"/>
    <w:multiLevelType w:val="multilevel"/>
    <w:tmpl w:val="1ADA5F20"/>
    <w:lvl w:ilvl="0" w:tentative="0">
      <w:start w:val="1"/>
      <w:numFmt w:val="lowerLetter"/>
      <w:lvlText w:val="%1"/>
      <w:lvlJc w:val="left"/>
      <w:pPr>
        <w:ind w:left="900" w:hanging="420"/>
      </w:pPr>
      <w:rPr>
        <w:rFonts w:hint="eastAsia"/>
      </w:rPr>
    </w:lvl>
    <w:lvl w:ilvl="1" w:tentative="0">
      <w:start w:val="0"/>
      <w:numFmt w:val="bullet"/>
      <w:lvlText w:val="•"/>
      <w:lvlJc w:val="left"/>
      <w:pPr>
        <w:ind w:left="1260" w:hanging="360"/>
      </w:pPr>
      <w:rPr>
        <w:rFonts w:hint="eastAsia" w:ascii="微软雅黑" w:hAnsi="微软雅黑" w:eastAsia="微软雅黑" w:cs="微软雅黑"/>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7">
    <w:nsid w:val="1C4FF78D"/>
    <w:multiLevelType w:val="singleLevel"/>
    <w:tmpl w:val="1C4FF78D"/>
    <w:lvl w:ilvl="0" w:tentative="0">
      <w:start w:val="1"/>
      <w:numFmt w:val="bullet"/>
      <w:pStyle w:val="10"/>
      <w:lvlText w:val=""/>
      <w:lvlJc w:val="left"/>
      <w:pPr>
        <w:tabs>
          <w:tab w:val="left" w:pos="360"/>
        </w:tabs>
        <w:ind w:left="360" w:hanging="360"/>
      </w:pPr>
      <w:rPr>
        <w:rFonts w:hint="default" w:ascii="Wingdings" w:hAnsi="Wingdings"/>
      </w:rPr>
    </w:lvl>
  </w:abstractNum>
  <w:abstractNum w:abstractNumId="18">
    <w:nsid w:val="1E7B065C"/>
    <w:multiLevelType w:val="multilevel"/>
    <w:tmpl w:val="1E7B065C"/>
    <w:lvl w:ilvl="0" w:tentative="0">
      <w:start w:val="1"/>
      <w:numFmt w:val="decimal"/>
      <w:pStyle w:val="174"/>
      <w:lvlText w:val="%1)"/>
      <w:lvlJc w:val="left"/>
      <w:pPr>
        <w:ind w:left="1695" w:hanging="420"/>
      </w:pPr>
    </w:lvl>
    <w:lvl w:ilvl="1" w:tentative="0">
      <w:start w:val="1"/>
      <w:numFmt w:val="lowerLetter"/>
      <w:lvlText w:val="%2)"/>
      <w:lvlJc w:val="left"/>
      <w:pPr>
        <w:ind w:left="2115" w:hanging="420"/>
      </w:pPr>
    </w:lvl>
    <w:lvl w:ilvl="2" w:tentative="0">
      <w:start w:val="1"/>
      <w:numFmt w:val="lowerRoman"/>
      <w:lvlText w:val="%3."/>
      <w:lvlJc w:val="right"/>
      <w:pPr>
        <w:ind w:left="2535" w:hanging="420"/>
      </w:pPr>
    </w:lvl>
    <w:lvl w:ilvl="3" w:tentative="0">
      <w:start w:val="1"/>
      <w:numFmt w:val="decimal"/>
      <w:lvlText w:val="%4."/>
      <w:lvlJc w:val="left"/>
      <w:pPr>
        <w:ind w:left="2955" w:hanging="420"/>
      </w:pPr>
    </w:lvl>
    <w:lvl w:ilvl="4" w:tentative="0">
      <w:start w:val="1"/>
      <w:numFmt w:val="lowerLetter"/>
      <w:lvlText w:val="%5)"/>
      <w:lvlJc w:val="left"/>
      <w:pPr>
        <w:ind w:left="3375" w:hanging="420"/>
      </w:pPr>
    </w:lvl>
    <w:lvl w:ilvl="5" w:tentative="0">
      <w:start w:val="1"/>
      <w:numFmt w:val="lowerRoman"/>
      <w:lvlText w:val="%6."/>
      <w:lvlJc w:val="right"/>
      <w:pPr>
        <w:ind w:left="3795" w:hanging="420"/>
      </w:pPr>
    </w:lvl>
    <w:lvl w:ilvl="6" w:tentative="0">
      <w:start w:val="1"/>
      <w:numFmt w:val="decimal"/>
      <w:lvlText w:val="%7."/>
      <w:lvlJc w:val="left"/>
      <w:pPr>
        <w:ind w:left="4215" w:hanging="420"/>
      </w:pPr>
    </w:lvl>
    <w:lvl w:ilvl="7" w:tentative="0">
      <w:start w:val="1"/>
      <w:numFmt w:val="lowerLetter"/>
      <w:lvlText w:val="%8)"/>
      <w:lvlJc w:val="left"/>
      <w:pPr>
        <w:ind w:left="4635" w:hanging="420"/>
      </w:pPr>
    </w:lvl>
    <w:lvl w:ilvl="8" w:tentative="0">
      <w:start w:val="1"/>
      <w:numFmt w:val="lowerRoman"/>
      <w:lvlText w:val="%9."/>
      <w:lvlJc w:val="right"/>
      <w:pPr>
        <w:ind w:left="5055" w:hanging="420"/>
      </w:pPr>
    </w:lvl>
  </w:abstractNum>
  <w:abstractNum w:abstractNumId="19">
    <w:nsid w:val="1FF12431"/>
    <w:multiLevelType w:val="multilevel"/>
    <w:tmpl w:val="1FF12431"/>
    <w:lvl w:ilvl="0" w:tentative="0">
      <w:start w:val="1"/>
      <w:numFmt w:val="decimalEnclosedCircle"/>
      <w:lvlText w:val="%1"/>
      <w:lvlJc w:val="left"/>
      <w:pPr>
        <w:ind w:left="900" w:hanging="4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0">
    <w:nsid w:val="207976A2"/>
    <w:multiLevelType w:val="multilevel"/>
    <w:tmpl w:val="207976A2"/>
    <w:lvl w:ilvl="0" w:tentative="0">
      <w:start w:val="1"/>
      <w:numFmt w:val="decimal"/>
      <w:lvlText w:val="%1"/>
      <w:lvlJc w:val="left"/>
      <w:pPr>
        <w:ind w:left="425" w:hanging="425"/>
      </w:pPr>
      <w:rPr>
        <w:rFonts w:hint="eastAsia"/>
      </w:rPr>
    </w:lvl>
    <w:lvl w:ilvl="1" w:tentative="0">
      <w:start w:val="1"/>
      <w:numFmt w:val="decimal"/>
      <w:lvlText w:val="5.%2"/>
      <w:lvlJc w:val="left"/>
      <w:pPr>
        <w:ind w:left="992" w:hanging="567"/>
      </w:pPr>
      <w:rPr>
        <w:rFonts w:hint="eastAsia"/>
        <w:b/>
        <w:bCs/>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1">
    <w:nsid w:val="210163F6"/>
    <w:multiLevelType w:val="multilevel"/>
    <w:tmpl w:val="210163F6"/>
    <w:lvl w:ilvl="0" w:tentative="0">
      <w:start w:val="1"/>
      <w:numFmt w:val="lowerLetter"/>
      <w:lvlText w:val="%1)"/>
      <w:lvlJc w:val="left"/>
      <w:pPr>
        <w:ind w:left="902" w:hanging="420"/>
      </w:pPr>
      <w:rPr>
        <w:rFonts w:cs="Times New Roman"/>
      </w:rPr>
    </w:lvl>
    <w:lvl w:ilvl="1" w:tentative="0">
      <w:start w:val="1"/>
      <w:numFmt w:val="lowerLetter"/>
      <w:lvlText w:val="%2)"/>
      <w:lvlJc w:val="left"/>
      <w:pPr>
        <w:ind w:left="1322" w:hanging="420"/>
      </w:pPr>
      <w:rPr>
        <w:rFonts w:cs="Times New Roman"/>
      </w:rPr>
    </w:lvl>
    <w:lvl w:ilvl="2" w:tentative="0">
      <w:start w:val="1"/>
      <w:numFmt w:val="lowerRoman"/>
      <w:lvlText w:val="%3."/>
      <w:lvlJc w:val="right"/>
      <w:pPr>
        <w:ind w:left="1742" w:hanging="420"/>
      </w:pPr>
      <w:rPr>
        <w:rFonts w:cs="Times New Roman"/>
      </w:rPr>
    </w:lvl>
    <w:lvl w:ilvl="3" w:tentative="0">
      <w:start w:val="1"/>
      <w:numFmt w:val="decimal"/>
      <w:lvlText w:val="%4."/>
      <w:lvlJc w:val="left"/>
      <w:pPr>
        <w:ind w:left="2162" w:hanging="420"/>
      </w:pPr>
      <w:rPr>
        <w:rFonts w:cs="Times New Roman"/>
      </w:rPr>
    </w:lvl>
    <w:lvl w:ilvl="4" w:tentative="0">
      <w:start w:val="1"/>
      <w:numFmt w:val="lowerLetter"/>
      <w:lvlText w:val="%5)"/>
      <w:lvlJc w:val="left"/>
      <w:pPr>
        <w:ind w:left="2582" w:hanging="420"/>
      </w:pPr>
      <w:rPr>
        <w:rFonts w:cs="Times New Roman"/>
      </w:rPr>
    </w:lvl>
    <w:lvl w:ilvl="5" w:tentative="0">
      <w:start w:val="1"/>
      <w:numFmt w:val="lowerRoman"/>
      <w:lvlText w:val="%6."/>
      <w:lvlJc w:val="right"/>
      <w:pPr>
        <w:ind w:left="3002" w:hanging="420"/>
      </w:pPr>
      <w:rPr>
        <w:rFonts w:cs="Times New Roman"/>
      </w:rPr>
    </w:lvl>
    <w:lvl w:ilvl="6" w:tentative="0">
      <w:start w:val="1"/>
      <w:numFmt w:val="decimal"/>
      <w:lvlText w:val="%7."/>
      <w:lvlJc w:val="left"/>
      <w:pPr>
        <w:ind w:left="3422" w:hanging="420"/>
      </w:pPr>
      <w:rPr>
        <w:rFonts w:cs="Times New Roman"/>
      </w:rPr>
    </w:lvl>
    <w:lvl w:ilvl="7" w:tentative="0">
      <w:start w:val="1"/>
      <w:numFmt w:val="lowerLetter"/>
      <w:lvlText w:val="%8)"/>
      <w:lvlJc w:val="left"/>
      <w:pPr>
        <w:ind w:left="3842" w:hanging="420"/>
      </w:pPr>
      <w:rPr>
        <w:rFonts w:cs="Times New Roman"/>
      </w:rPr>
    </w:lvl>
    <w:lvl w:ilvl="8" w:tentative="0">
      <w:start w:val="1"/>
      <w:numFmt w:val="lowerRoman"/>
      <w:lvlText w:val="%9."/>
      <w:lvlJc w:val="right"/>
      <w:pPr>
        <w:ind w:left="4262" w:hanging="420"/>
      </w:pPr>
      <w:rPr>
        <w:rFonts w:cs="Times New Roman"/>
      </w:rPr>
    </w:lvl>
  </w:abstractNum>
  <w:abstractNum w:abstractNumId="22">
    <w:nsid w:val="22C87A5E"/>
    <w:multiLevelType w:val="multilevel"/>
    <w:tmpl w:val="22C87A5E"/>
    <w:lvl w:ilvl="0" w:tentative="0">
      <w:start w:val="1"/>
      <w:numFmt w:val="decimalEnclosedCircle"/>
      <w:lvlText w:val="%1"/>
      <w:lvlJc w:val="left"/>
      <w:pPr>
        <w:ind w:left="900" w:hanging="4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3">
    <w:nsid w:val="280A5032"/>
    <w:multiLevelType w:val="multilevel"/>
    <w:tmpl w:val="280A5032"/>
    <w:lvl w:ilvl="0" w:tentative="0">
      <w:start w:val="1"/>
      <w:numFmt w:val="decimal"/>
      <w:lvlText w:val="%1"/>
      <w:lvlJc w:val="left"/>
      <w:pPr>
        <w:ind w:left="425" w:hanging="425"/>
      </w:pPr>
      <w:rPr>
        <w:rFonts w:hint="eastAsia"/>
      </w:rPr>
    </w:lvl>
    <w:lvl w:ilvl="1" w:tentative="0">
      <w:start w:val="1"/>
      <w:numFmt w:val="decimal"/>
      <w:lvlText w:val="%1.%2"/>
      <w:lvlJc w:val="left"/>
      <w:pPr>
        <w:ind w:left="992" w:hanging="567"/>
      </w:pPr>
      <w:rPr>
        <w:rFonts w:hint="eastAsia"/>
      </w:rPr>
    </w:lvl>
    <w:lvl w:ilvl="2" w:tentative="0">
      <w:start w:val="1"/>
      <w:numFmt w:val="decimal"/>
      <w:lvlText w:val="%1.6.%3"/>
      <w:lvlJc w:val="left"/>
      <w:pPr>
        <w:ind w:left="1418" w:hanging="567"/>
      </w:pPr>
      <w:rPr>
        <w:rFonts w:hint="eastAsia"/>
        <w:b/>
        <w:bCs/>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4">
    <w:nsid w:val="2DDF77A6"/>
    <w:multiLevelType w:val="multilevel"/>
    <w:tmpl w:val="2DDF77A6"/>
    <w:lvl w:ilvl="0" w:tentative="0">
      <w:start w:val="1"/>
      <w:numFmt w:val="lowerLetter"/>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5">
    <w:nsid w:val="2E05F77B"/>
    <w:multiLevelType w:val="singleLevel"/>
    <w:tmpl w:val="2E05F77B"/>
    <w:lvl w:ilvl="0" w:tentative="0">
      <w:start w:val="1"/>
      <w:numFmt w:val="bullet"/>
      <w:lvlText w:val=""/>
      <w:lvlJc w:val="left"/>
      <w:pPr>
        <w:ind w:left="420" w:hanging="420"/>
      </w:pPr>
      <w:rPr>
        <w:rFonts w:hint="default" w:ascii="Wingdings" w:hAnsi="Wingdings"/>
      </w:rPr>
    </w:lvl>
  </w:abstractNum>
  <w:abstractNum w:abstractNumId="26">
    <w:nsid w:val="2EEE1A1B"/>
    <w:multiLevelType w:val="multilevel"/>
    <w:tmpl w:val="2EEE1A1B"/>
    <w:lvl w:ilvl="0" w:tentative="0">
      <w:start w:val="1"/>
      <w:numFmt w:val="decimalEnclosedCircle"/>
      <w:lvlText w:val="%1"/>
      <w:lvlJc w:val="left"/>
      <w:pPr>
        <w:ind w:left="1129" w:hanging="420"/>
      </w:pPr>
      <w:rPr>
        <w:rFonts w:hint="default"/>
      </w:rPr>
    </w:lvl>
    <w:lvl w:ilvl="1" w:tentative="0">
      <w:start w:val="1"/>
      <w:numFmt w:val="lowerLetter"/>
      <w:lvlText w:val="%2)"/>
      <w:lvlJc w:val="left"/>
      <w:pPr>
        <w:ind w:left="1549" w:hanging="420"/>
      </w:pPr>
    </w:lvl>
    <w:lvl w:ilvl="2" w:tentative="0">
      <w:start w:val="1"/>
      <w:numFmt w:val="lowerRoman"/>
      <w:lvlText w:val="%3."/>
      <w:lvlJc w:val="right"/>
      <w:pPr>
        <w:ind w:left="1969" w:hanging="420"/>
      </w:pPr>
    </w:lvl>
    <w:lvl w:ilvl="3" w:tentative="0">
      <w:start w:val="1"/>
      <w:numFmt w:val="decimal"/>
      <w:lvlText w:val="%4."/>
      <w:lvlJc w:val="left"/>
      <w:pPr>
        <w:ind w:left="2389" w:hanging="420"/>
      </w:pPr>
    </w:lvl>
    <w:lvl w:ilvl="4" w:tentative="0">
      <w:start w:val="1"/>
      <w:numFmt w:val="lowerLetter"/>
      <w:lvlText w:val="%5)"/>
      <w:lvlJc w:val="left"/>
      <w:pPr>
        <w:ind w:left="2809" w:hanging="420"/>
      </w:pPr>
    </w:lvl>
    <w:lvl w:ilvl="5" w:tentative="0">
      <w:start w:val="1"/>
      <w:numFmt w:val="lowerRoman"/>
      <w:lvlText w:val="%6."/>
      <w:lvlJc w:val="right"/>
      <w:pPr>
        <w:ind w:left="3229" w:hanging="420"/>
      </w:pPr>
    </w:lvl>
    <w:lvl w:ilvl="6" w:tentative="0">
      <w:start w:val="1"/>
      <w:numFmt w:val="decimal"/>
      <w:lvlText w:val="%7."/>
      <w:lvlJc w:val="left"/>
      <w:pPr>
        <w:ind w:left="3649" w:hanging="420"/>
      </w:pPr>
    </w:lvl>
    <w:lvl w:ilvl="7" w:tentative="0">
      <w:start w:val="1"/>
      <w:numFmt w:val="lowerLetter"/>
      <w:lvlText w:val="%8)"/>
      <w:lvlJc w:val="left"/>
      <w:pPr>
        <w:ind w:left="4069" w:hanging="420"/>
      </w:pPr>
    </w:lvl>
    <w:lvl w:ilvl="8" w:tentative="0">
      <w:start w:val="1"/>
      <w:numFmt w:val="lowerRoman"/>
      <w:lvlText w:val="%9."/>
      <w:lvlJc w:val="right"/>
      <w:pPr>
        <w:ind w:left="4489" w:hanging="420"/>
      </w:pPr>
    </w:lvl>
  </w:abstractNum>
  <w:abstractNum w:abstractNumId="27">
    <w:nsid w:val="364653CC"/>
    <w:multiLevelType w:val="multilevel"/>
    <w:tmpl w:val="364653CC"/>
    <w:lvl w:ilvl="0" w:tentative="0">
      <w:start w:val="1"/>
      <w:numFmt w:val="decimalEnclosedCircle"/>
      <w:lvlText w:val="%1"/>
      <w:lvlJc w:val="left"/>
      <w:pPr>
        <w:ind w:left="659" w:hanging="420"/>
      </w:pPr>
      <w:rPr>
        <w:rFonts w:hint="default"/>
      </w:rPr>
    </w:lvl>
    <w:lvl w:ilvl="1" w:tentative="0">
      <w:start w:val="1"/>
      <w:numFmt w:val="lowerLetter"/>
      <w:lvlText w:val="%2)"/>
      <w:lvlJc w:val="left"/>
      <w:pPr>
        <w:ind w:left="1079" w:hanging="420"/>
      </w:pPr>
    </w:lvl>
    <w:lvl w:ilvl="2" w:tentative="0">
      <w:start w:val="1"/>
      <w:numFmt w:val="lowerRoman"/>
      <w:lvlText w:val="%3."/>
      <w:lvlJc w:val="right"/>
      <w:pPr>
        <w:ind w:left="1499" w:hanging="420"/>
      </w:pPr>
    </w:lvl>
    <w:lvl w:ilvl="3" w:tentative="0">
      <w:start w:val="1"/>
      <w:numFmt w:val="decimal"/>
      <w:lvlText w:val="%4."/>
      <w:lvlJc w:val="left"/>
      <w:pPr>
        <w:ind w:left="1919" w:hanging="420"/>
      </w:pPr>
    </w:lvl>
    <w:lvl w:ilvl="4" w:tentative="0">
      <w:start w:val="1"/>
      <w:numFmt w:val="lowerLetter"/>
      <w:lvlText w:val="%5)"/>
      <w:lvlJc w:val="left"/>
      <w:pPr>
        <w:ind w:left="2339" w:hanging="420"/>
      </w:pPr>
    </w:lvl>
    <w:lvl w:ilvl="5" w:tentative="0">
      <w:start w:val="1"/>
      <w:numFmt w:val="lowerRoman"/>
      <w:lvlText w:val="%6."/>
      <w:lvlJc w:val="right"/>
      <w:pPr>
        <w:ind w:left="2759" w:hanging="420"/>
      </w:pPr>
    </w:lvl>
    <w:lvl w:ilvl="6" w:tentative="0">
      <w:start w:val="1"/>
      <w:numFmt w:val="decimal"/>
      <w:lvlText w:val="%7."/>
      <w:lvlJc w:val="left"/>
      <w:pPr>
        <w:ind w:left="3179" w:hanging="420"/>
      </w:pPr>
    </w:lvl>
    <w:lvl w:ilvl="7" w:tentative="0">
      <w:start w:val="1"/>
      <w:numFmt w:val="lowerLetter"/>
      <w:lvlText w:val="%8)"/>
      <w:lvlJc w:val="left"/>
      <w:pPr>
        <w:ind w:left="3599" w:hanging="420"/>
      </w:pPr>
    </w:lvl>
    <w:lvl w:ilvl="8" w:tentative="0">
      <w:start w:val="1"/>
      <w:numFmt w:val="lowerRoman"/>
      <w:lvlText w:val="%9."/>
      <w:lvlJc w:val="right"/>
      <w:pPr>
        <w:ind w:left="4019" w:hanging="420"/>
      </w:pPr>
    </w:lvl>
  </w:abstractNum>
  <w:abstractNum w:abstractNumId="28">
    <w:nsid w:val="36533AAC"/>
    <w:multiLevelType w:val="multilevel"/>
    <w:tmpl w:val="36533AAC"/>
    <w:lvl w:ilvl="0" w:tentative="0">
      <w:start w:val="1"/>
      <w:numFmt w:val="decimal"/>
      <w:lvlText w:val="%1."/>
      <w:lvlJc w:val="left"/>
      <w:pPr>
        <w:ind w:left="1320" w:hanging="420"/>
      </w:pPr>
    </w:lvl>
    <w:lvl w:ilvl="1" w:tentative="0">
      <w:start w:val="1"/>
      <w:numFmt w:val="lowerLetter"/>
      <w:lvlText w:val="%2)"/>
      <w:lvlJc w:val="left"/>
      <w:pPr>
        <w:ind w:left="1740" w:hanging="420"/>
      </w:pPr>
    </w:lvl>
    <w:lvl w:ilvl="2" w:tentative="0">
      <w:start w:val="1"/>
      <w:numFmt w:val="lowerRoman"/>
      <w:lvlText w:val="%3."/>
      <w:lvlJc w:val="right"/>
      <w:pPr>
        <w:ind w:left="2160" w:hanging="420"/>
      </w:pPr>
    </w:lvl>
    <w:lvl w:ilvl="3" w:tentative="0">
      <w:start w:val="1"/>
      <w:numFmt w:val="decimal"/>
      <w:lvlText w:val="%4."/>
      <w:lvlJc w:val="left"/>
      <w:pPr>
        <w:ind w:left="2580" w:hanging="420"/>
      </w:pPr>
    </w:lvl>
    <w:lvl w:ilvl="4" w:tentative="0">
      <w:start w:val="1"/>
      <w:numFmt w:val="lowerLetter"/>
      <w:lvlText w:val="%5)"/>
      <w:lvlJc w:val="left"/>
      <w:pPr>
        <w:ind w:left="3000" w:hanging="420"/>
      </w:pPr>
    </w:lvl>
    <w:lvl w:ilvl="5" w:tentative="0">
      <w:start w:val="1"/>
      <w:numFmt w:val="lowerRoman"/>
      <w:lvlText w:val="%6."/>
      <w:lvlJc w:val="right"/>
      <w:pPr>
        <w:ind w:left="3420" w:hanging="420"/>
      </w:pPr>
    </w:lvl>
    <w:lvl w:ilvl="6" w:tentative="0">
      <w:start w:val="1"/>
      <w:numFmt w:val="decimal"/>
      <w:lvlText w:val="%7."/>
      <w:lvlJc w:val="left"/>
      <w:pPr>
        <w:ind w:left="3840" w:hanging="420"/>
      </w:pPr>
    </w:lvl>
    <w:lvl w:ilvl="7" w:tentative="0">
      <w:start w:val="1"/>
      <w:numFmt w:val="lowerLetter"/>
      <w:lvlText w:val="%8)"/>
      <w:lvlJc w:val="left"/>
      <w:pPr>
        <w:ind w:left="4260" w:hanging="420"/>
      </w:pPr>
    </w:lvl>
    <w:lvl w:ilvl="8" w:tentative="0">
      <w:start w:val="1"/>
      <w:numFmt w:val="lowerRoman"/>
      <w:lvlText w:val="%9."/>
      <w:lvlJc w:val="right"/>
      <w:pPr>
        <w:ind w:left="4680" w:hanging="420"/>
      </w:pPr>
    </w:lvl>
  </w:abstractNum>
  <w:abstractNum w:abstractNumId="29">
    <w:nsid w:val="365B0F6A"/>
    <w:multiLevelType w:val="multilevel"/>
    <w:tmpl w:val="365B0F6A"/>
    <w:lvl w:ilvl="0" w:tentative="0">
      <w:start w:val="1"/>
      <w:numFmt w:val="decimal"/>
      <w:lvlText w:val="%1"/>
      <w:lvlJc w:val="left"/>
      <w:pPr>
        <w:ind w:left="425" w:hanging="425"/>
      </w:pPr>
      <w:rPr>
        <w:rFonts w:hint="eastAsia"/>
      </w:rPr>
    </w:lvl>
    <w:lvl w:ilvl="1" w:tentative="0">
      <w:start w:val="1"/>
      <w:numFmt w:val="decimal"/>
      <w:lvlText w:val="4.%2"/>
      <w:lvlJc w:val="left"/>
      <w:pPr>
        <w:ind w:left="992" w:hanging="567"/>
      </w:pPr>
      <w:rPr>
        <w:rFonts w:hint="eastAsia"/>
        <w:b/>
        <w:bCs/>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30">
    <w:nsid w:val="39CD2E3E"/>
    <w:multiLevelType w:val="multilevel"/>
    <w:tmpl w:val="39CD2E3E"/>
    <w:lvl w:ilvl="0" w:tentative="0">
      <w:start w:val="1"/>
      <w:numFmt w:val="decimalEnclosedCircle"/>
      <w:lvlText w:val="%1"/>
      <w:lvlJc w:val="left"/>
      <w:pPr>
        <w:ind w:left="900" w:hanging="4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1">
    <w:nsid w:val="3A800D70"/>
    <w:multiLevelType w:val="multilevel"/>
    <w:tmpl w:val="3A800D70"/>
    <w:lvl w:ilvl="0" w:tentative="0">
      <w:start w:val="1"/>
      <w:numFmt w:val="decimal"/>
      <w:lvlText w:val="%1."/>
      <w:lvlJc w:val="left"/>
      <w:pPr>
        <w:ind w:left="900" w:hanging="420"/>
      </w:pPr>
    </w:lvl>
    <w:lvl w:ilvl="1" w:tentative="0">
      <w:start w:val="1"/>
      <w:numFmt w:val="decimal"/>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2">
    <w:nsid w:val="4AD46C3D"/>
    <w:multiLevelType w:val="multilevel"/>
    <w:tmpl w:val="4AD46C3D"/>
    <w:lvl w:ilvl="0" w:tentative="0">
      <w:start w:val="1"/>
      <w:numFmt w:val="decimalEnclosedCircle"/>
      <w:lvlText w:val="%1"/>
      <w:lvlJc w:val="left"/>
      <w:pPr>
        <w:ind w:left="900" w:hanging="4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3">
    <w:nsid w:val="4BC33580"/>
    <w:multiLevelType w:val="multilevel"/>
    <w:tmpl w:val="4BC33580"/>
    <w:lvl w:ilvl="0" w:tentative="0">
      <w:start w:val="1"/>
      <w:numFmt w:val="decimalEnclosedCircle"/>
      <w:lvlText w:val="%1"/>
      <w:lvlJc w:val="left"/>
      <w:pPr>
        <w:ind w:left="900" w:hanging="4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4">
    <w:nsid w:val="4CB32FC8"/>
    <w:multiLevelType w:val="multilevel"/>
    <w:tmpl w:val="4CB32FC8"/>
    <w:lvl w:ilvl="0" w:tentative="0">
      <w:start w:val="1"/>
      <w:numFmt w:val="upperLetter"/>
      <w:pStyle w:val="6"/>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5">
    <w:nsid w:val="50AC0C1C"/>
    <w:multiLevelType w:val="multilevel"/>
    <w:tmpl w:val="50AC0C1C"/>
    <w:lvl w:ilvl="0" w:tentative="0">
      <w:start w:val="1"/>
      <w:numFmt w:val="decimalEnclosedCircle"/>
      <w:lvlText w:val="%1"/>
      <w:lvlJc w:val="left"/>
      <w:pPr>
        <w:ind w:left="661" w:hanging="420"/>
      </w:pPr>
      <w:rPr>
        <w:rFonts w:hint="default"/>
      </w:rPr>
    </w:lvl>
    <w:lvl w:ilvl="1" w:tentative="0">
      <w:start w:val="1"/>
      <w:numFmt w:val="lowerLetter"/>
      <w:lvlText w:val="%2)"/>
      <w:lvlJc w:val="left"/>
      <w:pPr>
        <w:ind w:left="1081" w:hanging="420"/>
      </w:pPr>
    </w:lvl>
    <w:lvl w:ilvl="2" w:tentative="0">
      <w:start w:val="1"/>
      <w:numFmt w:val="lowerRoman"/>
      <w:lvlText w:val="%3."/>
      <w:lvlJc w:val="right"/>
      <w:pPr>
        <w:ind w:left="1501" w:hanging="420"/>
      </w:pPr>
    </w:lvl>
    <w:lvl w:ilvl="3" w:tentative="0">
      <w:start w:val="1"/>
      <w:numFmt w:val="decimal"/>
      <w:lvlText w:val="%4."/>
      <w:lvlJc w:val="left"/>
      <w:pPr>
        <w:ind w:left="1921" w:hanging="420"/>
      </w:pPr>
    </w:lvl>
    <w:lvl w:ilvl="4" w:tentative="0">
      <w:start w:val="1"/>
      <w:numFmt w:val="lowerLetter"/>
      <w:lvlText w:val="%5)"/>
      <w:lvlJc w:val="left"/>
      <w:pPr>
        <w:ind w:left="2341" w:hanging="420"/>
      </w:pPr>
    </w:lvl>
    <w:lvl w:ilvl="5" w:tentative="0">
      <w:start w:val="1"/>
      <w:numFmt w:val="lowerRoman"/>
      <w:lvlText w:val="%6."/>
      <w:lvlJc w:val="right"/>
      <w:pPr>
        <w:ind w:left="2761" w:hanging="420"/>
      </w:pPr>
    </w:lvl>
    <w:lvl w:ilvl="6" w:tentative="0">
      <w:start w:val="1"/>
      <w:numFmt w:val="decimal"/>
      <w:lvlText w:val="%7."/>
      <w:lvlJc w:val="left"/>
      <w:pPr>
        <w:ind w:left="3181" w:hanging="420"/>
      </w:pPr>
    </w:lvl>
    <w:lvl w:ilvl="7" w:tentative="0">
      <w:start w:val="1"/>
      <w:numFmt w:val="lowerLetter"/>
      <w:lvlText w:val="%8)"/>
      <w:lvlJc w:val="left"/>
      <w:pPr>
        <w:ind w:left="3601" w:hanging="420"/>
      </w:pPr>
    </w:lvl>
    <w:lvl w:ilvl="8" w:tentative="0">
      <w:start w:val="1"/>
      <w:numFmt w:val="lowerRoman"/>
      <w:lvlText w:val="%9."/>
      <w:lvlJc w:val="right"/>
      <w:pPr>
        <w:ind w:left="4021" w:hanging="420"/>
      </w:pPr>
    </w:lvl>
  </w:abstractNum>
  <w:abstractNum w:abstractNumId="36">
    <w:nsid w:val="520018B0"/>
    <w:multiLevelType w:val="multilevel"/>
    <w:tmpl w:val="520018B0"/>
    <w:lvl w:ilvl="0" w:tentative="0">
      <w:start w:val="1"/>
      <w:numFmt w:val="decimal"/>
      <w:pStyle w:val="159"/>
      <w:lvlText w:val="%1."/>
      <w:lvlJc w:val="left"/>
      <w:pPr>
        <w:ind w:left="1260" w:hanging="420"/>
      </w:pPr>
      <w:rPr>
        <w:b w:val="0"/>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37">
    <w:nsid w:val="529F6AC8"/>
    <w:multiLevelType w:val="multilevel"/>
    <w:tmpl w:val="529F6AC8"/>
    <w:lvl w:ilvl="0" w:tentative="0">
      <w:start w:val="1"/>
      <w:numFmt w:val="lowerLetter"/>
      <w:pStyle w:val="209"/>
      <w:lvlText w:val="%1)"/>
      <w:lvlJc w:val="left"/>
      <w:pPr>
        <w:ind w:left="820" w:hanging="420"/>
      </w:pPr>
    </w:lvl>
    <w:lvl w:ilvl="1" w:tentative="0">
      <w:start w:val="1"/>
      <w:numFmt w:val="lowerLetter"/>
      <w:lvlText w:val="%2)"/>
      <w:lvlJc w:val="left"/>
      <w:pPr>
        <w:ind w:left="1240" w:hanging="420"/>
      </w:pPr>
    </w:lvl>
    <w:lvl w:ilvl="2" w:tentative="0">
      <w:start w:val="1"/>
      <w:numFmt w:val="lowerRoman"/>
      <w:lvlText w:val="%3."/>
      <w:lvlJc w:val="right"/>
      <w:pPr>
        <w:ind w:left="1660" w:hanging="420"/>
      </w:pPr>
    </w:lvl>
    <w:lvl w:ilvl="3" w:tentative="0">
      <w:start w:val="1"/>
      <w:numFmt w:val="decimal"/>
      <w:lvlText w:val="%4."/>
      <w:lvlJc w:val="left"/>
      <w:pPr>
        <w:ind w:left="2080" w:hanging="420"/>
      </w:pPr>
    </w:lvl>
    <w:lvl w:ilvl="4" w:tentative="0">
      <w:start w:val="1"/>
      <w:numFmt w:val="lowerLetter"/>
      <w:lvlText w:val="%5)"/>
      <w:lvlJc w:val="left"/>
      <w:pPr>
        <w:ind w:left="2500" w:hanging="420"/>
      </w:pPr>
    </w:lvl>
    <w:lvl w:ilvl="5" w:tentative="0">
      <w:start w:val="1"/>
      <w:numFmt w:val="lowerRoman"/>
      <w:lvlText w:val="%6."/>
      <w:lvlJc w:val="right"/>
      <w:pPr>
        <w:ind w:left="2920" w:hanging="420"/>
      </w:pPr>
    </w:lvl>
    <w:lvl w:ilvl="6" w:tentative="0">
      <w:start w:val="1"/>
      <w:numFmt w:val="decimal"/>
      <w:lvlText w:val="%7."/>
      <w:lvlJc w:val="left"/>
      <w:pPr>
        <w:ind w:left="3340" w:hanging="420"/>
      </w:pPr>
    </w:lvl>
    <w:lvl w:ilvl="7" w:tentative="0">
      <w:start w:val="1"/>
      <w:numFmt w:val="lowerLetter"/>
      <w:lvlText w:val="%8)"/>
      <w:lvlJc w:val="left"/>
      <w:pPr>
        <w:ind w:left="3760" w:hanging="420"/>
      </w:pPr>
    </w:lvl>
    <w:lvl w:ilvl="8" w:tentative="0">
      <w:start w:val="1"/>
      <w:numFmt w:val="lowerRoman"/>
      <w:lvlText w:val="%9."/>
      <w:lvlJc w:val="right"/>
      <w:pPr>
        <w:ind w:left="4180" w:hanging="420"/>
      </w:pPr>
    </w:lvl>
  </w:abstractNum>
  <w:abstractNum w:abstractNumId="38">
    <w:nsid w:val="554D3084"/>
    <w:multiLevelType w:val="multilevel"/>
    <w:tmpl w:val="554D3084"/>
    <w:lvl w:ilvl="0" w:tentative="0">
      <w:start w:val="1"/>
      <w:numFmt w:val="decimalEnclosedCircle"/>
      <w:lvlText w:val="%1"/>
      <w:lvlJc w:val="left"/>
      <w:pPr>
        <w:ind w:left="900" w:hanging="4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9">
    <w:nsid w:val="560F40FB"/>
    <w:multiLevelType w:val="multilevel"/>
    <w:tmpl w:val="560F40FB"/>
    <w:lvl w:ilvl="0" w:tentative="0">
      <w:start w:val="1"/>
      <w:numFmt w:val="lowerLetter"/>
      <w:pStyle w:val="179"/>
      <w:lvlText w:val="%1)"/>
      <w:lvlJc w:val="left"/>
      <w:pPr>
        <w:ind w:left="1260" w:hanging="420"/>
      </w:p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40">
    <w:nsid w:val="56D20133"/>
    <w:multiLevelType w:val="multilevel"/>
    <w:tmpl w:val="56D20133"/>
    <w:lvl w:ilvl="0" w:tentative="0">
      <w:start w:val="1"/>
      <w:numFmt w:val="chineseCountingThousand"/>
      <w:pStyle w:val="158"/>
      <w:lvlText w:val="(%1)"/>
      <w:lvlJc w:val="left"/>
      <w:pPr>
        <w:ind w:left="1130" w:hanging="420"/>
      </w:pPr>
      <w:rPr>
        <w:rFonts w:hint="eastAsia"/>
        <w:b/>
      </w:rPr>
    </w:lvl>
    <w:lvl w:ilvl="1" w:tentative="0">
      <w:start w:val="1"/>
      <w:numFmt w:val="decimal"/>
      <w:lvlText w:val="%2."/>
      <w:lvlJc w:val="left"/>
      <w:pPr>
        <w:ind w:left="1200" w:hanging="360"/>
      </w:pPr>
      <w:rPr>
        <w:rFonts w:hint="default"/>
        <w:b w:val="0"/>
      </w:rPr>
    </w:lvl>
    <w:lvl w:ilvl="2" w:tentative="0">
      <w:start w:val="1"/>
      <w:numFmt w:val="lowerRoman"/>
      <w:lvlText w:val="%3."/>
      <w:lvlJc w:val="right"/>
      <w:pPr>
        <w:ind w:left="1680" w:hanging="420"/>
      </w:pPr>
      <w:rPr>
        <w:rFonts w:hint="eastAsia"/>
      </w:rPr>
    </w:lvl>
    <w:lvl w:ilvl="3" w:tentative="0">
      <w:start w:val="1"/>
      <w:numFmt w:val="decimal"/>
      <w:lvlText w:val="（%4）"/>
      <w:lvlJc w:val="left"/>
      <w:pPr>
        <w:ind w:left="2400" w:hanging="720"/>
      </w:pPr>
      <w:rPr>
        <w:rFonts w:hint="default"/>
      </w:rPr>
    </w:lvl>
    <w:lvl w:ilvl="4" w:tentative="0">
      <w:start w:val="1"/>
      <w:numFmt w:val="lowerLetter"/>
      <w:lvlText w:val="%5)"/>
      <w:lvlJc w:val="left"/>
      <w:pPr>
        <w:ind w:left="2520" w:hanging="420"/>
      </w:pPr>
      <w:rPr>
        <w:rFonts w:hint="eastAsia"/>
      </w:rPr>
    </w:lvl>
    <w:lvl w:ilvl="5" w:tentative="0">
      <w:start w:val="1"/>
      <w:numFmt w:val="lowerRoman"/>
      <w:lvlText w:val="%6."/>
      <w:lvlJc w:val="right"/>
      <w:pPr>
        <w:ind w:left="2940" w:hanging="420"/>
      </w:pPr>
      <w:rPr>
        <w:rFonts w:hint="eastAsia"/>
      </w:rPr>
    </w:lvl>
    <w:lvl w:ilvl="6" w:tentative="0">
      <w:start w:val="1"/>
      <w:numFmt w:val="decimal"/>
      <w:lvlText w:val="%7."/>
      <w:lvlJc w:val="left"/>
      <w:pPr>
        <w:ind w:left="3360" w:hanging="420"/>
      </w:pPr>
      <w:rPr>
        <w:rFonts w:hint="eastAsia"/>
      </w:rPr>
    </w:lvl>
    <w:lvl w:ilvl="7" w:tentative="0">
      <w:start w:val="1"/>
      <w:numFmt w:val="lowerLetter"/>
      <w:lvlText w:val="%8)"/>
      <w:lvlJc w:val="left"/>
      <w:pPr>
        <w:ind w:left="3780" w:hanging="420"/>
      </w:pPr>
      <w:rPr>
        <w:rFonts w:hint="eastAsia"/>
      </w:rPr>
    </w:lvl>
    <w:lvl w:ilvl="8" w:tentative="0">
      <w:start w:val="1"/>
      <w:numFmt w:val="lowerRoman"/>
      <w:lvlText w:val="%9."/>
      <w:lvlJc w:val="right"/>
      <w:pPr>
        <w:ind w:left="4200" w:hanging="420"/>
      </w:pPr>
      <w:rPr>
        <w:rFonts w:hint="eastAsia"/>
      </w:rPr>
    </w:lvl>
  </w:abstractNum>
  <w:abstractNum w:abstractNumId="41">
    <w:nsid w:val="5709372D"/>
    <w:multiLevelType w:val="multilevel"/>
    <w:tmpl w:val="5709372D"/>
    <w:lvl w:ilvl="0" w:tentative="0">
      <w:start w:val="1"/>
      <w:numFmt w:val="decimal"/>
      <w:lvlText w:val="%1"/>
      <w:lvlJc w:val="left"/>
      <w:pPr>
        <w:ind w:left="425" w:hanging="425"/>
      </w:pPr>
      <w:rPr>
        <w:rFonts w:hint="eastAsia"/>
      </w:rPr>
    </w:lvl>
    <w:lvl w:ilvl="1" w:tentative="0">
      <w:start w:val="1"/>
      <w:numFmt w:val="decimal"/>
      <w:lvlText w:val="%1.%2"/>
      <w:lvlJc w:val="left"/>
      <w:pPr>
        <w:ind w:left="992" w:hanging="567"/>
      </w:pPr>
      <w:rPr>
        <w:rFonts w:hint="eastAsia"/>
      </w:rPr>
    </w:lvl>
    <w:lvl w:ilvl="2" w:tentative="0">
      <w:start w:val="1"/>
      <w:numFmt w:val="decimal"/>
      <w:lvlText w:val="5.%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2">
    <w:nsid w:val="58EF0605"/>
    <w:multiLevelType w:val="multilevel"/>
    <w:tmpl w:val="58EF0605"/>
    <w:lvl w:ilvl="0" w:tentative="0">
      <w:start w:val="1"/>
      <w:numFmt w:val="decimal"/>
      <w:lvlText w:val="%1"/>
      <w:lvlJc w:val="left"/>
      <w:pPr>
        <w:ind w:left="425" w:hanging="425"/>
      </w:pPr>
      <w:rPr>
        <w:rFonts w:hint="eastAsia"/>
      </w:rPr>
    </w:lvl>
    <w:lvl w:ilvl="1" w:tentative="0">
      <w:start w:val="1"/>
      <w:numFmt w:val="decimal"/>
      <w:lvlText w:val="%1.%2"/>
      <w:lvlJc w:val="left"/>
      <w:pPr>
        <w:ind w:left="992" w:hanging="567"/>
      </w:pPr>
      <w:rPr>
        <w:rFonts w:hint="eastAsia"/>
        <w:b/>
        <w:bCs/>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3">
    <w:nsid w:val="5CE7469F"/>
    <w:multiLevelType w:val="multilevel"/>
    <w:tmpl w:val="5CE7469F"/>
    <w:lvl w:ilvl="0" w:tentative="0">
      <w:start w:val="1"/>
      <w:numFmt w:val="decimal"/>
      <w:lvlText w:val="%1"/>
      <w:lvlJc w:val="left"/>
      <w:pPr>
        <w:ind w:left="425" w:hanging="425"/>
      </w:pPr>
      <w:rPr>
        <w:rFonts w:hint="eastAsia"/>
      </w:rPr>
    </w:lvl>
    <w:lvl w:ilvl="1" w:tentative="0">
      <w:start w:val="1"/>
      <w:numFmt w:val="decimal"/>
      <w:lvlText w:val="2.%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4">
    <w:nsid w:val="63214475"/>
    <w:multiLevelType w:val="multilevel"/>
    <w:tmpl w:val="63214475"/>
    <w:lvl w:ilvl="0" w:tentative="0">
      <w:start w:val="1"/>
      <w:numFmt w:val="decimalEnclosedCircle"/>
      <w:lvlText w:val="%1"/>
      <w:lvlJc w:val="left"/>
      <w:pPr>
        <w:ind w:left="900" w:hanging="4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5">
    <w:nsid w:val="656A6EAE"/>
    <w:multiLevelType w:val="multilevel"/>
    <w:tmpl w:val="656A6EAE"/>
    <w:lvl w:ilvl="0" w:tentative="0">
      <w:start w:val="1"/>
      <w:numFmt w:val="chineseCountingThousand"/>
      <w:pStyle w:val="157"/>
      <w:suff w:val="nothing"/>
      <w:lvlText w:val="%1、"/>
      <w:lvlJc w:val="left"/>
      <w:pPr>
        <w:ind w:left="2972" w:hanging="420"/>
      </w:pPr>
      <w:rPr>
        <w:rFonts w:hint="eastAsia" w:ascii="黑体" w:hAnsi="黑体" w:eastAsia="黑体"/>
        <w:sz w:val="28"/>
        <w:szCs w:val="28"/>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46">
    <w:nsid w:val="6726D0E9"/>
    <w:multiLevelType w:val="singleLevel"/>
    <w:tmpl w:val="6726D0E9"/>
    <w:lvl w:ilvl="0" w:tentative="0">
      <w:start w:val="1"/>
      <w:numFmt w:val="decimal"/>
      <w:suff w:val="nothing"/>
      <w:lvlText w:val="%1、"/>
      <w:lvlJc w:val="left"/>
    </w:lvl>
  </w:abstractNum>
  <w:abstractNum w:abstractNumId="47">
    <w:nsid w:val="68E32713"/>
    <w:multiLevelType w:val="multilevel"/>
    <w:tmpl w:val="68E32713"/>
    <w:lvl w:ilvl="0" w:tentative="0">
      <w:start w:val="1"/>
      <w:numFmt w:val="decimalEnclosedCircle"/>
      <w:lvlText w:val="%1"/>
      <w:lvlJc w:val="left"/>
      <w:pPr>
        <w:ind w:left="900" w:hanging="420"/>
      </w:pPr>
      <w:rPr>
        <w:rFonts w:hint="default"/>
      </w:rPr>
    </w:lvl>
    <w:lvl w:ilvl="1" w:tentative="0">
      <w:start w:val="1"/>
      <w:numFmt w:val="decimalEnclosedCircle"/>
      <w:lvlText w:val="%2"/>
      <w:lvlJc w:val="left"/>
      <w:pPr>
        <w:ind w:left="1320" w:hanging="42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8">
    <w:nsid w:val="6E8C6948"/>
    <w:multiLevelType w:val="singleLevel"/>
    <w:tmpl w:val="6E8C6948"/>
    <w:lvl w:ilvl="0" w:tentative="0">
      <w:start w:val="1"/>
      <w:numFmt w:val="chineseCounting"/>
      <w:suff w:val="space"/>
      <w:lvlText w:val="第%1部分"/>
      <w:lvlJc w:val="left"/>
      <w:rPr>
        <w:rFonts w:hint="eastAsia"/>
      </w:rPr>
    </w:lvl>
  </w:abstractNum>
  <w:abstractNum w:abstractNumId="49">
    <w:nsid w:val="71312DB1"/>
    <w:multiLevelType w:val="multilevel"/>
    <w:tmpl w:val="71312DB1"/>
    <w:lvl w:ilvl="0" w:tentative="0">
      <w:start w:val="1"/>
      <w:numFmt w:val="decimal"/>
      <w:lvlText w:val="%1"/>
      <w:lvlJc w:val="left"/>
      <w:pPr>
        <w:ind w:left="425" w:hanging="425"/>
      </w:pPr>
      <w:rPr>
        <w:rFonts w:hint="eastAsia"/>
      </w:rPr>
    </w:lvl>
    <w:lvl w:ilvl="1" w:tentative="0">
      <w:start w:val="1"/>
      <w:numFmt w:val="decimal"/>
      <w:lvlText w:val="4.%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50">
    <w:nsid w:val="7A612DE2"/>
    <w:multiLevelType w:val="singleLevel"/>
    <w:tmpl w:val="7A612DE2"/>
    <w:lvl w:ilvl="0" w:tentative="0">
      <w:start w:val="2"/>
      <w:numFmt w:val="decimal"/>
      <w:lvlText w:val="%1."/>
      <w:lvlJc w:val="left"/>
      <w:pPr>
        <w:tabs>
          <w:tab w:val="left" w:pos="312"/>
        </w:tabs>
      </w:pPr>
    </w:lvl>
  </w:abstractNum>
  <w:abstractNum w:abstractNumId="51">
    <w:nsid w:val="7CD70742"/>
    <w:multiLevelType w:val="multilevel"/>
    <w:tmpl w:val="7CD70742"/>
    <w:lvl w:ilvl="0" w:tentative="0">
      <w:start w:val="1"/>
      <w:numFmt w:val="decimal"/>
      <w:lvlText w:val="%1"/>
      <w:lvlJc w:val="left"/>
      <w:pPr>
        <w:ind w:left="425" w:hanging="425"/>
      </w:pPr>
      <w:rPr>
        <w:rFonts w:hint="eastAsia"/>
      </w:rPr>
    </w:lvl>
    <w:lvl w:ilvl="1" w:tentative="0">
      <w:start w:val="1"/>
      <w:numFmt w:val="decimal"/>
      <w:lvlText w:val="2.%2"/>
      <w:lvlJc w:val="left"/>
      <w:pPr>
        <w:ind w:left="992" w:hanging="567"/>
      </w:pPr>
      <w:rPr>
        <w:rFonts w:hint="eastAsia"/>
        <w:b/>
        <w:bCs/>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52">
    <w:nsid w:val="7D741DF9"/>
    <w:multiLevelType w:val="multilevel"/>
    <w:tmpl w:val="7D741DF9"/>
    <w:lvl w:ilvl="0" w:tentative="0">
      <w:start w:val="1"/>
      <w:numFmt w:val="decimalEnclosedCircle"/>
      <w:lvlText w:val="%1"/>
      <w:lvlJc w:val="left"/>
      <w:pPr>
        <w:ind w:left="900" w:hanging="4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53">
    <w:nsid w:val="7FA07F5C"/>
    <w:multiLevelType w:val="multilevel"/>
    <w:tmpl w:val="7FA07F5C"/>
    <w:lvl w:ilvl="0" w:tentative="0">
      <w:start w:val="1"/>
      <w:numFmt w:val="lowerLetter"/>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34"/>
  </w:num>
  <w:num w:numId="2">
    <w:abstractNumId w:val="17"/>
  </w:num>
  <w:num w:numId="3">
    <w:abstractNumId w:val="45"/>
  </w:num>
  <w:num w:numId="4">
    <w:abstractNumId w:val="40"/>
  </w:num>
  <w:num w:numId="5">
    <w:abstractNumId w:val="36"/>
  </w:num>
  <w:num w:numId="6">
    <w:abstractNumId w:val="7"/>
  </w:num>
  <w:num w:numId="7">
    <w:abstractNumId w:val="15"/>
  </w:num>
  <w:num w:numId="8">
    <w:abstractNumId w:val="18"/>
  </w:num>
  <w:num w:numId="9">
    <w:abstractNumId w:val="39"/>
  </w:num>
  <w:num w:numId="10">
    <w:abstractNumId w:val="37"/>
  </w:num>
  <w:num w:numId="11">
    <w:abstractNumId w:val="46"/>
  </w:num>
  <w:num w:numId="12">
    <w:abstractNumId w:val="48"/>
  </w:num>
  <w:num w:numId="13">
    <w:abstractNumId w:val="0"/>
  </w:num>
  <w:num w:numId="14">
    <w:abstractNumId w:val="50"/>
  </w:num>
  <w:num w:numId="15">
    <w:abstractNumId w:val="21"/>
  </w:num>
  <w:num w:numId="16">
    <w:abstractNumId w:val="25"/>
  </w:num>
  <w:num w:numId="17">
    <w:abstractNumId w:val="3"/>
  </w:num>
  <w:num w:numId="18">
    <w:abstractNumId w:val="41"/>
  </w:num>
  <w:num w:numId="19">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6"/>
  </w:num>
  <w:num w:numId="2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6"/>
    <w:lvlOverride w:ilvl="0">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5"/>
  </w:num>
  <w:num w:numId="3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7"/>
  </w:num>
  <w:num w:numId="36">
    <w:abstractNumId w:val="13"/>
  </w:num>
  <w:num w:numId="37">
    <w:abstractNumId w:val="51"/>
  </w:num>
  <w:num w:numId="38">
    <w:abstractNumId w:val="11"/>
  </w:num>
  <w:num w:numId="39">
    <w:abstractNumId w:val="49"/>
  </w:num>
  <w:num w:numId="4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9"/>
  </w:num>
  <w:num w:numId="42">
    <w:abstractNumId w:val="20"/>
  </w:num>
  <w:num w:numId="43">
    <w:abstractNumId w:val="31"/>
  </w:num>
  <w:num w:numId="44">
    <w:abstractNumId w:val="14"/>
  </w:num>
  <w:num w:numId="45">
    <w:abstractNumId w:val="5"/>
  </w:num>
  <w:num w:numId="46">
    <w:abstractNumId w:val="6"/>
  </w:num>
  <w:num w:numId="47">
    <w:abstractNumId w:val="28"/>
  </w:num>
  <w:num w:numId="48">
    <w:abstractNumId w:val="1"/>
  </w:num>
  <w:num w:numId="49">
    <w:abstractNumId w:val="43"/>
  </w:num>
  <w:num w:numId="50">
    <w:abstractNumId w:val="42"/>
  </w:num>
  <w:num w:numId="51">
    <w:abstractNumId w:val="23"/>
  </w:num>
  <w:num w:numId="52">
    <w:abstractNumId w:val="10"/>
  </w:num>
  <w:num w:numId="53">
    <w:abstractNumId w:val="9"/>
  </w:num>
  <w:num w:numId="54">
    <w:abstractNumId w:val="12"/>
  </w:num>
  <w:num w:numId="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FjY2FkZGJhYjc5NGYwNmI2YWU1NDYxMTljZDQxYjQifQ=="/>
    <w:docVar w:name="KSO_WPS_MARK_KEY" w:val="288773bf-0df4-413a-9f38-c1906dd68f40"/>
  </w:docVars>
  <w:rsids>
    <w:rsidRoot w:val="00172A27"/>
    <w:rsid w:val="00006B4D"/>
    <w:rsid w:val="000139F5"/>
    <w:rsid w:val="000204AC"/>
    <w:rsid w:val="00022B06"/>
    <w:rsid w:val="00036836"/>
    <w:rsid w:val="00044EF2"/>
    <w:rsid w:val="000465C6"/>
    <w:rsid w:val="00046CA0"/>
    <w:rsid w:val="00047AD5"/>
    <w:rsid w:val="0005777A"/>
    <w:rsid w:val="00065382"/>
    <w:rsid w:val="00072ABA"/>
    <w:rsid w:val="00076770"/>
    <w:rsid w:val="00080223"/>
    <w:rsid w:val="00084A3A"/>
    <w:rsid w:val="000868F7"/>
    <w:rsid w:val="00095D8E"/>
    <w:rsid w:val="000A5309"/>
    <w:rsid w:val="000B4E28"/>
    <w:rsid w:val="000B63C4"/>
    <w:rsid w:val="000C36F3"/>
    <w:rsid w:val="000D0E3E"/>
    <w:rsid w:val="000D6A51"/>
    <w:rsid w:val="000E3EA5"/>
    <w:rsid w:val="000F45A3"/>
    <w:rsid w:val="00106B5E"/>
    <w:rsid w:val="00152667"/>
    <w:rsid w:val="001660A6"/>
    <w:rsid w:val="00171596"/>
    <w:rsid w:val="00192BF0"/>
    <w:rsid w:val="001938D9"/>
    <w:rsid w:val="00197BCE"/>
    <w:rsid w:val="001B4224"/>
    <w:rsid w:val="001C1EE3"/>
    <w:rsid w:val="001C713C"/>
    <w:rsid w:val="001C751B"/>
    <w:rsid w:val="001D75B9"/>
    <w:rsid w:val="001E2073"/>
    <w:rsid w:val="001F0A27"/>
    <w:rsid w:val="00200F05"/>
    <w:rsid w:val="00211A5E"/>
    <w:rsid w:val="00220056"/>
    <w:rsid w:val="002626ED"/>
    <w:rsid w:val="0026313D"/>
    <w:rsid w:val="00265A40"/>
    <w:rsid w:val="00267784"/>
    <w:rsid w:val="00281BA9"/>
    <w:rsid w:val="00282FDE"/>
    <w:rsid w:val="002832CA"/>
    <w:rsid w:val="0029130A"/>
    <w:rsid w:val="00295CDE"/>
    <w:rsid w:val="002E6A39"/>
    <w:rsid w:val="002E6B40"/>
    <w:rsid w:val="002E7882"/>
    <w:rsid w:val="003176C9"/>
    <w:rsid w:val="003261A8"/>
    <w:rsid w:val="00353E75"/>
    <w:rsid w:val="0036165D"/>
    <w:rsid w:val="00362632"/>
    <w:rsid w:val="00366C93"/>
    <w:rsid w:val="0037624A"/>
    <w:rsid w:val="00384888"/>
    <w:rsid w:val="003901DD"/>
    <w:rsid w:val="00391946"/>
    <w:rsid w:val="003A2E4E"/>
    <w:rsid w:val="003A4540"/>
    <w:rsid w:val="003A4C51"/>
    <w:rsid w:val="003B4D7D"/>
    <w:rsid w:val="003B7584"/>
    <w:rsid w:val="003C0B91"/>
    <w:rsid w:val="003E0AB3"/>
    <w:rsid w:val="00401C42"/>
    <w:rsid w:val="00403266"/>
    <w:rsid w:val="004076DE"/>
    <w:rsid w:val="00417F07"/>
    <w:rsid w:val="00424FA7"/>
    <w:rsid w:val="004258B5"/>
    <w:rsid w:val="00432297"/>
    <w:rsid w:val="00446944"/>
    <w:rsid w:val="0045741C"/>
    <w:rsid w:val="00460AFB"/>
    <w:rsid w:val="00470130"/>
    <w:rsid w:val="00483B0A"/>
    <w:rsid w:val="00496793"/>
    <w:rsid w:val="004A0AEA"/>
    <w:rsid w:val="004A5022"/>
    <w:rsid w:val="004B5126"/>
    <w:rsid w:val="004B7D08"/>
    <w:rsid w:val="004C7927"/>
    <w:rsid w:val="004D52EA"/>
    <w:rsid w:val="004E7BD2"/>
    <w:rsid w:val="004F7838"/>
    <w:rsid w:val="00503391"/>
    <w:rsid w:val="00514767"/>
    <w:rsid w:val="005152A7"/>
    <w:rsid w:val="0053306C"/>
    <w:rsid w:val="005477CC"/>
    <w:rsid w:val="00552960"/>
    <w:rsid w:val="0056018A"/>
    <w:rsid w:val="00567344"/>
    <w:rsid w:val="00572F48"/>
    <w:rsid w:val="005829DC"/>
    <w:rsid w:val="005A1A24"/>
    <w:rsid w:val="005C0B4E"/>
    <w:rsid w:val="005C421F"/>
    <w:rsid w:val="005C4B0A"/>
    <w:rsid w:val="005D455D"/>
    <w:rsid w:val="005D5153"/>
    <w:rsid w:val="005D6485"/>
    <w:rsid w:val="005D7A66"/>
    <w:rsid w:val="005F16F0"/>
    <w:rsid w:val="005F3584"/>
    <w:rsid w:val="00606069"/>
    <w:rsid w:val="00610088"/>
    <w:rsid w:val="006106A5"/>
    <w:rsid w:val="006367B4"/>
    <w:rsid w:val="0065185D"/>
    <w:rsid w:val="00661F9E"/>
    <w:rsid w:val="00662702"/>
    <w:rsid w:val="006637AC"/>
    <w:rsid w:val="00680629"/>
    <w:rsid w:val="00686C52"/>
    <w:rsid w:val="0068700D"/>
    <w:rsid w:val="006968E1"/>
    <w:rsid w:val="006D6CBA"/>
    <w:rsid w:val="006F1414"/>
    <w:rsid w:val="00724233"/>
    <w:rsid w:val="00742DEB"/>
    <w:rsid w:val="007432BF"/>
    <w:rsid w:val="007432E8"/>
    <w:rsid w:val="007525BF"/>
    <w:rsid w:val="0075333B"/>
    <w:rsid w:val="0075451E"/>
    <w:rsid w:val="007569BD"/>
    <w:rsid w:val="007621F7"/>
    <w:rsid w:val="007800DC"/>
    <w:rsid w:val="0078174F"/>
    <w:rsid w:val="007838AA"/>
    <w:rsid w:val="00783D5E"/>
    <w:rsid w:val="00785FD6"/>
    <w:rsid w:val="007A1BA0"/>
    <w:rsid w:val="007B212D"/>
    <w:rsid w:val="007D022D"/>
    <w:rsid w:val="007F2246"/>
    <w:rsid w:val="007F3F5D"/>
    <w:rsid w:val="00806A61"/>
    <w:rsid w:val="00810FD4"/>
    <w:rsid w:val="00824BFD"/>
    <w:rsid w:val="008453B3"/>
    <w:rsid w:val="00845D32"/>
    <w:rsid w:val="00850792"/>
    <w:rsid w:val="00857239"/>
    <w:rsid w:val="00870F5C"/>
    <w:rsid w:val="00875C62"/>
    <w:rsid w:val="008913D3"/>
    <w:rsid w:val="00893B34"/>
    <w:rsid w:val="008B327A"/>
    <w:rsid w:val="008B7A95"/>
    <w:rsid w:val="008C0178"/>
    <w:rsid w:val="008C3458"/>
    <w:rsid w:val="008D3B56"/>
    <w:rsid w:val="008D5CEF"/>
    <w:rsid w:val="008D6458"/>
    <w:rsid w:val="008E22AA"/>
    <w:rsid w:val="0090292E"/>
    <w:rsid w:val="009168A6"/>
    <w:rsid w:val="009360F9"/>
    <w:rsid w:val="00942B8B"/>
    <w:rsid w:val="009436D1"/>
    <w:rsid w:val="009645F7"/>
    <w:rsid w:val="00964F00"/>
    <w:rsid w:val="009654EB"/>
    <w:rsid w:val="0099222B"/>
    <w:rsid w:val="0099582F"/>
    <w:rsid w:val="009B511E"/>
    <w:rsid w:val="009B56F5"/>
    <w:rsid w:val="009C34FC"/>
    <w:rsid w:val="009C655F"/>
    <w:rsid w:val="009D736B"/>
    <w:rsid w:val="009E0F5E"/>
    <w:rsid w:val="009F1916"/>
    <w:rsid w:val="00A21EB2"/>
    <w:rsid w:val="00A31561"/>
    <w:rsid w:val="00A54E95"/>
    <w:rsid w:val="00A6706B"/>
    <w:rsid w:val="00A80564"/>
    <w:rsid w:val="00A90354"/>
    <w:rsid w:val="00A960B2"/>
    <w:rsid w:val="00AB64C1"/>
    <w:rsid w:val="00AE41BD"/>
    <w:rsid w:val="00AE6633"/>
    <w:rsid w:val="00AF57C0"/>
    <w:rsid w:val="00B01FF1"/>
    <w:rsid w:val="00B17E53"/>
    <w:rsid w:val="00B237E0"/>
    <w:rsid w:val="00B45FA3"/>
    <w:rsid w:val="00B707A7"/>
    <w:rsid w:val="00B72516"/>
    <w:rsid w:val="00B92C97"/>
    <w:rsid w:val="00B93A32"/>
    <w:rsid w:val="00BA3C70"/>
    <w:rsid w:val="00BA46C8"/>
    <w:rsid w:val="00BA5536"/>
    <w:rsid w:val="00BB2D40"/>
    <w:rsid w:val="00BB31EB"/>
    <w:rsid w:val="00BB4E42"/>
    <w:rsid w:val="00BB6DCB"/>
    <w:rsid w:val="00BD606A"/>
    <w:rsid w:val="00BD71F9"/>
    <w:rsid w:val="00BF0E19"/>
    <w:rsid w:val="00BF6D85"/>
    <w:rsid w:val="00C01073"/>
    <w:rsid w:val="00C1780D"/>
    <w:rsid w:val="00C2649C"/>
    <w:rsid w:val="00C3420E"/>
    <w:rsid w:val="00C557D7"/>
    <w:rsid w:val="00C578EC"/>
    <w:rsid w:val="00C61417"/>
    <w:rsid w:val="00C65974"/>
    <w:rsid w:val="00C768E3"/>
    <w:rsid w:val="00C855F6"/>
    <w:rsid w:val="00C868D3"/>
    <w:rsid w:val="00C86AB3"/>
    <w:rsid w:val="00C87DA5"/>
    <w:rsid w:val="00C92F53"/>
    <w:rsid w:val="00CC006C"/>
    <w:rsid w:val="00CC0882"/>
    <w:rsid w:val="00CC346A"/>
    <w:rsid w:val="00CD5223"/>
    <w:rsid w:val="00CD69ED"/>
    <w:rsid w:val="00CE5010"/>
    <w:rsid w:val="00CE6E17"/>
    <w:rsid w:val="00D0528A"/>
    <w:rsid w:val="00D11B37"/>
    <w:rsid w:val="00D408EF"/>
    <w:rsid w:val="00D5145C"/>
    <w:rsid w:val="00D525AB"/>
    <w:rsid w:val="00D64DAE"/>
    <w:rsid w:val="00D729A1"/>
    <w:rsid w:val="00D76266"/>
    <w:rsid w:val="00DB4AB4"/>
    <w:rsid w:val="00DB5225"/>
    <w:rsid w:val="00DC7257"/>
    <w:rsid w:val="00DD1E5E"/>
    <w:rsid w:val="00DE37B1"/>
    <w:rsid w:val="00DE6417"/>
    <w:rsid w:val="00DF0B19"/>
    <w:rsid w:val="00DF13CD"/>
    <w:rsid w:val="00DF4C63"/>
    <w:rsid w:val="00E13AD6"/>
    <w:rsid w:val="00E144B3"/>
    <w:rsid w:val="00E16182"/>
    <w:rsid w:val="00E1627A"/>
    <w:rsid w:val="00E247D8"/>
    <w:rsid w:val="00E2645A"/>
    <w:rsid w:val="00E34C35"/>
    <w:rsid w:val="00E47F33"/>
    <w:rsid w:val="00E650A8"/>
    <w:rsid w:val="00E65C2F"/>
    <w:rsid w:val="00E849DB"/>
    <w:rsid w:val="00E878B4"/>
    <w:rsid w:val="00E96276"/>
    <w:rsid w:val="00EA6A36"/>
    <w:rsid w:val="00EB2534"/>
    <w:rsid w:val="00EB3D00"/>
    <w:rsid w:val="00EE6D96"/>
    <w:rsid w:val="00F01A28"/>
    <w:rsid w:val="00F53F8B"/>
    <w:rsid w:val="00F71720"/>
    <w:rsid w:val="00F73E6A"/>
    <w:rsid w:val="00F87419"/>
    <w:rsid w:val="00F9257D"/>
    <w:rsid w:val="00FA062A"/>
    <w:rsid w:val="00FD1083"/>
    <w:rsid w:val="00FD4B05"/>
    <w:rsid w:val="00FD6891"/>
    <w:rsid w:val="00FE040F"/>
    <w:rsid w:val="00FE42B3"/>
    <w:rsid w:val="00FF0C35"/>
    <w:rsid w:val="01081B3E"/>
    <w:rsid w:val="014832F2"/>
    <w:rsid w:val="014D51C1"/>
    <w:rsid w:val="01576403"/>
    <w:rsid w:val="01714809"/>
    <w:rsid w:val="01BB2C67"/>
    <w:rsid w:val="01C52478"/>
    <w:rsid w:val="022F2C26"/>
    <w:rsid w:val="02567262"/>
    <w:rsid w:val="027408EE"/>
    <w:rsid w:val="02963F39"/>
    <w:rsid w:val="0296734E"/>
    <w:rsid w:val="02B037A6"/>
    <w:rsid w:val="02B3095A"/>
    <w:rsid w:val="02BA7274"/>
    <w:rsid w:val="02F676C8"/>
    <w:rsid w:val="03251978"/>
    <w:rsid w:val="0325718A"/>
    <w:rsid w:val="032A08BF"/>
    <w:rsid w:val="03D567D9"/>
    <w:rsid w:val="03E8670C"/>
    <w:rsid w:val="041078B8"/>
    <w:rsid w:val="042921B6"/>
    <w:rsid w:val="043B72BB"/>
    <w:rsid w:val="04461EC1"/>
    <w:rsid w:val="0449153A"/>
    <w:rsid w:val="04504B3F"/>
    <w:rsid w:val="04831DF5"/>
    <w:rsid w:val="04A3012C"/>
    <w:rsid w:val="04AD02B8"/>
    <w:rsid w:val="04B2193F"/>
    <w:rsid w:val="04DE51C8"/>
    <w:rsid w:val="04DF17D4"/>
    <w:rsid w:val="05000C0B"/>
    <w:rsid w:val="05174255"/>
    <w:rsid w:val="052B7684"/>
    <w:rsid w:val="05412745"/>
    <w:rsid w:val="05491761"/>
    <w:rsid w:val="05515CC6"/>
    <w:rsid w:val="055D755A"/>
    <w:rsid w:val="058761A0"/>
    <w:rsid w:val="05A351AD"/>
    <w:rsid w:val="05D435B9"/>
    <w:rsid w:val="05F9748A"/>
    <w:rsid w:val="06266F78"/>
    <w:rsid w:val="063E7B7A"/>
    <w:rsid w:val="06582413"/>
    <w:rsid w:val="067E33B8"/>
    <w:rsid w:val="06AA3F72"/>
    <w:rsid w:val="06AE017A"/>
    <w:rsid w:val="06D43653"/>
    <w:rsid w:val="06E82FCB"/>
    <w:rsid w:val="06F34B95"/>
    <w:rsid w:val="07060F67"/>
    <w:rsid w:val="072858CC"/>
    <w:rsid w:val="072C50B0"/>
    <w:rsid w:val="074A29BE"/>
    <w:rsid w:val="07571DAC"/>
    <w:rsid w:val="07645CFB"/>
    <w:rsid w:val="07FC1127"/>
    <w:rsid w:val="08493425"/>
    <w:rsid w:val="0886328A"/>
    <w:rsid w:val="088A5513"/>
    <w:rsid w:val="08DD171B"/>
    <w:rsid w:val="08E64121"/>
    <w:rsid w:val="08EE34FB"/>
    <w:rsid w:val="091268D2"/>
    <w:rsid w:val="091D420B"/>
    <w:rsid w:val="093D4FB7"/>
    <w:rsid w:val="093E2A38"/>
    <w:rsid w:val="0942017F"/>
    <w:rsid w:val="09436A8B"/>
    <w:rsid w:val="09480908"/>
    <w:rsid w:val="096473F5"/>
    <w:rsid w:val="096F3207"/>
    <w:rsid w:val="09840E52"/>
    <w:rsid w:val="098A5C81"/>
    <w:rsid w:val="09A24456"/>
    <w:rsid w:val="09BA1FBB"/>
    <w:rsid w:val="09CA2C4D"/>
    <w:rsid w:val="09CB139F"/>
    <w:rsid w:val="09D71932"/>
    <w:rsid w:val="0A0106F5"/>
    <w:rsid w:val="0A112AB7"/>
    <w:rsid w:val="0A273225"/>
    <w:rsid w:val="0A447D68"/>
    <w:rsid w:val="0A4E5482"/>
    <w:rsid w:val="0A7E1561"/>
    <w:rsid w:val="0AAA504A"/>
    <w:rsid w:val="0AC402B6"/>
    <w:rsid w:val="0AD71BC7"/>
    <w:rsid w:val="0AD71D07"/>
    <w:rsid w:val="0ADB5CDD"/>
    <w:rsid w:val="0AF420EB"/>
    <w:rsid w:val="0AFB4013"/>
    <w:rsid w:val="0B2B2BF5"/>
    <w:rsid w:val="0B2F3908"/>
    <w:rsid w:val="0B3F6206"/>
    <w:rsid w:val="0B5401E7"/>
    <w:rsid w:val="0B7E67EB"/>
    <w:rsid w:val="0B8C5B00"/>
    <w:rsid w:val="0BAB7044"/>
    <w:rsid w:val="0BE12DB6"/>
    <w:rsid w:val="0BE72997"/>
    <w:rsid w:val="0BFC6504"/>
    <w:rsid w:val="0C345AD1"/>
    <w:rsid w:val="0C352D59"/>
    <w:rsid w:val="0C552FCB"/>
    <w:rsid w:val="0C5E47DB"/>
    <w:rsid w:val="0C626CE4"/>
    <w:rsid w:val="0D08498F"/>
    <w:rsid w:val="0D0C2B7B"/>
    <w:rsid w:val="0D1C5003"/>
    <w:rsid w:val="0D9308F8"/>
    <w:rsid w:val="0DCD7925"/>
    <w:rsid w:val="0DE76C3D"/>
    <w:rsid w:val="0E1A1D85"/>
    <w:rsid w:val="0E3C75E8"/>
    <w:rsid w:val="0E455054"/>
    <w:rsid w:val="0E491449"/>
    <w:rsid w:val="0E6B26B6"/>
    <w:rsid w:val="0E750568"/>
    <w:rsid w:val="0E9C3C97"/>
    <w:rsid w:val="0EA55D13"/>
    <w:rsid w:val="0EBA2435"/>
    <w:rsid w:val="0EE1283B"/>
    <w:rsid w:val="0F0F31C4"/>
    <w:rsid w:val="0F2D7A80"/>
    <w:rsid w:val="0F4277E5"/>
    <w:rsid w:val="0F5F09C4"/>
    <w:rsid w:val="0FA75561"/>
    <w:rsid w:val="0FB83603"/>
    <w:rsid w:val="0FBE4261"/>
    <w:rsid w:val="0FCA77F1"/>
    <w:rsid w:val="0FCD5DCC"/>
    <w:rsid w:val="0FEA56A7"/>
    <w:rsid w:val="10043197"/>
    <w:rsid w:val="101A497B"/>
    <w:rsid w:val="10270545"/>
    <w:rsid w:val="103409DF"/>
    <w:rsid w:val="10426AFF"/>
    <w:rsid w:val="10492BB2"/>
    <w:rsid w:val="10557B36"/>
    <w:rsid w:val="108A1D4B"/>
    <w:rsid w:val="10A10111"/>
    <w:rsid w:val="10BE093E"/>
    <w:rsid w:val="10C72515"/>
    <w:rsid w:val="10CB5E01"/>
    <w:rsid w:val="10E16942"/>
    <w:rsid w:val="10E20BD8"/>
    <w:rsid w:val="10EB7251"/>
    <w:rsid w:val="110F618C"/>
    <w:rsid w:val="111B0FE9"/>
    <w:rsid w:val="112273AB"/>
    <w:rsid w:val="112C77F4"/>
    <w:rsid w:val="114755AB"/>
    <w:rsid w:val="115F67A8"/>
    <w:rsid w:val="118328C8"/>
    <w:rsid w:val="11864D21"/>
    <w:rsid w:val="119A7465"/>
    <w:rsid w:val="119B76A5"/>
    <w:rsid w:val="11AE1BB4"/>
    <w:rsid w:val="11C07DA5"/>
    <w:rsid w:val="11C2491E"/>
    <w:rsid w:val="11F36B75"/>
    <w:rsid w:val="11F6117A"/>
    <w:rsid w:val="123B45F5"/>
    <w:rsid w:val="12491386"/>
    <w:rsid w:val="12DE232A"/>
    <w:rsid w:val="12E60579"/>
    <w:rsid w:val="12EB0F02"/>
    <w:rsid w:val="12FE34CD"/>
    <w:rsid w:val="12FE35B3"/>
    <w:rsid w:val="13057392"/>
    <w:rsid w:val="13136AE9"/>
    <w:rsid w:val="13695B36"/>
    <w:rsid w:val="1372609F"/>
    <w:rsid w:val="138A301D"/>
    <w:rsid w:val="138E6D87"/>
    <w:rsid w:val="13CD6F8A"/>
    <w:rsid w:val="13D73572"/>
    <w:rsid w:val="141476FE"/>
    <w:rsid w:val="1449272D"/>
    <w:rsid w:val="14504752"/>
    <w:rsid w:val="145A6A37"/>
    <w:rsid w:val="1467440F"/>
    <w:rsid w:val="146B2014"/>
    <w:rsid w:val="147F6DAD"/>
    <w:rsid w:val="14846AB8"/>
    <w:rsid w:val="14E05B4D"/>
    <w:rsid w:val="14FA1F7A"/>
    <w:rsid w:val="153A21F9"/>
    <w:rsid w:val="15400323"/>
    <w:rsid w:val="15410C2A"/>
    <w:rsid w:val="15433A9B"/>
    <w:rsid w:val="15545B0C"/>
    <w:rsid w:val="159233F2"/>
    <w:rsid w:val="15BB45B7"/>
    <w:rsid w:val="15D346A7"/>
    <w:rsid w:val="15D93B67"/>
    <w:rsid w:val="15E9057E"/>
    <w:rsid w:val="15FC2F04"/>
    <w:rsid w:val="16181FAC"/>
    <w:rsid w:val="16450C97"/>
    <w:rsid w:val="16666C4E"/>
    <w:rsid w:val="168756A0"/>
    <w:rsid w:val="16F94849"/>
    <w:rsid w:val="17045E51"/>
    <w:rsid w:val="172011D4"/>
    <w:rsid w:val="17252C3B"/>
    <w:rsid w:val="17281117"/>
    <w:rsid w:val="173F0A2E"/>
    <w:rsid w:val="17770BC2"/>
    <w:rsid w:val="177A3491"/>
    <w:rsid w:val="17860E2F"/>
    <w:rsid w:val="17A119AA"/>
    <w:rsid w:val="17E85AC5"/>
    <w:rsid w:val="18104A8B"/>
    <w:rsid w:val="182E403B"/>
    <w:rsid w:val="18426B32"/>
    <w:rsid w:val="18586F2B"/>
    <w:rsid w:val="18952734"/>
    <w:rsid w:val="19A750EB"/>
    <w:rsid w:val="19A766B9"/>
    <w:rsid w:val="19B06735"/>
    <w:rsid w:val="19CE76BA"/>
    <w:rsid w:val="19F26070"/>
    <w:rsid w:val="19F97C8B"/>
    <w:rsid w:val="1A1523CE"/>
    <w:rsid w:val="1AA730BD"/>
    <w:rsid w:val="1B333D5D"/>
    <w:rsid w:val="1B400146"/>
    <w:rsid w:val="1B5330EA"/>
    <w:rsid w:val="1B587618"/>
    <w:rsid w:val="1B5F19C7"/>
    <w:rsid w:val="1B84164C"/>
    <w:rsid w:val="1B847674"/>
    <w:rsid w:val="1BEF2AA3"/>
    <w:rsid w:val="1C1C709B"/>
    <w:rsid w:val="1C3F50B7"/>
    <w:rsid w:val="1C4A05F8"/>
    <w:rsid w:val="1C4F6795"/>
    <w:rsid w:val="1C687BA8"/>
    <w:rsid w:val="1C7723C1"/>
    <w:rsid w:val="1C9F6814"/>
    <w:rsid w:val="1CA7399C"/>
    <w:rsid w:val="1D3E15EC"/>
    <w:rsid w:val="1D484219"/>
    <w:rsid w:val="1D5C514E"/>
    <w:rsid w:val="1D7768AC"/>
    <w:rsid w:val="1D865D14"/>
    <w:rsid w:val="1D8705EC"/>
    <w:rsid w:val="1DAD49C3"/>
    <w:rsid w:val="1DBE0159"/>
    <w:rsid w:val="1DEC0E7D"/>
    <w:rsid w:val="1DF779ED"/>
    <w:rsid w:val="1E344794"/>
    <w:rsid w:val="1E40742E"/>
    <w:rsid w:val="1E43150B"/>
    <w:rsid w:val="1E544E3F"/>
    <w:rsid w:val="1EA93E80"/>
    <w:rsid w:val="1EC16A83"/>
    <w:rsid w:val="1ED33FB6"/>
    <w:rsid w:val="1EDC0931"/>
    <w:rsid w:val="1EDC3439"/>
    <w:rsid w:val="1EE011E0"/>
    <w:rsid w:val="1EE81332"/>
    <w:rsid w:val="1F32415A"/>
    <w:rsid w:val="1F354938"/>
    <w:rsid w:val="1F4160D7"/>
    <w:rsid w:val="1F542F9A"/>
    <w:rsid w:val="1F6D241E"/>
    <w:rsid w:val="1F702632"/>
    <w:rsid w:val="1F7A78BE"/>
    <w:rsid w:val="1F7E2174"/>
    <w:rsid w:val="1F8F19C8"/>
    <w:rsid w:val="20107567"/>
    <w:rsid w:val="202D3FA1"/>
    <w:rsid w:val="20313E48"/>
    <w:rsid w:val="204E750E"/>
    <w:rsid w:val="208244E5"/>
    <w:rsid w:val="20AB56C6"/>
    <w:rsid w:val="20D86427"/>
    <w:rsid w:val="20E21F80"/>
    <w:rsid w:val="20EB614D"/>
    <w:rsid w:val="21022930"/>
    <w:rsid w:val="21547789"/>
    <w:rsid w:val="216F2E69"/>
    <w:rsid w:val="21760275"/>
    <w:rsid w:val="2176507C"/>
    <w:rsid w:val="219A700D"/>
    <w:rsid w:val="21AC4ECC"/>
    <w:rsid w:val="21AD074F"/>
    <w:rsid w:val="21BE35AF"/>
    <w:rsid w:val="21BF4B09"/>
    <w:rsid w:val="21C11174"/>
    <w:rsid w:val="21F94FCB"/>
    <w:rsid w:val="22010E3A"/>
    <w:rsid w:val="22244B28"/>
    <w:rsid w:val="222C6A9F"/>
    <w:rsid w:val="22467FD4"/>
    <w:rsid w:val="224C3750"/>
    <w:rsid w:val="22667643"/>
    <w:rsid w:val="228935B5"/>
    <w:rsid w:val="229451FD"/>
    <w:rsid w:val="22A12DB6"/>
    <w:rsid w:val="22B01277"/>
    <w:rsid w:val="236356D1"/>
    <w:rsid w:val="23672FA4"/>
    <w:rsid w:val="237B5088"/>
    <w:rsid w:val="23853731"/>
    <w:rsid w:val="23A45F21"/>
    <w:rsid w:val="23A91C83"/>
    <w:rsid w:val="23C962E8"/>
    <w:rsid w:val="243F7403"/>
    <w:rsid w:val="247E4FED"/>
    <w:rsid w:val="24AD78E0"/>
    <w:rsid w:val="24B30BE8"/>
    <w:rsid w:val="24BC5AD3"/>
    <w:rsid w:val="24DA48AA"/>
    <w:rsid w:val="24DE4D7A"/>
    <w:rsid w:val="24E10292"/>
    <w:rsid w:val="24E34060"/>
    <w:rsid w:val="253A0491"/>
    <w:rsid w:val="254E0478"/>
    <w:rsid w:val="25856259"/>
    <w:rsid w:val="259322B4"/>
    <w:rsid w:val="25AF6361"/>
    <w:rsid w:val="25C50504"/>
    <w:rsid w:val="25E036B2"/>
    <w:rsid w:val="25E75BA2"/>
    <w:rsid w:val="25E9082A"/>
    <w:rsid w:val="25F42473"/>
    <w:rsid w:val="260A0FF9"/>
    <w:rsid w:val="26361943"/>
    <w:rsid w:val="26436BD4"/>
    <w:rsid w:val="265C2AE3"/>
    <w:rsid w:val="269C17B8"/>
    <w:rsid w:val="26AF2D79"/>
    <w:rsid w:val="26B34B91"/>
    <w:rsid w:val="26ED706D"/>
    <w:rsid w:val="26F853FE"/>
    <w:rsid w:val="26F92E80"/>
    <w:rsid w:val="270D66E8"/>
    <w:rsid w:val="27514612"/>
    <w:rsid w:val="278B0DAB"/>
    <w:rsid w:val="278D3850"/>
    <w:rsid w:val="279C6B0E"/>
    <w:rsid w:val="27A64735"/>
    <w:rsid w:val="27CC4DF2"/>
    <w:rsid w:val="27E60CAF"/>
    <w:rsid w:val="27FC39A7"/>
    <w:rsid w:val="280D64D7"/>
    <w:rsid w:val="281864F2"/>
    <w:rsid w:val="28341582"/>
    <w:rsid w:val="283D5C30"/>
    <w:rsid w:val="28634650"/>
    <w:rsid w:val="286903EF"/>
    <w:rsid w:val="287F5DD3"/>
    <w:rsid w:val="288047CB"/>
    <w:rsid w:val="289E62FA"/>
    <w:rsid w:val="28DB3015"/>
    <w:rsid w:val="28FD6E90"/>
    <w:rsid w:val="291E2CA6"/>
    <w:rsid w:val="29331862"/>
    <w:rsid w:val="29606AF1"/>
    <w:rsid w:val="29674867"/>
    <w:rsid w:val="299741EC"/>
    <w:rsid w:val="299E147F"/>
    <w:rsid w:val="29B72BFE"/>
    <w:rsid w:val="29C32A87"/>
    <w:rsid w:val="29CF26DC"/>
    <w:rsid w:val="29E53E38"/>
    <w:rsid w:val="29FB0EEE"/>
    <w:rsid w:val="2A1C5DA0"/>
    <w:rsid w:val="2A200D39"/>
    <w:rsid w:val="2A507EFF"/>
    <w:rsid w:val="2A5F2FA3"/>
    <w:rsid w:val="2AAB37D0"/>
    <w:rsid w:val="2ADC05A4"/>
    <w:rsid w:val="2AEF2177"/>
    <w:rsid w:val="2B0B6B2D"/>
    <w:rsid w:val="2B394ED3"/>
    <w:rsid w:val="2B46348F"/>
    <w:rsid w:val="2B5E3CCB"/>
    <w:rsid w:val="2B6F0D7F"/>
    <w:rsid w:val="2B8716BD"/>
    <w:rsid w:val="2B8B76FF"/>
    <w:rsid w:val="2BA07020"/>
    <w:rsid w:val="2BB97F4A"/>
    <w:rsid w:val="2BD5034F"/>
    <w:rsid w:val="2BF77A2F"/>
    <w:rsid w:val="2C370819"/>
    <w:rsid w:val="2C5F3D9D"/>
    <w:rsid w:val="2C61165D"/>
    <w:rsid w:val="2C88731E"/>
    <w:rsid w:val="2C9E1405"/>
    <w:rsid w:val="2CE974BF"/>
    <w:rsid w:val="2CF85053"/>
    <w:rsid w:val="2D002B75"/>
    <w:rsid w:val="2D025012"/>
    <w:rsid w:val="2D2B45A9"/>
    <w:rsid w:val="2D300181"/>
    <w:rsid w:val="2D4178F0"/>
    <w:rsid w:val="2DAE631A"/>
    <w:rsid w:val="2DB72208"/>
    <w:rsid w:val="2DD877E0"/>
    <w:rsid w:val="2DE616C9"/>
    <w:rsid w:val="2DFC2451"/>
    <w:rsid w:val="2E3422F8"/>
    <w:rsid w:val="2E6E566D"/>
    <w:rsid w:val="2E7F188E"/>
    <w:rsid w:val="2E81758A"/>
    <w:rsid w:val="2E8D43A5"/>
    <w:rsid w:val="2EBC0905"/>
    <w:rsid w:val="2EC73739"/>
    <w:rsid w:val="2ED8696B"/>
    <w:rsid w:val="2EFB1B0E"/>
    <w:rsid w:val="2F36627D"/>
    <w:rsid w:val="2F5C684F"/>
    <w:rsid w:val="2F63756E"/>
    <w:rsid w:val="2F933A9E"/>
    <w:rsid w:val="2FA45F37"/>
    <w:rsid w:val="2FAE20C9"/>
    <w:rsid w:val="2FBF7DE5"/>
    <w:rsid w:val="3032101E"/>
    <w:rsid w:val="305A0CCE"/>
    <w:rsid w:val="306927FC"/>
    <w:rsid w:val="307776D1"/>
    <w:rsid w:val="307976F4"/>
    <w:rsid w:val="307B2717"/>
    <w:rsid w:val="30862574"/>
    <w:rsid w:val="30B631E1"/>
    <w:rsid w:val="30C05531"/>
    <w:rsid w:val="30E57BC8"/>
    <w:rsid w:val="311933AA"/>
    <w:rsid w:val="31414A5E"/>
    <w:rsid w:val="315B788A"/>
    <w:rsid w:val="315E658D"/>
    <w:rsid w:val="3168109A"/>
    <w:rsid w:val="317D15BB"/>
    <w:rsid w:val="31A14A0A"/>
    <w:rsid w:val="31D07E6C"/>
    <w:rsid w:val="32183DB8"/>
    <w:rsid w:val="323F65DA"/>
    <w:rsid w:val="32412074"/>
    <w:rsid w:val="32674F4D"/>
    <w:rsid w:val="32D700C1"/>
    <w:rsid w:val="32DE0199"/>
    <w:rsid w:val="330B4E15"/>
    <w:rsid w:val="333C2963"/>
    <w:rsid w:val="335B2774"/>
    <w:rsid w:val="338B331E"/>
    <w:rsid w:val="33A20D45"/>
    <w:rsid w:val="33A4642E"/>
    <w:rsid w:val="33D1020F"/>
    <w:rsid w:val="33D4039C"/>
    <w:rsid w:val="33D47E05"/>
    <w:rsid w:val="33EC194A"/>
    <w:rsid w:val="3413677D"/>
    <w:rsid w:val="342B544B"/>
    <w:rsid w:val="344B402F"/>
    <w:rsid w:val="345E036E"/>
    <w:rsid w:val="3477107B"/>
    <w:rsid w:val="34C47852"/>
    <w:rsid w:val="34DE1E4F"/>
    <w:rsid w:val="34F07DB1"/>
    <w:rsid w:val="350047AC"/>
    <w:rsid w:val="35216C38"/>
    <w:rsid w:val="35375DCD"/>
    <w:rsid w:val="35486AF7"/>
    <w:rsid w:val="359009FB"/>
    <w:rsid w:val="35D354B8"/>
    <w:rsid w:val="35D4025C"/>
    <w:rsid w:val="35F4038B"/>
    <w:rsid w:val="36063A32"/>
    <w:rsid w:val="362666BC"/>
    <w:rsid w:val="36445A95"/>
    <w:rsid w:val="36820BD0"/>
    <w:rsid w:val="368A6B11"/>
    <w:rsid w:val="36A238B1"/>
    <w:rsid w:val="37085B1F"/>
    <w:rsid w:val="37103EE5"/>
    <w:rsid w:val="372E04CB"/>
    <w:rsid w:val="37317C9C"/>
    <w:rsid w:val="37781A69"/>
    <w:rsid w:val="38187120"/>
    <w:rsid w:val="388D27C1"/>
    <w:rsid w:val="38C43017"/>
    <w:rsid w:val="38E070F2"/>
    <w:rsid w:val="390D33AB"/>
    <w:rsid w:val="391E6D06"/>
    <w:rsid w:val="39700927"/>
    <w:rsid w:val="39DC5BB6"/>
    <w:rsid w:val="39F1031B"/>
    <w:rsid w:val="3A074847"/>
    <w:rsid w:val="3A816E64"/>
    <w:rsid w:val="3A830B2E"/>
    <w:rsid w:val="3AA90FE6"/>
    <w:rsid w:val="3AA9318F"/>
    <w:rsid w:val="3AAB6442"/>
    <w:rsid w:val="3AB62DA0"/>
    <w:rsid w:val="3ABE0EEC"/>
    <w:rsid w:val="3AD04447"/>
    <w:rsid w:val="3AEA41B5"/>
    <w:rsid w:val="3AEA6B4D"/>
    <w:rsid w:val="3B414BC4"/>
    <w:rsid w:val="3B69577B"/>
    <w:rsid w:val="3B702D85"/>
    <w:rsid w:val="3B7905A1"/>
    <w:rsid w:val="3B7D3FD5"/>
    <w:rsid w:val="3B823DDF"/>
    <w:rsid w:val="3BA67ADA"/>
    <w:rsid w:val="3BD827B4"/>
    <w:rsid w:val="3BF36416"/>
    <w:rsid w:val="3C237ED3"/>
    <w:rsid w:val="3C317D4F"/>
    <w:rsid w:val="3C4D2D59"/>
    <w:rsid w:val="3C5B6D85"/>
    <w:rsid w:val="3C9A12C3"/>
    <w:rsid w:val="3CAA596A"/>
    <w:rsid w:val="3CAF1D22"/>
    <w:rsid w:val="3CB1587B"/>
    <w:rsid w:val="3CB735F2"/>
    <w:rsid w:val="3CFC4E99"/>
    <w:rsid w:val="3D186684"/>
    <w:rsid w:val="3D363C36"/>
    <w:rsid w:val="3D5440BC"/>
    <w:rsid w:val="3D68584E"/>
    <w:rsid w:val="3D8B2178"/>
    <w:rsid w:val="3DB34909"/>
    <w:rsid w:val="3DCA67EC"/>
    <w:rsid w:val="3DD115F5"/>
    <w:rsid w:val="3DE435F0"/>
    <w:rsid w:val="3DE5122C"/>
    <w:rsid w:val="3DF02750"/>
    <w:rsid w:val="3DF37E53"/>
    <w:rsid w:val="3E1768EB"/>
    <w:rsid w:val="3E212A7E"/>
    <w:rsid w:val="3E47743A"/>
    <w:rsid w:val="3EB70D31"/>
    <w:rsid w:val="3ED26DE9"/>
    <w:rsid w:val="3EED17D0"/>
    <w:rsid w:val="3F052CF0"/>
    <w:rsid w:val="3F0C0304"/>
    <w:rsid w:val="3F2A7DE0"/>
    <w:rsid w:val="3F774839"/>
    <w:rsid w:val="3FEC147E"/>
    <w:rsid w:val="400D1324"/>
    <w:rsid w:val="40111F29"/>
    <w:rsid w:val="401A01BA"/>
    <w:rsid w:val="40376375"/>
    <w:rsid w:val="407D0E43"/>
    <w:rsid w:val="40980F08"/>
    <w:rsid w:val="40C15F4C"/>
    <w:rsid w:val="40C83C56"/>
    <w:rsid w:val="40E340D5"/>
    <w:rsid w:val="40F3251B"/>
    <w:rsid w:val="412732B7"/>
    <w:rsid w:val="4127791F"/>
    <w:rsid w:val="41281794"/>
    <w:rsid w:val="413C1FDF"/>
    <w:rsid w:val="41806A69"/>
    <w:rsid w:val="41980AAB"/>
    <w:rsid w:val="41A40141"/>
    <w:rsid w:val="41B0259C"/>
    <w:rsid w:val="41BC6F1C"/>
    <w:rsid w:val="41EF2363"/>
    <w:rsid w:val="41F77860"/>
    <w:rsid w:val="421A58D4"/>
    <w:rsid w:val="424A4B98"/>
    <w:rsid w:val="424F27D8"/>
    <w:rsid w:val="4251506E"/>
    <w:rsid w:val="42581D3A"/>
    <w:rsid w:val="425C5EED"/>
    <w:rsid w:val="429C4E56"/>
    <w:rsid w:val="42E42CCB"/>
    <w:rsid w:val="42ED2EA4"/>
    <w:rsid w:val="42F37A63"/>
    <w:rsid w:val="42F6649D"/>
    <w:rsid w:val="42FE0080"/>
    <w:rsid w:val="43315D2E"/>
    <w:rsid w:val="43670C99"/>
    <w:rsid w:val="43824A1C"/>
    <w:rsid w:val="438B764D"/>
    <w:rsid w:val="43BA782C"/>
    <w:rsid w:val="43D110E1"/>
    <w:rsid w:val="43E048FB"/>
    <w:rsid w:val="43E873C9"/>
    <w:rsid w:val="43EF4482"/>
    <w:rsid w:val="442D369C"/>
    <w:rsid w:val="448B5C69"/>
    <w:rsid w:val="44905B1F"/>
    <w:rsid w:val="44A3327A"/>
    <w:rsid w:val="44C81F67"/>
    <w:rsid w:val="45316885"/>
    <w:rsid w:val="459B1F40"/>
    <w:rsid w:val="45A95EE9"/>
    <w:rsid w:val="45EA5542"/>
    <w:rsid w:val="45EE41A5"/>
    <w:rsid w:val="45FB0F21"/>
    <w:rsid w:val="46130905"/>
    <w:rsid w:val="46167166"/>
    <w:rsid w:val="46216EE1"/>
    <w:rsid w:val="4636719A"/>
    <w:rsid w:val="463A65C6"/>
    <w:rsid w:val="464858DB"/>
    <w:rsid w:val="4650656B"/>
    <w:rsid w:val="46685E10"/>
    <w:rsid w:val="46B07B66"/>
    <w:rsid w:val="46D73EC6"/>
    <w:rsid w:val="47081C1B"/>
    <w:rsid w:val="471B5DA9"/>
    <w:rsid w:val="47200EE3"/>
    <w:rsid w:val="47435AC2"/>
    <w:rsid w:val="47544B78"/>
    <w:rsid w:val="47587AF7"/>
    <w:rsid w:val="47745A86"/>
    <w:rsid w:val="477E6905"/>
    <w:rsid w:val="47C9778B"/>
    <w:rsid w:val="47CB5A57"/>
    <w:rsid w:val="47E239AC"/>
    <w:rsid w:val="47F33399"/>
    <w:rsid w:val="480C42C3"/>
    <w:rsid w:val="480F4B73"/>
    <w:rsid w:val="4816227E"/>
    <w:rsid w:val="4862144E"/>
    <w:rsid w:val="487974BD"/>
    <w:rsid w:val="489E3831"/>
    <w:rsid w:val="48A10D21"/>
    <w:rsid w:val="48B9571B"/>
    <w:rsid w:val="48DB38E3"/>
    <w:rsid w:val="49001B5E"/>
    <w:rsid w:val="4904108C"/>
    <w:rsid w:val="49042C8A"/>
    <w:rsid w:val="493443AD"/>
    <w:rsid w:val="49376DB0"/>
    <w:rsid w:val="493D4634"/>
    <w:rsid w:val="49551CDB"/>
    <w:rsid w:val="49605AEE"/>
    <w:rsid w:val="497E3057"/>
    <w:rsid w:val="49804BB7"/>
    <w:rsid w:val="49826DCB"/>
    <w:rsid w:val="49856AD9"/>
    <w:rsid w:val="499013E7"/>
    <w:rsid w:val="49C8088A"/>
    <w:rsid w:val="49F031DE"/>
    <w:rsid w:val="49F772E6"/>
    <w:rsid w:val="4A0F6D68"/>
    <w:rsid w:val="4A301C93"/>
    <w:rsid w:val="4A323472"/>
    <w:rsid w:val="4A3302AB"/>
    <w:rsid w:val="4A4C47F2"/>
    <w:rsid w:val="4A572A17"/>
    <w:rsid w:val="4A6F2535"/>
    <w:rsid w:val="4A7224B3"/>
    <w:rsid w:val="4A7706DB"/>
    <w:rsid w:val="4A7A7858"/>
    <w:rsid w:val="4A901A63"/>
    <w:rsid w:val="4A9C5875"/>
    <w:rsid w:val="4AC85D49"/>
    <w:rsid w:val="4ACD18C8"/>
    <w:rsid w:val="4AE308A9"/>
    <w:rsid w:val="4B260F2D"/>
    <w:rsid w:val="4B4F7F5C"/>
    <w:rsid w:val="4B9A1456"/>
    <w:rsid w:val="4BA32C82"/>
    <w:rsid w:val="4BB67869"/>
    <w:rsid w:val="4BDB6202"/>
    <w:rsid w:val="4BE16C84"/>
    <w:rsid w:val="4BE70627"/>
    <w:rsid w:val="4C0A5AE1"/>
    <w:rsid w:val="4C130AB8"/>
    <w:rsid w:val="4C455C43"/>
    <w:rsid w:val="4C5A284D"/>
    <w:rsid w:val="4C5C0673"/>
    <w:rsid w:val="4C8B531F"/>
    <w:rsid w:val="4CB96B43"/>
    <w:rsid w:val="4CC61682"/>
    <w:rsid w:val="4CC75FCC"/>
    <w:rsid w:val="4CC87A5E"/>
    <w:rsid w:val="4CC967AA"/>
    <w:rsid w:val="4CD63947"/>
    <w:rsid w:val="4CFC49F4"/>
    <w:rsid w:val="4D0314E7"/>
    <w:rsid w:val="4D073D73"/>
    <w:rsid w:val="4D1E27BA"/>
    <w:rsid w:val="4D23574A"/>
    <w:rsid w:val="4D4C4DB0"/>
    <w:rsid w:val="4D7322D5"/>
    <w:rsid w:val="4DA0023C"/>
    <w:rsid w:val="4DD7034C"/>
    <w:rsid w:val="4DE312CB"/>
    <w:rsid w:val="4DF5318E"/>
    <w:rsid w:val="4E0D199A"/>
    <w:rsid w:val="4E0E0BAE"/>
    <w:rsid w:val="4E1F4862"/>
    <w:rsid w:val="4E2E4393"/>
    <w:rsid w:val="4E432B81"/>
    <w:rsid w:val="4E4478F5"/>
    <w:rsid w:val="4E535EF2"/>
    <w:rsid w:val="4E932EF7"/>
    <w:rsid w:val="4F08773C"/>
    <w:rsid w:val="4F31409F"/>
    <w:rsid w:val="4F391107"/>
    <w:rsid w:val="4F3B50DC"/>
    <w:rsid w:val="4F5E670E"/>
    <w:rsid w:val="4F846A83"/>
    <w:rsid w:val="4FE040BF"/>
    <w:rsid w:val="50070E2C"/>
    <w:rsid w:val="50093D5E"/>
    <w:rsid w:val="501112F3"/>
    <w:rsid w:val="502C37EB"/>
    <w:rsid w:val="504B57F2"/>
    <w:rsid w:val="50514152"/>
    <w:rsid w:val="50850D04"/>
    <w:rsid w:val="50C5433A"/>
    <w:rsid w:val="50C62BC7"/>
    <w:rsid w:val="50C879B4"/>
    <w:rsid w:val="50D40EA8"/>
    <w:rsid w:val="50F72A66"/>
    <w:rsid w:val="5123368C"/>
    <w:rsid w:val="51291C37"/>
    <w:rsid w:val="5130747C"/>
    <w:rsid w:val="515C765A"/>
    <w:rsid w:val="5175182D"/>
    <w:rsid w:val="51905BB3"/>
    <w:rsid w:val="51922560"/>
    <w:rsid w:val="51946FCB"/>
    <w:rsid w:val="51DD796B"/>
    <w:rsid w:val="51DF373B"/>
    <w:rsid w:val="525535CB"/>
    <w:rsid w:val="5264494A"/>
    <w:rsid w:val="52A511EA"/>
    <w:rsid w:val="52EF4CB5"/>
    <w:rsid w:val="52F959F0"/>
    <w:rsid w:val="5302488E"/>
    <w:rsid w:val="530323B4"/>
    <w:rsid w:val="53136173"/>
    <w:rsid w:val="534B12B7"/>
    <w:rsid w:val="53940307"/>
    <w:rsid w:val="539A4AC7"/>
    <w:rsid w:val="53F86552"/>
    <w:rsid w:val="54176117"/>
    <w:rsid w:val="54237521"/>
    <w:rsid w:val="542631B6"/>
    <w:rsid w:val="542B7CA6"/>
    <w:rsid w:val="5447483C"/>
    <w:rsid w:val="544D14DF"/>
    <w:rsid w:val="546A40AF"/>
    <w:rsid w:val="547748A2"/>
    <w:rsid w:val="54942CAE"/>
    <w:rsid w:val="54A61722"/>
    <w:rsid w:val="54B31FAF"/>
    <w:rsid w:val="54DC2048"/>
    <w:rsid w:val="550C502E"/>
    <w:rsid w:val="550F2C32"/>
    <w:rsid w:val="55224E1C"/>
    <w:rsid w:val="55326D63"/>
    <w:rsid w:val="555D1A10"/>
    <w:rsid w:val="55864FF6"/>
    <w:rsid w:val="55963292"/>
    <w:rsid w:val="55B72CB0"/>
    <w:rsid w:val="55C300FC"/>
    <w:rsid w:val="55E8347F"/>
    <w:rsid w:val="55E90F00"/>
    <w:rsid w:val="56133180"/>
    <w:rsid w:val="561E4621"/>
    <w:rsid w:val="56AC4A78"/>
    <w:rsid w:val="56B55151"/>
    <w:rsid w:val="56DB16B9"/>
    <w:rsid w:val="571C3A45"/>
    <w:rsid w:val="57435CBA"/>
    <w:rsid w:val="577A3463"/>
    <w:rsid w:val="57B35F6D"/>
    <w:rsid w:val="57BE1D80"/>
    <w:rsid w:val="57ED1E0C"/>
    <w:rsid w:val="57F967AD"/>
    <w:rsid w:val="58052975"/>
    <w:rsid w:val="581D7A74"/>
    <w:rsid w:val="58346163"/>
    <w:rsid w:val="584D1A65"/>
    <w:rsid w:val="584F3D6D"/>
    <w:rsid w:val="584F5C44"/>
    <w:rsid w:val="58A96885"/>
    <w:rsid w:val="58B8581B"/>
    <w:rsid w:val="58C919AA"/>
    <w:rsid w:val="58E525CA"/>
    <w:rsid w:val="58EE7372"/>
    <w:rsid w:val="58FD7D40"/>
    <w:rsid w:val="592B5B5A"/>
    <w:rsid w:val="593D045A"/>
    <w:rsid w:val="5960739E"/>
    <w:rsid w:val="59896D0A"/>
    <w:rsid w:val="59906B3F"/>
    <w:rsid w:val="599226DC"/>
    <w:rsid w:val="599D6D92"/>
    <w:rsid w:val="59B72684"/>
    <w:rsid w:val="59BA4144"/>
    <w:rsid w:val="59F861A7"/>
    <w:rsid w:val="5A9579AE"/>
    <w:rsid w:val="5AC468CD"/>
    <w:rsid w:val="5AC558FB"/>
    <w:rsid w:val="5B1B3C14"/>
    <w:rsid w:val="5B342B9A"/>
    <w:rsid w:val="5B452ED6"/>
    <w:rsid w:val="5B5953B0"/>
    <w:rsid w:val="5B630802"/>
    <w:rsid w:val="5B746998"/>
    <w:rsid w:val="5B807F68"/>
    <w:rsid w:val="5BA72CE5"/>
    <w:rsid w:val="5BE61256"/>
    <w:rsid w:val="5C034D53"/>
    <w:rsid w:val="5C0A43A9"/>
    <w:rsid w:val="5C41066B"/>
    <w:rsid w:val="5C620B9F"/>
    <w:rsid w:val="5C79798F"/>
    <w:rsid w:val="5C7F2AAC"/>
    <w:rsid w:val="5CBC24FC"/>
    <w:rsid w:val="5CDA5F34"/>
    <w:rsid w:val="5D0E2082"/>
    <w:rsid w:val="5D161948"/>
    <w:rsid w:val="5D722852"/>
    <w:rsid w:val="5E1D6F56"/>
    <w:rsid w:val="5E52187F"/>
    <w:rsid w:val="5E6A13CD"/>
    <w:rsid w:val="5E705D15"/>
    <w:rsid w:val="5E7B72A3"/>
    <w:rsid w:val="5E9305B9"/>
    <w:rsid w:val="5E93326C"/>
    <w:rsid w:val="5E9F1A7A"/>
    <w:rsid w:val="5EAB5261"/>
    <w:rsid w:val="5EAF3818"/>
    <w:rsid w:val="5EBB33F9"/>
    <w:rsid w:val="5EE62ABD"/>
    <w:rsid w:val="5EF519D2"/>
    <w:rsid w:val="5EFB4BA4"/>
    <w:rsid w:val="5EFD23AE"/>
    <w:rsid w:val="5F025452"/>
    <w:rsid w:val="5F5F46B5"/>
    <w:rsid w:val="5F8E1258"/>
    <w:rsid w:val="5FB25360"/>
    <w:rsid w:val="5FBA3CC0"/>
    <w:rsid w:val="5FD90D61"/>
    <w:rsid w:val="5FE96BD1"/>
    <w:rsid w:val="5FEA0B84"/>
    <w:rsid w:val="60177697"/>
    <w:rsid w:val="602329DB"/>
    <w:rsid w:val="607777D6"/>
    <w:rsid w:val="609E6657"/>
    <w:rsid w:val="60B34B89"/>
    <w:rsid w:val="60BC76A1"/>
    <w:rsid w:val="610B7637"/>
    <w:rsid w:val="612279BA"/>
    <w:rsid w:val="614D1FB2"/>
    <w:rsid w:val="615F5624"/>
    <w:rsid w:val="616014D4"/>
    <w:rsid w:val="61AD52A1"/>
    <w:rsid w:val="61D215CF"/>
    <w:rsid w:val="62042FA0"/>
    <w:rsid w:val="62192CCC"/>
    <w:rsid w:val="623B7475"/>
    <w:rsid w:val="62414951"/>
    <w:rsid w:val="625901AB"/>
    <w:rsid w:val="625C563D"/>
    <w:rsid w:val="626A1704"/>
    <w:rsid w:val="627921C2"/>
    <w:rsid w:val="62B362C8"/>
    <w:rsid w:val="62C1330E"/>
    <w:rsid w:val="62C21944"/>
    <w:rsid w:val="62DD39C2"/>
    <w:rsid w:val="62EB67A0"/>
    <w:rsid w:val="62EC0759"/>
    <w:rsid w:val="62F200E4"/>
    <w:rsid w:val="62F93042"/>
    <w:rsid w:val="63084806"/>
    <w:rsid w:val="6342085E"/>
    <w:rsid w:val="635A49E3"/>
    <w:rsid w:val="636F415C"/>
    <w:rsid w:val="63714375"/>
    <w:rsid w:val="637569B7"/>
    <w:rsid w:val="63C329BB"/>
    <w:rsid w:val="63E85179"/>
    <w:rsid w:val="645A0930"/>
    <w:rsid w:val="647B624F"/>
    <w:rsid w:val="64917820"/>
    <w:rsid w:val="64AA1CC5"/>
    <w:rsid w:val="64E9279D"/>
    <w:rsid w:val="64EB5CA0"/>
    <w:rsid w:val="6528341F"/>
    <w:rsid w:val="6544632F"/>
    <w:rsid w:val="656B2909"/>
    <w:rsid w:val="6598607C"/>
    <w:rsid w:val="659A2704"/>
    <w:rsid w:val="65A3045D"/>
    <w:rsid w:val="65D5369F"/>
    <w:rsid w:val="65D97752"/>
    <w:rsid w:val="65E25E59"/>
    <w:rsid w:val="66174109"/>
    <w:rsid w:val="6617798C"/>
    <w:rsid w:val="66307F76"/>
    <w:rsid w:val="66580EAF"/>
    <w:rsid w:val="66694D0D"/>
    <w:rsid w:val="667B4472"/>
    <w:rsid w:val="66AB3809"/>
    <w:rsid w:val="66DD6FFB"/>
    <w:rsid w:val="66F041A8"/>
    <w:rsid w:val="6721178A"/>
    <w:rsid w:val="6739399A"/>
    <w:rsid w:val="673F39DE"/>
    <w:rsid w:val="674C5D22"/>
    <w:rsid w:val="67663AF8"/>
    <w:rsid w:val="677243C5"/>
    <w:rsid w:val="67762CFD"/>
    <w:rsid w:val="67762DCB"/>
    <w:rsid w:val="677A678D"/>
    <w:rsid w:val="678C2D71"/>
    <w:rsid w:val="67955879"/>
    <w:rsid w:val="67A17493"/>
    <w:rsid w:val="67D30B32"/>
    <w:rsid w:val="68011379"/>
    <w:rsid w:val="68252C37"/>
    <w:rsid w:val="6836320A"/>
    <w:rsid w:val="6855023B"/>
    <w:rsid w:val="68673E5E"/>
    <w:rsid w:val="68803F1E"/>
    <w:rsid w:val="68817BAC"/>
    <w:rsid w:val="689A5E59"/>
    <w:rsid w:val="68A94E70"/>
    <w:rsid w:val="68AB31C8"/>
    <w:rsid w:val="68EB61B0"/>
    <w:rsid w:val="68EE72DF"/>
    <w:rsid w:val="68FE51D1"/>
    <w:rsid w:val="690B4C92"/>
    <w:rsid w:val="690E2177"/>
    <w:rsid w:val="69442704"/>
    <w:rsid w:val="69485FEA"/>
    <w:rsid w:val="69677DC0"/>
    <w:rsid w:val="69937EC7"/>
    <w:rsid w:val="699A504F"/>
    <w:rsid w:val="69D64558"/>
    <w:rsid w:val="6A042548"/>
    <w:rsid w:val="6A0F720C"/>
    <w:rsid w:val="6A146F17"/>
    <w:rsid w:val="6A244C92"/>
    <w:rsid w:val="6A471EFD"/>
    <w:rsid w:val="6A9D076F"/>
    <w:rsid w:val="6AB57116"/>
    <w:rsid w:val="6B0F5943"/>
    <w:rsid w:val="6B17424A"/>
    <w:rsid w:val="6B2218FA"/>
    <w:rsid w:val="6B5A722E"/>
    <w:rsid w:val="6B686C59"/>
    <w:rsid w:val="6B691672"/>
    <w:rsid w:val="6B8C3281"/>
    <w:rsid w:val="6BCA2D65"/>
    <w:rsid w:val="6BE97F42"/>
    <w:rsid w:val="6BEB29A1"/>
    <w:rsid w:val="6C5660C1"/>
    <w:rsid w:val="6C5E6A51"/>
    <w:rsid w:val="6C6513C3"/>
    <w:rsid w:val="6C744268"/>
    <w:rsid w:val="6C913746"/>
    <w:rsid w:val="6C9D0B3F"/>
    <w:rsid w:val="6CD54279"/>
    <w:rsid w:val="6CD62D03"/>
    <w:rsid w:val="6CD97FB6"/>
    <w:rsid w:val="6D0B1173"/>
    <w:rsid w:val="6D0E5050"/>
    <w:rsid w:val="6D4B22B8"/>
    <w:rsid w:val="6D930013"/>
    <w:rsid w:val="6DA51372"/>
    <w:rsid w:val="6DA75264"/>
    <w:rsid w:val="6DB53B8B"/>
    <w:rsid w:val="6DBA5A94"/>
    <w:rsid w:val="6E1A1656"/>
    <w:rsid w:val="6E231DD6"/>
    <w:rsid w:val="6E5A5288"/>
    <w:rsid w:val="6E8C1058"/>
    <w:rsid w:val="6EE013EE"/>
    <w:rsid w:val="6EE079F1"/>
    <w:rsid w:val="6EE42C42"/>
    <w:rsid w:val="6F143527"/>
    <w:rsid w:val="6F7F7CB0"/>
    <w:rsid w:val="6F876AFF"/>
    <w:rsid w:val="6FE0165C"/>
    <w:rsid w:val="6FE10C44"/>
    <w:rsid w:val="70222744"/>
    <w:rsid w:val="7053381D"/>
    <w:rsid w:val="70616C6C"/>
    <w:rsid w:val="706D25DF"/>
    <w:rsid w:val="706D2B21"/>
    <w:rsid w:val="707B1384"/>
    <w:rsid w:val="70857A34"/>
    <w:rsid w:val="70985D3C"/>
    <w:rsid w:val="70C52655"/>
    <w:rsid w:val="70C57807"/>
    <w:rsid w:val="70F51137"/>
    <w:rsid w:val="70FD625F"/>
    <w:rsid w:val="71047C73"/>
    <w:rsid w:val="71066EA0"/>
    <w:rsid w:val="7109004F"/>
    <w:rsid w:val="71103167"/>
    <w:rsid w:val="71211E57"/>
    <w:rsid w:val="712E56F7"/>
    <w:rsid w:val="713954C7"/>
    <w:rsid w:val="71691ABB"/>
    <w:rsid w:val="718D0958"/>
    <w:rsid w:val="71AE1AEA"/>
    <w:rsid w:val="71CF3B6C"/>
    <w:rsid w:val="71E44916"/>
    <w:rsid w:val="71F80F33"/>
    <w:rsid w:val="722922C6"/>
    <w:rsid w:val="72367C59"/>
    <w:rsid w:val="723C5278"/>
    <w:rsid w:val="723F4D5F"/>
    <w:rsid w:val="72532C9F"/>
    <w:rsid w:val="727176A7"/>
    <w:rsid w:val="72CB03A1"/>
    <w:rsid w:val="73047240"/>
    <w:rsid w:val="730F5864"/>
    <w:rsid w:val="732D4B5D"/>
    <w:rsid w:val="73393C88"/>
    <w:rsid w:val="7362513F"/>
    <w:rsid w:val="736612A1"/>
    <w:rsid w:val="73771D49"/>
    <w:rsid w:val="73833A30"/>
    <w:rsid w:val="73846894"/>
    <w:rsid w:val="738B299C"/>
    <w:rsid w:val="73A1354E"/>
    <w:rsid w:val="73CB7009"/>
    <w:rsid w:val="73CF67B0"/>
    <w:rsid w:val="73F12089"/>
    <w:rsid w:val="73FE05FF"/>
    <w:rsid w:val="73FE4ED9"/>
    <w:rsid w:val="743D3AC4"/>
    <w:rsid w:val="745031CE"/>
    <w:rsid w:val="747D20BB"/>
    <w:rsid w:val="74A11E7D"/>
    <w:rsid w:val="74AE727B"/>
    <w:rsid w:val="74EC1DD5"/>
    <w:rsid w:val="75590B0A"/>
    <w:rsid w:val="75803ABB"/>
    <w:rsid w:val="758075D4"/>
    <w:rsid w:val="7582279F"/>
    <w:rsid w:val="75843EB5"/>
    <w:rsid w:val="75BB71AF"/>
    <w:rsid w:val="75F01962"/>
    <w:rsid w:val="760E19DF"/>
    <w:rsid w:val="76270113"/>
    <w:rsid w:val="762A586E"/>
    <w:rsid w:val="764E52E0"/>
    <w:rsid w:val="76557F3E"/>
    <w:rsid w:val="76676A53"/>
    <w:rsid w:val="76A3294D"/>
    <w:rsid w:val="76B620A1"/>
    <w:rsid w:val="76D0016F"/>
    <w:rsid w:val="76E51777"/>
    <w:rsid w:val="76F20814"/>
    <w:rsid w:val="77050D7C"/>
    <w:rsid w:val="77462524"/>
    <w:rsid w:val="77854826"/>
    <w:rsid w:val="779A6594"/>
    <w:rsid w:val="77A21064"/>
    <w:rsid w:val="77DC4DFE"/>
    <w:rsid w:val="77E34EB2"/>
    <w:rsid w:val="781564B8"/>
    <w:rsid w:val="78224ACF"/>
    <w:rsid w:val="783751ED"/>
    <w:rsid w:val="788C0686"/>
    <w:rsid w:val="78C7099A"/>
    <w:rsid w:val="78CD6DCC"/>
    <w:rsid w:val="78D07CAF"/>
    <w:rsid w:val="78DE12D7"/>
    <w:rsid w:val="78DF4BA6"/>
    <w:rsid w:val="79055F9C"/>
    <w:rsid w:val="791F37C0"/>
    <w:rsid w:val="79202AC9"/>
    <w:rsid w:val="79210683"/>
    <w:rsid w:val="793F2AFE"/>
    <w:rsid w:val="79535D1B"/>
    <w:rsid w:val="796A5940"/>
    <w:rsid w:val="79936B04"/>
    <w:rsid w:val="799C3465"/>
    <w:rsid w:val="79B14EC4"/>
    <w:rsid w:val="79B432AF"/>
    <w:rsid w:val="7A2A6B4A"/>
    <w:rsid w:val="7A3C3A9A"/>
    <w:rsid w:val="7A681070"/>
    <w:rsid w:val="7A860C7C"/>
    <w:rsid w:val="7A951BAA"/>
    <w:rsid w:val="7AB879FE"/>
    <w:rsid w:val="7AC21415"/>
    <w:rsid w:val="7B1B7885"/>
    <w:rsid w:val="7B272C86"/>
    <w:rsid w:val="7B3264DD"/>
    <w:rsid w:val="7B4D1359"/>
    <w:rsid w:val="7B664481"/>
    <w:rsid w:val="7B7A0BB6"/>
    <w:rsid w:val="7B81188A"/>
    <w:rsid w:val="7B9E2902"/>
    <w:rsid w:val="7BC854E2"/>
    <w:rsid w:val="7BC938EC"/>
    <w:rsid w:val="7C0562EC"/>
    <w:rsid w:val="7C067A45"/>
    <w:rsid w:val="7C0B2A10"/>
    <w:rsid w:val="7C27683F"/>
    <w:rsid w:val="7C4A219A"/>
    <w:rsid w:val="7CAE2219"/>
    <w:rsid w:val="7CB14B4D"/>
    <w:rsid w:val="7CF26969"/>
    <w:rsid w:val="7D25523C"/>
    <w:rsid w:val="7D2953E6"/>
    <w:rsid w:val="7D735860"/>
    <w:rsid w:val="7D7A3EEC"/>
    <w:rsid w:val="7DAA6C39"/>
    <w:rsid w:val="7DB23041"/>
    <w:rsid w:val="7DD86484"/>
    <w:rsid w:val="7E163D6A"/>
    <w:rsid w:val="7E2120FB"/>
    <w:rsid w:val="7E412630"/>
    <w:rsid w:val="7E576F8D"/>
    <w:rsid w:val="7E5F7809"/>
    <w:rsid w:val="7E870BA6"/>
    <w:rsid w:val="7EC06781"/>
    <w:rsid w:val="7ED56C53"/>
    <w:rsid w:val="7EEA1BAF"/>
    <w:rsid w:val="7F20421C"/>
    <w:rsid w:val="7F2A1A8B"/>
    <w:rsid w:val="7F5460D4"/>
    <w:rsid w:val="7F552892"/>
    <w:rsid w:val="7F8F5B55"/>
    <w:rsid w:val="7FE916E7"/>
    <w:rsid w:val="7FFB064F"/>
    <w:rsid w:val="7FFD1D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semiHidden="0" w:name="heading 3"/>
    <w:lsdException w:qFormat="1" w:uiPriority="9" w:semiHidden="0" w:name="heading 4"/>
    <w:lsdException w:qFormat="1" w:unhideWhenUsed="0" w:uiPriority="0" w:name="heading 5"/>
    <w:lsdException w:qFormat="1" w:uiPriority="9" w:name="heading 6"/>
    <w:lsdException w:qFormat="1" w:uiPriority="9" w:name="heading 7"/>
    <w:lsdException w:qFormat="1" w:uiPriority="9" w:name="heading 8"/>
    <w:lsdException w:qFormat="1" w:uiPriority="9" w:name="heading 9"/>
    <w:lsdException w:qFormat="1" w:unhideWhenUsed="0" w:uiPriority="99" w:semiHidden="0"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qFormat="1" w:unhideWhenUsed="0" w:uiPriority="98" w:name="index 9"/>
    <w:lsdException w:qFormat="1" w:unhideWhenUsed="0" w:uiPriority="39" w:semiHidden="0" w:name="toc 1"/>
    <w:lsdException w:qFormat="1"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uiPriority="99" w:name="Normal Indent"/>
    <w:lsdException w:uiPriority="99"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iPriority="99" w:name="index heading"/>
    <w:lsdException w:qFormat="1" w:unhideWhenUsed="0" w:uiPriority="35"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qFormat="1" w:unhideWhenUsed="0" w:uiPriority="99" w:semiHidden="0" w:name="toa heading"/>
    <w:lsdException w:qFormat="1" w:unhideWhenUsed="0" w:uiPriority="99" w:semiHidden="0" w:name="List"/>
    <w:lsdException w:qFormat="1"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99"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99" w:semiHidden="0" w:name="Emphasis"/>
    <w:lsdException w:qFormat="1" w:unhideWhenUsed="0" w:uiPriority="0" w:semiHidden="0" w:name="Document Map"/>
    <w:lsdException w:qFormat="1" w:unhideWhenUsed="0" w:uiPriority="0" w:semiHidden="0" w:name="Plain Text"/>
    <w:lsdException w:qFormat="1" w:unhideWhenUsed="0" w:uiPriority="99" w:name="E-mail Signature"/>
    <w:lsdException w:qFormat="1" w:unhideWhenUsed="0" w:uiPriority="99" w:semiHidden="0" w:name="Normal (Web)"/>
    <w:lsdException w:qFormat="1" w:unhideWhenUsed="0" w:uiPriority="99" w:semiHidden="0"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54"/>
    <w:qFormat/>
    <w:uiPriority w:val="9"/>
    <w:pPr>
      <w:keepNext/>
      <w:keepLines/>
      <w:jc w:val="center"/>
      <w:outlineLvl w:val="0"/>
    </w:pPr>
    <w:rPr>
      <w:b/>
      <w:bCs/>
      <w:kern w:val="44"/>
      <w:sz w:val="36"/>
      <w:szCs w:val="44"/>
    </w:rPr>
  </w:style>
  <w:style w:type="paragraph" w:styleId="3">
    <w:name w:val="heading 2"/>
    <w:basedOn w:val="1"/>
    <w:next w:val="1"/>
    <w:link w:val="55"/>
    <w:qFormat/>
    <w:uiPriority w:val="9"/>
    <w:pPr>
      <w:keepNext/>
      <w:keepLines/>
      <w:spacing w:line="360" w:lineRule="auto"/>
      <w:outlineLvl w:val="1"/>
    </w:pPr>
    <w:rPr>
      <w:rFonts w:ascii="Arial" w:hAnsi="Arial" w:eastAsia="宋体" w:cs="Times New Roman"/>
      <w:b/>
      <w:bCs/>
      <w:sz w:val="24"/>
      <w:szCs w:val="32"/>
    </w:rPr>
  </w:style>
  <w:style w:type="paragraph" w:styleId="4">
    <w:name w:val="heading 3"/>
    <w:basedOn w:val="1"/>
    <w:next w:val="1"/>
    <w:link w:val="56"/>
    <w:unhideWhenUsed/>
    <w:qFormat/>
    <w:uiPriority w:val="9"/>
    <w:pPr>
      <w:keepNext/>
      <w:keepLines/>
      <w:spacing w:before="260" w:after="260"/>
      <w:jc w:val="left"/>
      <w:outlineLvl w:val="2"/>
    </w:pPr>
    <w:rPr>
      <w:rFonts w:ascii="Calibri" w:hAnsi="Calibri" w:eastAsia="宋体" w:cs="Times New Roman"/>
      <w:b/>
      <w:bCs/>
      <w:sz w:val="32"/>
      <w:szCs w:val="32"/>
    </w:rPr>
  </w:style>
  <w:style w:type="paragraph" w:styleId="5">
    <w:name w:val="heading 4"/>
    <w:basedOn w:val="1"/>
    <w:next w:val="1"/>
    <w:link w:val="162"/>
    <w:unhideWhenUsed/>
    <w:qFormat/>
    <w:uiPriority w:val="9"/>
    <w:pPr>
      <w:keepNext/>
      <w:keepLines/>
      <w:spacing w:before="280" w:after="290" w:line="372" w:lineRule="auto"/>
      <w:outlineLvl w:val="3"/>
    </w:pPr>
    <w:rPr>
      <w:rFonts w:ascii="Arial" w:hAnsi="Arial" w:eastAsia="黑体"/>
      <w:b/>
      <w:sz w:val="28"/>
    </w:rPr>
  </w:style>
  <w:style w:type="paragraph" w:styleId="6">
    <w:name w:val="heading 5"/>
    <w:basedOn w:val="1"/>
    <w:next w:val="1"/>
    <w:link w:val="148"/>
    <w:semiHidden/>
    <w:qFormat/>
    <w:uiPriority w:val="0"/>
    <w:pPr>
      <w:keepNext/>
      <w:numPr>
        <w:ilvl w:val="0"/>
        <w:numId w:val="1"/>
      </w:numPr>
      <w:autoSpaceDE w:val="0"/>
      <w:autoSpaceDN w:val="0"/>
      <w:adjustRightInd w:val="0"/>
      <w:spacing w:line="465" w:lineRule="exact"/>
      <w:jc w:val="left"/>
      <w:outlineLvl w:val="4"/>
    </w:pPr>
    <w:rPr>
      <w:rFonts w:ascii="宋体" w:hAnsi="宋体" w:eastAsia="宋体" w:cs="Times New Roman"/>
      <w:bCs/>
      <w:iCs/>
      <w:color w:val="000000"/>
      <w:kern w:val="0"/>
      <w:sz w:val="28"/>
      <w:szCs w:val="28"/>
    </w:rPr>
  </w:style>
  <w:style w:type="character" w:default="1" w:styleId="44">
    <w:name w:val="Default Paragraph Font"/>
    <w:semiHidden/>
    <w:unhideWhenUsed/>
    <w:qFormat/>
    <w:uiPriority w:val="1"/>
  </w:style>
  <w:style w:type="table" w:default="1" w:styleId="42">
    <w:name w:val="Normal Table"/>
    <w:semiHidden/>
    <w:unhideWhenUsed/>
    <w:qFormat/>
    <w:uiPriority w:val="99"/>
    <w:tblPr>
      <w:tblCellMar>
        <w:top w:w="0" w:type="dxa"/>
        <w:left w:w="108" w:type="dxa"/>
        <w:bottom w:w="0" w:type="dxa"/>
        <w:right w:w="108" w:type="dxa"/>
      </w:tblCellMar>
    </w:tblPr>
  </w:style>
  <w:style w:type="paragraph" w:styleId="7">
    <w:name w:val="toc 7"/>
    <w:basedOn w:val="1"/>
    <w:next w:val="1"/>
    <w:qFormat/>
    <w:uiPriority w:val="39"/>
    <w:pPr>
      <w:ind w:left="1440"/>
      <w:jc w:val="left"/>
    </w:pPr>
    <w:rPr>
      <w:rFonts w:ascii="Calibri" w:hAnsi="Calibri" w:eastAsia="宋体" w:cs="Times New Roman"/>
      <w:sz w:val="18"/>
      <w:szCs w:val="18"/>
    </w:rPr>
  </w:style>
  <w:style w:type="paragraph" w:styleId="8">
    <w:name w:val="E-mail Signature"/>
    <w:basedOn w:val="1"/>
    <w:link w:val="149"/>
    <w:semiHidden/>
    <w:qFormat/>
    <w:uiPriority w:val="99"/>
    <w:pPr>
      <w:spacing w:after="200" w:line="276" w:lineRule="auto"/>
      <w:jc w:val="left"/>
    </w:pPr>
    <w:rPr>
      <w:rFonts w:ascii="Calibri" w:hAnsi="Calibri" w:eastAsia="宋体" w:cs="Times New Roman"/>
      <w:kern w:val="0"/>
      <w:szCs w:val="21"/>
    </w:rPr>
  </w:style>
  <w:style w:type="paragraph" w:styleId="9">
    <w:name w:val="caption"/>
    <w:basedOn w:val="1"/>
    <w:next w:val="1"/>
    <w:qFormat/>
    <w:uiPriority w:val="35"/>
    <w:pPr>
      <w:spacing w:before="152" w:after="160"/>
    </w:pPr>
    <w:rPr>
      <w:rFonts w:ascii="Arial" w:hAnsi="Arial" w:eastAsia="黑体" w:cs="Arial"/>
      <w:sz w:val="20"/>
      <w:szCs w:val="20"/>
    </w:rPr>
  </w:style>
  <w:style w:type="paragraph" w:styleId="10">
    <w:name w:val="List Bullet"/>
    <w:basedOn w:val="1"/>
    <w:next w:val="11"/>
    <w:semiHidden/>
    <w:unhideWhenUsed/>
    <w:qFormat/>
    <w:uiPriority w:val="99"/>
    <w:pPr>
      <w:numPr>
        <w:ilvl w:val="0"/>
        <w:numId w:val="2"/>
      </w:numPr>
      <w:spacing w:line="440" w:lineRule="exact"/>
      <w:ind w:firstLine="200" w:firstLineChars="200"/>
    </w:pPr>
    <w:rPr>
      <w:rFonts w:ascii="Times New Roman" w:hAnsi="Times New Roman" w:eastAsia="宋体"/>
      <w:sz w:val="24"/>
    </w:rPr>
  </w:style>
  <w:style w:type="paragraph" w:styleId="11">
    <w:name w:val="Block Text"/>
    <w:basedOn w:val="1"/>
    <w:qFormat/>
    <w:uiPriority w:val="0"/>
    <w:pPr>
      <w:tabs>
        <w:tab w:val="left" w:pos="-720"/>
      </w:tabs>
      <w:suppressAutoHyphens/>
      <w:wordWrap w:val="0"/>
      <w:overflowPunct w:val="0"/>
      <w:topLinePunct/>
      <w:autoSpaceDE w:val="0"/>
      <w:autoSpaceDN w:val="0"/>
      <w:adjustRightInd w:val="0"/>
      <w:spacing w:line="288" w:lineRule="auto"/>
      <w:ind w:left="284" w:firstLine="200" w:firstLineChars="200"/>
      <w:textAlignment w:val="baseline"/>
    </w:pPr>
    <w:rPr>
      <w:rFonts w:ascii="Arial" w:hAnsi="Arial" w:eastAsia="黑体" w:cs="Arial"/>
      <w:sz w:val="20"/>
      <w:szCs w:val="20"/>
    </w:rPr>
  </w:style>
  <w:style w:type="paragraph" w:styleId="12">
    <w:name w:val="Document Map"/>
    <w:basedOn w:val="1"/>
    <w:link w:val="77"/>
    <w:qFormat/>
    <w:uiPriority w:val="0"/>
    <w:pPr>
      <w:shd w:val="clear" w:color="auto" w:fill="000080"/>
    </w:pPr>
    <w:rPr>
      <w:sz w:val="24"/>
    </w:rPr>
  </w:style>
  <w:style w:type="paragraph" w:styleId="13">
    <w:name w:val="toa heading"/>
    <w:basedOn w:val="1"/>
    <w:next w:val="1"/>
    <w:qFormat/>
    <w:uiPriority w:val="99"/>
    <w:pPr>
      <w:spacing w:before="120"/>
    </w:pPr>
    <w:rPr>
      <w:rFonts w:ascii="Arial" w:hAnsi="Arial" w:eastAsia="宋体" w:cs="Arial"/>
      <w:sz w:val="24"/>
      <w:szCs w:val="24"/>
    </w:rPr>
  </w:style>
  <w:style w:type="paragraph" w:styleId="14">
    <w:name w:val="annotation text"/>
    <w:basedOn w:val="1"/>
    <w:link w:val="68"/>
    <w:qFormat/>
    <w:uiPriority w:val="99"/>
    <w:pPr>
      <w:jc w:val="left"/>
    </w:pPr>
  </w:style>
  <w:style w:type="paragraph" w:styleId="15">
    <w:name w:val="Body Text"/>
    <w:basedOn w:val="1"/>
    <w:next w:val="16"/>
    <w:link w:val="88"/>
    <w:qFormat/>
    <w:uiPriority w:val="99"/>
    <w:pPr>
      <w:adjustRightInd w:val="0"/>
      <w:spacing w:before="120" w:after="120" w:afterLines="50" w:line="280" w:lineRule="atLeast"/>
      <w:textAlignment w:val="baseline"/>
    </w:pPr>
    <w:rPr>
      <w:rFonts w:ascii="Calibri" w:hAnsi="Calibri" w:eastAsia="新宋体" w:cs="Times New Roman"/>
      <w:szCs w:val="21"/>
    </w:rPr>
  </w:style>
  <w:style w:type="paragraph" w:styleId="16">
    <w:name w:val="Body Text Indent"/>
    <w:basedOn w:val="1"/>
    <w:link w:val="85"/>
    <w:qFormat/>
    <w:uiPriority w:val="99"/>
    <w:pPr>
      <w:spacing w:after="120"/>
      <w:ind w:left="420" w:leftChars="200"/>
    </w:pPr>
    <w:rPr>
      <w:rFonts w:ascii="Calibri" w:hAnsi="Calibri" w:eastAsia="宋体" w:cs="Times New Roman"/>
      <w:szCs w:val="20"/>
    </w:rPr>
  </w:style>
  <w:style w:type="paragraph" w:styleId="17">
    <w:name w:val="index 4"/>
    <w:basedOn w:val="1"/>
    <w:next w:val="1"/>
    <w:qFormat/>
    <w:uiPriority w:val="0"/>
    <w:pPr>
      <w:ind w:left="600" w:leftChars="600"/>
    </w:pPr>
  </w:style>
  <w:style w:type="paragraph" w:styleId="18">
    <w:name w:val="toc 5"/>
    <w:basedOn w:val="1"/>
    <w:next w:val="1"/>
    <w:qFormat/>
    <w:uiPriority w:val="39"/>
    <w:pPr>
      <w:ind w:left="960"/>
      <w:jc w:val="left"/>
    </w:pPr>
    <w:rPr>
      <w:rFonts w:ascii="Calibri" w:hAnsi="Calibri" w:eastAsia="宋体" w:cs="Times New Roman"/>
      <w:sz w:val="18"/>
      <w:szCs w:val="18"/>
    </w:rPr>
  </w:style>
  <w:style w:type="paragraph" w:styleId="19">
    <w:name w:val="toc 3"/>
    <w:basedOn w:val="1"/>
    <w:next w:val="1"/>
    <w:qFormat/>
    <w:uiPriority w:val="39"/>
    <w:pPr>
      <w:ind w:left="480"/>
      <w:jc w:val="left"/>
    </w:pPr>
    <w:rPr>
      <w:rFonts w:ascii="Calibri" w:hAnsi="Calibri" w:eastAsia="宋体" w:cs="Times New Roman"/>
      <w:i/>
      <w:iCs/>
      <w:sz w:val="20"/>
      <w:szCs w:val="20"/>
    </w:rPr>
  </w:style>
  <w:style w:type="paragraph" w:styleId="20">
    <w:name w:val="Plain Text"/>
    <w:basedOn w:val="1"/>
    <w:link w:val="79"/>
    <w:qFormat/>
    <w:uiPriority w:val="0"/>
    <w:rPr>
      <w:rFonts w:ascii="宋体" w:hAnsi="Courier New"/>
    </w:rPr>
  </w:style>
  <w:style w:type="paragraph" w:styleId="21">
    <w:name w:val="toc 8"/>
    <w:basedOn w:val="1"/>
    <w:next w:val="1"/>
    <w:qFormat/>
    <w:uiPriority w:val="39"/>
    <w:pPr>
      <w:ind w:left="1680"/>
      <w:jc w:val="left"/>
    </w:pPr>
    <w:rPr>
      <w:rFonts w:ascii="Calibri" w:hAnsi="Calibri" w:eastAsia="宋体" w:cs="Times New Roman"/>
      <w:sz w:val="18"/>
      <w:szCs w:val="18"/>
    </w:rPr>
  </w:style>
  <w:style w:type="paragraph" w:styleId="22">
    <w:name w:val="Date"/>
    <w:basedOn w:val="1"/>
    <w:next w:val="1"/>
    <w:link w:val="70"/>
    <w:qFormat/>
    <w:uiPriority w:val="0"/>
    <w:pPr>
      <w:ind w:left="100" w:leftChars="2500"/>
    </w:pPr>
    <w:rPr>
      <w:sz w:val="24"/>
    </w:rPr>
  </w:style>
  <w:style w:type="paragraph" w:styleId="23">
    <w:name w:val="Body Text Indent 2"/>
    <w:basedOn w:val="1"/>
    <w:link w:val="58"/>
    <w:qFormat/>
    <w:uiPriority w:val="0"/>
    <w:pPr>
      <w:spacing w:after="120" w:line="480" w:lineRule="auto"/>
      <w:ind w:left="420" w:leftChars="200"/>
    </w:pPr>
  </w:style>
  <w:style w:type="paragraph" w:styleId="24">
    <w:name w:val="Balloon Text"/>
    <w:basedOn w:val="1"/>
    <w:link w:val="74"/>
    <w:qFormat/>
    <w:uiPriority w:val="0"/>
    <w:rPr>
      <w:sz w:val="18"/>
    </w:rPr>
  </w:style>
  <w:style w:type="paragraph" w:styleId="25">
    <w:name w:val="footer"/>
    <w:basedOn w:val="1"/>
    <w:link w:val="80"/>
    <w:qFormat/>
    <w:uiPriority w:val="0"/>
    <w:pPr>
      <w:tabs>
        <w:tab w:val="center" w:pos="4153"/>
        <w:tab w:val="right" w:pos="8306"/>
      </w:tabs>
      <w:snapToGrid w:val="0"/>
      <w:jc w:val="left"/>
    </w:pPr>
    <w:rPr>
      <w:sz w:val="18"/>
    </w:rPr>
  </w:style>
  <w:style w:type="paragraph" w:styleId="26">
    <w:name w:val="header"/>
    <w:basedOn w:val="1"/>
    <w:link w:val="66"/>
    <w:qFormat/>
    <w:uiPriority w:val="0"/>
    <w:pPr>
      <w:pBdr>
        <w:bottom w:val="single" w:color="auto" w:sz="6" w:space="1"/>
      </w:pBdr>
      <w:tabs>
        <w:tab w:val="center" w:pos="4153"/>
        <w:tab w:val="right" w:pos="8306"/>
      </w:tabs>
      <w:snapToGrid w:val="0"/>
      <w:jc w:val="center"/>
    </w:pPr>
    <w:rPr>
      <w:sz w:val="18"/>
    </w:rPr>
  </w:style>
  <w:style w:type="paragraph" w:styleId="27">
    <w:name w:val="toc 1"/>
    <w:basedOn w:val="1"/>
    <w:next w:val="1"/>
    <w:qFormat/>
    <w:uiPriority w:val="39"/>
    <w:pPr>
      <w:spacing w:line="360" w:lineRule="auto"/>
      <w:jc w:val="left"/>
    </w:pPr>
    <w:rPr>
      <w:rFonts w:ascii="宋体" w:hAnsi="宋体" w:eastAsia="宋体" w:cs="Times New Roman"/>
      <w:b/>
      <w:caps/>
      <w:color w:val="FF0000"/>
      <w:szCs w:val="21"/>
    </w:rPr>
  </w:style>
  <w:style w:type="paragraph" w:styleId="28">
    <w:name w:val="toc 4"/>
    <w:basedOn w:val="1"/>
    <w:next w:val="1"/>
    <w:qFormat/>
    <w:uiPriority w:val="39"/>
    <w:pPr>
      <w:ind w:left="720"/>
      <w:jc w:val="left"/>
    </w:pPr>
    <w:rPr>
      <w:rFonts w:ascii="Calibri" w:hAnsi="Calibri" w:eastAsia="宋体" w:cs="Times New Roman"/>
      <w:sz w:val="18"/>
      <w:szCs w:val="18"/>
    </w:rPr>
  </w:style>
  <w:style w:type="paragraph" w:styleId="29">
    <w:name w:val="List"/>
    <w:basedOn w:val="1"/>
    <w:qFormat/>
    <w:uiPriority w:val="99"/>
    <w:pPr>
      <w:ind w:left="420" w:hanging="420"/>
    </w:pPr>
    <w:rPr>
      <w:rFonts w:ascii="Times New Roman" w:hAnsi="Times New Roman" w:eastAsia="宋体" w:cs="Times New Roman"/>
      <w:szCs w:val="20"/>
    </w:rPr>
  </w:style>
  <w:style w:type="paragraph" w:styleId="30">
    <w:name w:val="toc 6"/>
    <w:basedOn w:val="1"/>
    <w:next w:val="1"/>
    <w:qFormat/>
    <w:uiPriority w:val="39"/>
    <w:pPr>
      <w:ind w:left="1200"/>
      <w:jc w:val="left"/>
    </w:pPr>
    <w:rPr>
      <w:rFonts w:ascii="Calibri" w:hAnsi="Calibri" w:eastAsia="宋体" w:cs="Times New Roman"/>
      <w:sz w:val="18"/>
      <w:szCs w:val="18"/>
    </w:rPr>
  </w:style>
  <w:style w:type="paragraph" w:styleId="31">
    <w:name w:val="Body Text Indent 3"/>
    <w:basedOn w:val="1"/>
    <w:link w:val="60"/>
    <w:qFormat/>
    <w:uiPriority w:val="0"/>
    <w:pPr>
      <w:spacing w:after="120"/>
      <w:ind w:left="420" w:leftChars="200"/>
    </w:pPr>
    <w:rPr>
      <w:sz w:val="16"/>
    </w:rPr>
  </w:style>
  <w:style w:type="paragraph" w:styleId="32">
    <w:name w:val="index 9"/>
    <w:basedOn w:val="1"/>
    <w:next w:val="1"/>
    <w:semiHidden/>
    <w:qFormat/>
    <w:uiPriority w:val="98"/>
    <w:pPr>
      <w:ind w:left="1600" w:leftChars="1600"/>
    </w:pPr>
    <w:rPr>
      <w:rFonts w:ascii="Times New Roman" w:hAnsi="Times New Roman" w:eastAsia="宋体" w:cs="Times New Roman"/>
      <w:szCs w:val="20"/>
    </w:rPr>
  </w:style>
  <w:style w:type="paragraph" w:styleId="33">
    <w:name w:val="toc 2"/>
    <w:basedOn w:val="1"/>
    <w:next w:val="1"/>
    <w:unhideWhenUsed/>
    <w:qFormat/>
    <w:uiPriority w:val="39"/>
    <w:pPr>
      <w:ind w:left="420" w:leftChars="200"/>
    </w:pPr>
    <w:rPr>
      <w:rFonts w:ascii="Calibri" w:hAnsi="Calibri" w:eastAsia="宋体" w:cs="Times New Roman"/>
      <w:szCs w:val="20"/>
    </w:rPr>
  </w:style>
  <w:style w:type="paragraph" w:styleId="34">
    <w:name w:val="toc 9"/>
    <w:basedOn w:val="1"/>
    <w:next w:val="1"/>
    <w:qFormat/>
    <w:uiPriority w:val="39"/>
    <w:pPr>
      <w:ind w:left="1920"/>
      <w:jc w:val="left"/>
    </w:pPr>
    <w:rPr>
      <w:rFonts w:ascii="Calibri" w:hAnsi="Calibri" w:eastAsia="宋体" w:cs="Times New Roman"/>
      <w:sz w:val="18"/>
      <w:szCs w:val="18"/>
    </w:rPr>
  </w:style>
  <w:style w:type="paragraph" w:styleId="35">
    <w:name w:val="Message Header"/>
    <w:basedOn w:val="1"/>
    <w:link w:val="150"/>
    <w:semiHidden/>
    <w:qFormat/>
    <w:uiPriority w:val="99"/>
    <w:pPr>
      <w:pBdr>
        <w:top w:val="single" w:color="auto" w:sz="6" w:space="1"/>
        <w:left w:val="single" w:color="auto" w:sz="6" w:space="1"/>
        <w:bottom w:val="single" w:color="auto" w:sz="6" w:space="1"/>
        <w:right w:val="single" w:color="auto" w:sz="6" w:space="1"/>
      </w:pBdr>
      <w:shd w:val="pct20" w:color="auto" w:fill="auto"/>
      <w:spacing w:after="200" w:line="276" w:lineRule="auto"/>
      <w:ind w:left="1080" w:leftChars="500" w:hanging="1080" w:hangingChars="500"/>
      <w:jc w:val="left"/>
    </w:pPr>
    <w:rPr>
      <w:rFonts w:ascii="Cambria" w:hAnsi="Cambria" w:eastAsia="宋体" w:cs="Cambria"/>
      <w:kern w:val="0"/>
      <w:sz w:val="24"/>
      <w:szCs w:val="24"/>
    </w:rPr>
  </w:style>
  <w:style w:type="paragraph" w:styleId="36">
    <w:name w:val="Normal (Web)"/>
    <w:basedOn w:val="1"/>
    <w:qFormat/>
    <w:uiPriority w:val="99"/>
    <w:rPr>
      <w:rFonts w:ascii="Calibri" w:hAnsi="Calibri" w:eastAsia="宋体" w:cs="Times New Roman"/>
      <w:sz w:val="24"/>
      <w:szCs w:val="20"/>
    </w:rPr>
  </w:style>
  <w:style w:type="paragraph" w:styleId="37">
    <w:name w:val="index 1"/>
    <w:basedOn w:val="1"/>
    <w:next w:val="1"/>
    <w:qFormat/>
    <w:uiPriority w:val="99"/>
    <w:rPr>
      <w:rFonts w:ascii="Calibri" w:hAnsi="Calibri" w:eastAsia="宋体" w:cs="Times New Roman"/>
      <w:sz w:val="24"/>
      <w:szCs w:val="24"/>
    </w:rPr>
  </w:style>
  <w:style w:type="paragraph" w:styleId="38">
    <w:name w:val="Title"/>
    <w:basedOn w:val="1"/>
    <w:next w:val="1"/>
    <w:link w:val="69"/>
    <w:qFormat/>
    <w:uiPriority w:val="0"/>
    <w:pPr>
      <w:spacing w:before="160" w:after="40" w:line="240" w:lineRule="atLeast"/>
      <w:ind w:left="425" w:hanging="425"/>
      <w:jc w:val="center"/>
      <w:outlineLvl w:val="0"/>
    </w:pPr>
    <w:rPr>
      <w:rFonts w:ascii="Arial" w:hAnsi="Arial"/>
      <w:b/>
      <w:sz w:val="32"/>
    </w:rPr>
  </w:style>
  <w:style w:type="paragraph" w:styleId="39">
    <w:name w:val="annotation subject"/>
    <w:basedOn w:val="14"/>
    <w:next w:val="14"/>
    <w:link w:val="59"/>
    <w:qFormat/>
    <w:uiPriority w:val="0"/>
    <w:rPr>
      <w:b/>
    </w:rPr>
  </w:style>
  <w:style w:type="paragraph" w:styleId="40">
    <w:name w:val="Body Text First Indent"/>
    <w:basedOn w:val="15"/>
    <w:link w:val="210"/>
    <w:qFormat/>
    <w:uiPriority w:val="0"/>
    <w:pPr>
      <w:ind w:firstLine="420" w:firstLineChars="100"/>
    </w:pPr>
  </w:style>
  <w:style w:type="paragraph" w:styleId="41">
    <w:name w:val="Body Text First Indent 2"/>
    <w:basedOn w:val="16"/>
    <w:link w:val="211"/>
    <w:qFormat/>
    <w:uiPriority w:val="99"/>
    <w:pPr>
      <w:spacing w:line="276" w:lineRule="auto"/>
      <w:ind w:firstLine="420" w:firstLineChars="200"/>
      <w:jc w:val="left"/>
    </w:pPr>
  </w:style>
  <w:style w:type="table" w:styleId="43">
    <w:name w:val="Table Grid"/>
    <w:basedOn w:val="42"/>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5">
    <w:name w:val="Strong"/>
    <w:basedOn w:val="44"/>
    <w:qFormat/>
    <w:uiPriority w:val="22"/>
    <w:rPr>
      <w:b/>
    </w:rPr>
  </w:style>
  <w:style w:type="character" w:styleId="46">
    <w:name w:val="page number"/>
    <w:basedOn w:val="44"/>
    <w:qFormat/>
    <w:uiPriority w:val="99"/>
    <w:rPr>
      <w:rFonts w:cs="Times New Roman"/>
    </w:rPr>
  </w:style>
  <w:style w:type="character" w:styleId="47">
    <w:name w:val="FollowedHyperlink"/>
    <w:basedOn w:val="44"/>
    <w:qFormat/>
    <w:uiPriority w:val="99"/>
    <w:rPr>
      <w:color w:val="800080"/>
      <w:u w:val="single"/>
    </w:rPr>
  </w:style>
  <w:style w:type="character" w:styleId="48">
    <w:name w:val="Emphasis"/>
    <w:qFormat/>
    <w:uiPriority w:val="99"/>
    <w:rPr>
      <w:rFonts w:cs="Times New Roman"/>
      <w:color w:val="auto"/>
    </w:rPr>
  </w:style>
  <w:style w:type="character" w:styleId="49">
    <w:name w:val="HTML Acronym"/>
    <w:basedOn w:val="44"/>
    <w:qFormat/>
    <w:uiPriority w:val="99"/>
  </w:style>
  <w:style w:type="character" w:styleId="50">
    <w:name w:val="Hyperlink"/>
    <w:basedOn w:val="44"/>
    <w:qFormat/>
    <w:uiPriority w:val="99"/>
    <w:rPr>
      <w:color w:val="1F4F88"/>
      <w:u w:val="none"/>
    </w:rPr>
  </w:style>
  <w:style w:type="character" w:styleId="51">
    <w:name w:val="annotation reference"/>
    <w:basedOn w:val="44"/>
    <w:qFormat/>
    <w:uiPriority w:val="99"/>
    <w:rPr>
      <w:sz w:val="21"/>
    </w:rPr>
  </w:style>
  <w:style w:type="paragraph" w:customStyle="1" w:styleId="52">
    <w:name w:val="Default"/>
    <w:link w:val="81"/>
    <w:qFormat/>
    <w:uiPriority w:val="0"/>
    <w:pPr>
      <w:widowControl w:val="0"/>
      <w:autoSpaceDE w:val="0"/>
      <w:autoSpaceDN w:val="0"/>
      <w:adjustRightInd w:val="0"/>
    </w:pPr>
    <w:rPr>
      <w:rFonts w:ascii="仿宋_GB2312" w:eastAsia="仿宋_GB2312" w:hAnsiTheme="minorHAnsi" w:cstheme="minorBidi"/>
      <w:color w:val="000000"/>
      <w:kern w:val="2"/>
      <w:sz w:val="24"/>
      <w:szCs w:val="22"/>
      <w:lang w:val="en-US" w:eastAsia="zh-CN" w:bidi="ar-SA"/>
    </w:rPr>
  </w:style>
  <w:style w:type="paragraph" w:customStyle="1" w:styleId="53">
    <w:name w:val="Fließtext"/>
    <w:basedOn w:val="1"/>
    <w:qFormat/>
    <w:uiPriority w:val="99"/>
    <w:pPr>
      <w:widowControl/>
      <w:ind w:left="1134"/>
      <w:jc w:val="left"/>
    </w:pPr>
    <w:rPr>
      <w:rFonts w:ascii="Arial" w:hAnsi="Arial"/>
      <w:kern w:val="0"/>
      <w:szCs w:val="20"/>
      <w:lang w:val="de-DE" w:eastAsia="de-DE"/>
    </w:rPr>
  </w:style>
  <w:style w:type="character" w:customStyle="1" w:styleId="54">
    <w:name w:val="标题 1 字符"/>
    <w:basedOn w:val="44"/>
    <w:link w:val="2"/>
    <w:qFormat/>
    <w:uiPriority w:val="9"/>
    <w:rPr>
      <w:rFonts w:ascii="Calibri" w:hAnsi="Calibri" w:eastAsia="宋体" w:cs="Times New Roman"/>
      <w:b/>
      <w:bCs/>
      <w:kern w:val="44"/>
      <w:sz w:val="36"/>
      <w:szCs w:val="44"/>
    </w:rPr>
  </w:style>
  <w:style w:type="character" w:customStyle="1" w:styleId="55">
    <w:name w:val="标题 2 字符"/>
    <w:basedOn w:val="44"/>
    <w:link w:val="3"/>
    <w:qFormat/>
    <w:uiPriority w:val="9"/>
    <w:rPr>
      <w:rFonts w:ascii="Arial" w:hAnsi="Arial" w:eastAsia="宋体" w:cs="Times New Roman"/>
      <w:b/>
      <w:bCs/>
      <w:sz w:val="24"/>
      <w:szCs w:val="32"/>
    </w:rPr>
  </w:style>
  <w:style w:type="character" w:customStyle="1" w:styleId="56">
    <w:name w:val="标题 3 字符"/>
    <w:basedOn w:val="44"/>
    <w:link w:val="4"/>
    <w:qFormat/>
    <w:uiPriority w:val="9"/>
    <w:rPr>
      <w:rFonts w:ascii="Calibri" w:hAnsi="Calibri"/>
      <w:b/>
      <w:bCs/>
      <w:kern w:val="2"/>
      <w:sz w:val="32"/>
      <w:szCs w:val="32"/>
    </w:rPr>
  </w:style>
  <w:style w:type="character" w:customStyle="1" w:styleId="57">
    <w:name w:val="Char Char3"/>
    <w:qFormat/>
    <w:uiPriority w:val="0"/>
    <w:rPr>
      <w:rFonts w:ascii="宋体" w:hAnsi="Courier New" w:eastAsia="宋体"/>
      <w:kern w:val="2"/>
      <w:sz w:val="21"/>
      <w:lang w:val="en-US" w:eastAsia="zh-CN"/>
    </w:rPr>
  </w:style>
  <w:style w:type="character" w:customStyle="1" w:styleId="58">
    <w:name w:val="正文文本缩进 2 字符"/>
    <w:link w:val="23"/>
    <w:qFormat/>
    <w:locked/>
    <w:uiPriority w:val="0"/>
  </w:style>
  <w:style w:type="character" w:customStyle="1" w:styleId="59">
    <w:name w:val="批注主题 字符"/>
    <w:link w:val="39"/>
    <w:qFormat/>
    <w:locked/>
    <w:uiPriority w:val="0"/>
    <w:rPr>
      <w:b/>
    </w:rPr>
  </w:style>
  <w:style w:type="character" w:customStyle="1" w:styleId="60">
    <w:name w:val="正文文本缩进 3 字符"/>
    <w:link w:val="31"/>
    <w:qFormat/>
    <w:locked/>
    <w:uiPriority w:val="0"/>
    <w:rPr>
      <w:sz w:val="16"/>
    </w:rPr>
  </w:style>
  <w:style w:type="character" w:customStyle="1" w:styleId="61">
    <w:name w:val="纯文本 Char"/>
    <w:qFormat/>
    <w:uiPriority w:val="0"/>
    <w:rPr>
      <w:rFonts w:ascii="宋体" w:hAnsi="Courier New" w:eastAsia="宋体"/>
      <w:kern w:val="2"/>
      <w:sz w:val="21"/>
      <w:lang w:val="en-US" w:eastAsia="zh-CN"/>
    </w:rPr>
  </w:style>
  <w:style w:type="character" w:customStyle="1" w:styleId="62">
    <w:name w:val="Char Char2"/>
    <w:qFormat/>
    <w:uiPriority w:val="0"/>
    <w:rPr>
      <w:rFonts w:ascii="宋体" w:hAnsi="Courier New"/>
      <w:kern w:val="2"/>
      <w:sz w:val="21"/>
    </w:rPr>
  </w:style>
  <w:style w:type="character" w:customStyle="1" w:styleId="63">
    <w:name w:val="列出段落 字符"/>
    <w:link w:val="64"/>
    <w:qFormat/>
    <w:locked/>
    <w:uiPriority w:val="34"/>
    <w:rPr>
      <w:sz w:val="22"/>
    </w:rPr>
  </w:style>
  <w:style w:type="paragraph" w:customStyle="1" w:styleId="64">
    <w:name w:val="列出段落1"/>
    <w:basedOn w:val="1"/>
    <w:link w:val="63"/>
    <w:qFormat/>
    <w:uiPriority w:val="34"/>
    <w:pPr>
      <w:ind w:firstLine="420" w:firstLineChars="200"/>
    </w:pPr>
    <w:rPr>
      <w:sz w:val="22"/>
    </w:rPr>
  </w:style>
  <w:style w:type="character" w:customStyle="1" w:styleId="65">
    <w:name w:val="apple-converted-space"/>
    <w:basedOn w:val="44"/>
    <w:qFormat/>
    <w:uiPriority w:val="0"/>
    <w:rPr>
      <w:rFonts w:cs="Times New Roman"/>
    </w:rPr>
  </w:style>
  <w:style w:type="character" w:customStyle="1" w:styleId="66">
    <w:name w:val="页眉 字符"/>
    <w:link w:val="26"/>
    <w:qFormat/>
    <w:locked/>
    <w:uiPriority w:val="0"/>
    <w:rPr>
      <w:sz w:val="18"/>
    </w:rPr>
  </w:style>
  <w:style w:type="character" w:customStyle="1" w:styleId="67">
    <w:name w:val="BODY TEXT Char"/>
    <w:qFormat/>
    <w:locked/>
    <w:uiPriority w:val="0"/>
    <w:rPr>
      <w:rFonts w:eastAsia="新宋体"/>
      <w:kern w:val="2"/>
      <w:sz w:val="21"/>
    </w:rPr>
  </w:style>
  <w:style w:type="character" w:customStyle="1" w:styleId="68">
    <w:name w:val="批注文字 字符"/>
    <w:link w:val="14"/>
    <w:qFormat/>
    <w:locked/>
    <w:uiPriority w:val="99"/>
  </w:style>
  <w:style w:type="character" w:customStyle="1" w:styleId="69">
    <w:name w:val="标题 字符"/>
    <w:link w:val="38"/>
    <w:qFormat/>
    <w:locked/>
    <w:uiPriority w:val="0"/>
    <w:rPr>
      <w:rFonts w:ascii="Arial" w:hAnsi="Arial"/>
      <w:b/>
      <w:sz w:val="32"/>
    </w:rPr>
  </w:style>
  <w:style w:type="character" w:customStyle="1" w:styleId="70">
    <w:name w:val="日期 字符"/>
    <w:link w:val="22"/>
    <w:qFormat/>
    <w:locked/>
    <w:uiPriority w:val="0"/>
    <w:rPr>
      <w:sz w:val="24"/>
    </w:rPr>
  </w:style>
  <w:style w:type="character" w:customStyle="1" w:styleId="71">
    <w:name w:val="ATXT_Bullets Zchn"/>
    <w:link w:val="72"/>
    <w:qFormat/>
    <w:locked/>
    <w:uiPriority w:val="99"/>
    <w:rPr>
      <w:rFonts w:ascii="Arial" w:hAnsi="Arial"/>
      <w:lang w:val="de-AT" w:eastAsia="zh-CN"/>
    </w:rPr>
  </w:style>
  <w:style w:type="paragraph" w:customStyle="1" w:styleId="72">
    <w:name w:val="ATXT_Bullets"/>
    <w:link w:val="71"/>
    <w:qFormat/>
    <w:uiPriority w:val="99"/>
    <w:pPr>
      <w:widowControl w:val="0"/>
      <w:tabs>
        <w:tab w:val="left" w:pos="360"/>
        <w:tab w:val="left" w:pos="2040"/>
      </w:tabs>
      <w:autoSpaceDE w:val="0"/>
      <w:autoSpaceDN w:val="0"/>
      <w:adjustRightInd w:val="0"/>
      <w:ind w:left="1494"/>
      <w:jc w:val="both"/>
    </w:pPr>
    <w:rPr>
      <w:rFonts w:ascii="Arial" w:hAnsi="Arial" w:eastAsiaTheme="minorEastAsia" w:cstheme="minorBidi"/>
      <w:kern w:val="2"/>
      <w:sz w:val="21"/>
      <w:szCs w:val="22"/>
      <w:lang w:val="de-AT" w:eastAsia="zh-CN" w:bidi="ar-SA"/>
    </w:rPr>
  </w:style>
  <w:style w:type="character" w:customStyle="1" w:styleId="73">
    <w:name w:val="Char Char5"/>
    <w:qFormat/>
    <w:uiPriority w:val="0"/>
    <w:rPr>
      <w:rFonts w:ascii="宋体" w:hAnsi="Courier New" w:eastAsia="宋体"/>
      <w:kern w:val="2"/>
      <w:sz w:val="21"/>
      <w:lang w:val="en-US" w:eastAsia="zh-CN"/>
    </w:rPr>
  </w:style>
  <w:style w:type="character" w:customStyle="1" w:styleId="74">
    <w:name w:val="批注框文本 字符"/>
    <w:link w:val="24"/>
    <w:qFormat/>
    <w:locked/>
    <w:uiPriority w:val="0"/>
    <w:rPr>
      <w:sz w:val="18"/>
    </w:rPr>
  </w:style>
  <w:style w:type="character" w:customStyle="1" w:styleId="75">
    <w:name w:val="批注文字 Char"/>
    <w:qFormat/>
    <w:uiPriority w:val="0"/>
    <w:rPr>
      <w:kern w:val="2"/>
    </w:rPr>
  </w:style>
  <w:style w:type="character" w:customStyle="1" w:styleId="76">
    <w:name w:val="批注主题 Char"/>
    <w:qFormat/>
    <w:uiPriority w:val="0"/>
    <w:rPr>
      <w:b/>
      <w:kern w:val="2"/>
    </w:rPr>
  </w:style>
  <w:style w:type="character" w:customStyle="1" w:styleId="77">
    <w:name w:val="文档结构图 字符"/>
    <w:link w:val="12"/>
    <w:qFormat/>
    <w:locked/>
    <w:uiPriority w:val="0"/>
    <w:rPr>
      <w:sz w:val="24"/>
      <w:shd w:val="clear" w:color="auto" w:fill="000080"/>
    </w:rPr>
  </w:style>
  <w:style w:type="character" w:customStyle="1" w:styleId="78">
    <w:name w:val="HTML Markup"/>
    <w:qFormat/>
    <w:uiPriority w:val="0"/>
    <w:rPr>
      <w:vanish/>
      <w:color w:val="FF0000"/>
    </w:rPr>
  </w:style>
  <w:style w:type="character" w:customStyle="1" w:styleId="79">
    <w:name w:val="纯文本 字符"/>
    <w:link w:val="20"/>
    <w:qFormat/>
    <w:locked/>
    <w:uiPriority w:val="0"/>
    <w:rPr>
      <w:rFonts w:ascii="宋体" w:hAnsi="Courier New"/>
    </w:rPr>
  </w:style>
  <w:style w:type="character" w:customStyle="1" w:styleId="80">
    <w:name w:val="页脚 字符"/>
    <w:link w:val="25"/>
    <w:qFormat/>
    <w:locked/>
    <w:uiPriority w:val="0"/>
    <w:rPr>
      <w:sz w:val="18"/>
    </w:rPr>
  </w:style>
  <w:style w:type="character" w:customStyle="1" w:styleId="81">
    <w:name w:val="Default Char"/>
    <w:link w:val="52"/>
    <w:qFormat/>
    <w:locked/>
    <w:uiPriority w:val="0"/>
    <w:rPr>
      <w:rFonts w:ascii="仿宋_GB2312" w:eastAsia="仿宋_GB2312"/>
      <w:color w:val="000000"/>
      <w:sz w:val="24"/>
    </w:rPr>
  </w:style>
  <w:style w:type="character" w:customStyle="1" w:styleId="82">
    <w:name w:val="页脚 Char"/>
    <w:qFormat/>
    <w:locked/>
    <w:uiPriority w:val="99"/>
    <w:rPr>
      <w:sz w:val="18"/>
    </w:rPr>
  </w:style>
  <w:style w:type="character" w:customStyle="1" w:styleId="83">
    <w:name w:val="批注文字 字符1"/>
    <w:basedOn w:val="44"/>
    <w:semiHidden/>
    <w:qFormat/>
    <w:uiPriority w:val="99"/>
  </w:style>
  <w:style w:type="character" w:customStyle="1" w:styleId="84">
    <w:name w:val="批注文字 字符11"/>
    <w:basedOn w:val="44"/>
    <w:qFormat/>
    <w:uiPriority w:val="0"/>
    <w:rPr>
      <w:rFonts w:cs="Times New Roman"/>
      <w:kern w:val="2"/>
      <w:sz w:val="21"/>
    </w:rPr>
  </w:style>
  <w:style w:type="character" w:customStyle="1" w:styleId="85">
    <w:name w:val="正文文本缩进 字符"/>
    <w:basedOn w:val="44"/>
    <w:link w:val="16"/>
    <w:qFormat/>
    <w:uiPriority w:val="99"/>
    <w:rPr>
      <w:rFonts w:ascii="Calibri" w:hAnsi="Calibri" w:eastAsia="宋体" w:cs="Times New Roman"/>
      <w:szCs w:val="20"/>
    </w:rPr>
  </w:style>
  <w:style w:type="character" w:customStyle="1" w:styleId="86">
    <w:name w:val="文档结构图 字符1"/>
    <w:basedOn w:val="44"/>
    <w:semiHidden/>
    <w:qFormat/>
    <w:uiPriority w:val="99"/>
    <w:rPr>
      <w:rFonts w:ascii="Microsoft YaHei UI" w:eastAsia="Microsoft YaHei UI"/>
      <w:sz w:val="18"/>
      <w:szCs w:val="18"/>
    </w:rPr>
  </w:style>
  <w:style w:type="character" w:customStyle="1" w:styleId="87">
    <w:name w:val="文档结构图 字符11"/>
    <w:basedOn w:val="44"/>
    <w:semiHidden/>
    <w:qFormat/>
    <w:uiPriority w:val="99"/>
    <w:rPr>
      <w:rFonts w:ascii="Microsoft YaHei UI" w:eastAsia="Microsoft YaHei UI" w:cs="Times New Roman"/>
      <w:kern w:val="2"/>
      <w:sz w:val="18"/>
      <w:szCs w:val="18"/>
    </w:rPr>
  </w:style>
  <w:style w:type="character" w:customStyle="1" w:styleId="88">
    <w:name w:val="正文文本 字符"/>
    <w:basedOn w:val="44"/>
    <w:link w:val="15"/>
    <w:qFormat/>
    <w:uiPriority w:val="99"/>
    <w:rPr>
      <w:rFonts w:ascii="Calibri" w:hAnsi="Calibri" w:eastAsia="新宋体" w:cs="Times New Roman"/>
      <w:szCs w:val="21"/>
    </w:rPr>
  </w:style>
  <w:style w:type="character" w:customStyle="1" w:styleId="89">
    <w:name w:val="纯文本 字符1"/>
    <w:basedOn w:val="44"/>
    <w:semiHidden/>
    <w:qFormat/>
    <w:uiPriority w:val="99"/>
    <w:rPr>
      <w:rFonts w:hAnsi="Courier New" w:cs="Courier New" w:asciiTheme="minorEastAsia"/>
    </w:rPr>
  </w:style>
  <w:style w:type="character" w:customStyle="1" w:styleId="90">
    <w:name w:val="纯文本 字符11"/>
    <w:basedOn w:val="44"/>
    <w:qFormat/>
    <w:uiPriority w:val="0"/>
    <w:rPr>
      <w:rFonts w:hAnsi="Courier New" w:cs="Courier New" w:asciiTheme="minorEastAsia" w:eastAsiaTheme="minorEastAsia"/>
      <w:kern w:val="2"/>
      <w:sz w:val="21"/>
    </w:rPr>
  </w:style>
  <w:style w:type="character" w:customStyle="1" w:styleId="91">
    <w:name w:val="页眉 字符1"/>
    <w:basedOn w:val="44"/>
    <w:semiHidden/>
    <w:qFormat/>
    <w:uiPriority w:val="99"/>
    <w:rPr>
      <w:sz w:val="18"/>
      <w:szCs w:val="18"/>
    </w:rPr>
  </w:style>
  <w:style w:type="character" w:customStyle="1" w:styleId="92">
    <w:name w:val="页眉 字符11"/>
    <w:basedOn w:val="44"/>
    <w:semiHidden/>
    <w:qFormat/>
    <w:uiPriority w:val="99"/>
    <w:rPr>
      <w:rFonts w:cs="Times New Roman"/>
      <w:kern w:val="2"/>
      <w:sz w:val="18"/>
      <w:szCs w:val="18"/>
    </w:rPr>
  </w:style>
  <w:style w:type="character" w:customStyle="1" w:styleId="93">
    <w:name w:val="批注框文本 字符1"/>
    <w:basedOn w:val="44"/>
    <w:semiHidden/>
    <w:qFormat/>
    <w:uiPriority w:val="99"/>
    <w:rPr>
      <w:sz w:val="18"/>
      <w:szCs w:val="18"/>
    </w:rPr>
  </w:style>
  <w:style w:type="character" w:customStyle="1" w:styleId="94">
    <w:name w:val="批注框文本 字符11"/>
    <w:basedOn w:val="44"/>
    <w:semiHidden/>
    <w:qFormat/>
    <w:uiPriority w:val="99"/>
    <w:rPr>
      <w:rFonts w:cs="Times New Roman"/>
      <w:kern w:val="2"/>
      <w:sz w:val="18"/>
      <w:szCs w:val="18"/>
    </w:rPr>
  </w:style>
  <w:style w:type="character" w:customStyle="1" w:styleId="95">
    <w:name w:val="日期 字符1"/>
    <w:basedOn w:val="44"/>
    <w:semiHidden/>
    <w:qFormat/>
    <w:uiPriority w:val="99"/>
  </w:style>
  <w:style w:type="character" w:customStyle="1" w:styleId="96">
    <w:name w:val="日期 字符11"/>
    <w:basedOn w:val="44"/>
    <w:semiHidden/>
    <w:qFormat/>
    <w:uiPriority w:val="99"/>
    <w:rPr>
      <w:rFonts w:cs="Times New Roman"/>
      <w:kern w:val="2"/>
      <w:sz w:val="21"/>
    </w:rPr>
  </w:style>
  <w:style w:type="character" w:customStyle="1" w:styleId="97">
    <w:name w:val="页脚 字符1"/>
    <w:basedOn w:val="44"/>
    <w:semiHidden/>
    <w:qFormat/>
    <w:uiPriority w:val="99"/>
    <w:rPr>
      <w:sz w:val="18"/>
      <w:szCs w:val="18"/>
    </w:rPr>
  </w:style>
  <w:style w:type="character" w:customStyle="1" w:styleId="98">
    <w:name w:val="页脚 字符11"/>
    <w:basedOn w:val="44"/>
    <w:semiHidden/>
    <w:qFormat/>
    <w:uiPriority w:val="99"/>
    <w:rPr>
      <w:rFonts w:cs="Times New Roman"/>
      <w:kern w:val="2"/>
      <w:sz w:val="18"/>
      <w:szCs w:val="18"/>
    </w:rPr>
  </w:style>
  <w:style w:type="character" w:customStyle="1" w:styleId="99">
    <w:name w:val="正文文本缩进 2 字符1"/>
    <w:basedOn w:val="44"/>
    <w:semiHidden/>
    <w:qFormat/>
    <w:uiPriority w:val="99"/>
  </w:style>
  <w:style w:type="character" w:customStyle="1" w:styleId="100">
    <w:name w:val="正文文本缩进 2 字符11"/>
    <w:basedOn w:val="44"/>
    <w:semiHidden/>
    <w:qFormat/>
    <w:uiPriority w:val="99"/>
    <w:rPr>
      <w:rFonts w:cs="Times New Roman"/>
      <w:kern w:val="2"/>
      <w:sz w:val="21"/>
    </w:rPr>
  </w:style>
  <w:style w:type="character" w:customStyle="1" w:styleId="101">
    <w:name w:val="正文文本缩进 3 字符1"/>
    <w:basedOn w:val="44"/>
    <w:semiHidden/>
    <w:qFormat/>
    <w:uiPriority w:val="99"/>
    <w:rPr>
      <w:sz w:val="16"/>
      <w:szCs w:val="16"/>
    </w:rPr>
  </w:style>
  <w:style w:type="character" w:customStyle="1" w:styleId="102">
    <w:name w:val="正文文本缩进 3 字符11"/>
    <w:basedOn w:val="44"/>
    <w:semiHidden/>
    <w:qFormat/>
    <w:uiPriority w:val="99"/>
    <w:rPr>
      <w:rFonts w:cs="Times New Roman"/>
      <w:kern w:val="2"/>
      <w:sz w:val="16"/>
      <w:szCs w:val="16"/>
    </w:rPr>
  </w:style>
  <w:style w:type="character" w:customStyle="1" w:styleId="103">
    <w:name w:val="批注主题 字符1"/>
    <w:basedOn w:val="83"/>
    <w:semiHidden/>
    <w:qFormat/>
    <w:uiPriority w:val="99"/>
    <w:rPr>
      <w:b/>
      <w:bCs/>
    </w:rPr>
  </w:style>
  <w:style w:type="character" w:customStyle="1" w:styleId="104">
    <w:name w:val="批注主题 字符11"/>
    <w:basedOn w:val="84"/>
    <w:semiHidden/>
    <w:qFormat/>
    <w:uiPriority w:val="99"/>
    <w:rPr>
      <w:rFonts w:cs="Times New Roman"/>
      <w:b/>
      <w:bCs/>
      <w:kern w:val="2"/>
      <w:sz w:val="21"/>
    </w:rPr>
  </w:style>
  <w:style w:type="character" w:customStyle="1" w:styleId="105">
    <w:name w:val="标题 字符1"/>
    <w:basedOn w:val="44"/>
    <w:qFormat/>
    <w:uiPriority w:val="10"/>
    <w:rPr>
      <w:rFonts w:asciiTheme="majorHAnsi" w:hAnsiTheme="majorHAnsi" w:eastAsiaTheme="majorEastAsia" w:cstheme="majorBidi"/>
      <w:b/>
      <w:bCs/>
      <w:sz w:val="32"/>
      <w:szCs w:val="32"/>
    </w:rPr>
  </w:style>
  <w:style w:type="character" w:customStyle="1" w:styleId="106">
    <w:name w:val="标题 字符11"/>
    <w:basedOn w:val="44"/>
    <w:qFormat/>
    <w:uiPriority w:val="10"/>
    <w:rPr>
      <w:rFonts w:cs="Times New Roman" w:asciiTheme="majorHAnsi" w:hAnsiTheme="majorHAnsi" w:eastAsiaTheme="majorEastAsia"/>
      <w:b/>
      <w:bCs/>
      <w:kern w:val="2"/>
      <w:sz w:val="32"/>
      <w:szCs w:val="32"/>
    </w:rPr>
  </w:style>
  <w:style w:type="paragraph" w:customStyle="1" w:styleId="107">
    <w:name w:val="ATXT_Table"/>
    <w:basedOn w:val="1"/>
    <w:qFormat/>
    <w:uiPriority w:val="0"/>
    <w:pPr>
      <w:widowControl/>
    </w:pPr>
    <w:rPr>
      <w:rFonts w:ascii="Arial" w:hAnsi="Arial" w:eastAsia="宋体" w:cs="Times New Roman"/>
      <w:kern w:val="0"/>
      <w:sz w:val="20"/>
      <w:szCs w:val="20"/>
      <w:lang w:val="de-DE" w:eastAsia="de-DE"/>
    </w:rPr>
  </w:style>
  <w:style w:type="paragraph" w:customStyle="1" w:styleId="108">
    <w:name w:val="1"/>
    <w:basedOn w:val="1"/>
    <w:qFormat/>
    <w:uiPriority w:val="0"/>
    <w:pPr>
      <w:widowControl/>
      <w:spacing w:before="100" w:beforeAutospacing="1" w:after="100" w:afterAutospacing="1"/>
      <w:jc w:val="left"/>
    </w:pPr>
    <w:rPr>
      <w:rFonts w:ascii="宋体" w:hAnsi="宋体" w:eastAsia="宋体" w:cs="Times New Roman"/>
      <w:kern w:val="0"/>
      <w:sz w:val="24"/>
      <w:szCs w:val="24"/>
    </w:rPr>
  </w:style>
  <w:style w:type="paragraph" w:customStyle="1" w:styleId="109">
    <w:name w:val="二级列表 Char"/>
    <w:basedOn w:val="1"/>
    <w:qFormat/>
    <w:uiPriority w:val="0"/>
    <w:rPr>
      <w:rFonts w:ascii="Calibri" w:hAnsi="Calibri" w:eastAsia="宋体" w:cs="Times New Roman"/>
      <w:szCs w:val="20"/>
    </w:rPr>
  </w:style>
  <w:style w:type="paragraph" w:customStyle="1" w:styleId="110">
    <w:name w:val="2"/>
    <w:basedOn w:val="1"/>
    <w:qFormat/>
    <w:uiPriority w:val="0"/>
    <w:pPr>
      <w:widowControl/>
      <w:spacing w:after="160" w:line="240" w:lineRule="exact"/>
      <w:jc w:val="left"/>
    </w:pPr>
    <w:rPr>
      <w:rFonts w:ascii="Arial" w:hAnsi="Arial" w:eastAsia="宋体" w:cs="Verdana"/>
      <w:b/>
      <w:kern w:val="0"/>
      <w:sz w:val="24"/>
      <w:szCs w:val="24"/>
      <w:lang w:eastAsia="en-US" w:bidi="th-TH"/>
    </w:rPr>
  </w:style>
  <w:style w:type="paragraph" w:customStyle="1" w:styleId="111">
    <w:name w:val="1列"/>
    <w:basedOn w:val="1"/>
    <w:qFormat/>
    <w:uiPriority w:val="0"/>
    <w:pPr>
      <w:spacing w:line="360" w:lineRule="auto"/>
      <w:ind w:left="401" w:hanging="401" w:hangingChars="191"/>
    </w:pPr>
    <w:rPr>
      <w:rFonts w:ascii="Calibri" w:hAnsi="Calibri" w:eastAsia="宋体" w:cs="Times New Roman"/>
      <w:szCs w:val="24"/>
    </w:rPr>
  </w:style>
  <w:style w:type="paragraph" w:customStyle="1" w:styleId="112">
    <w:name w:val="ATXT_Standard"/>
    <w:qFormat/>
    <w:uiPriority w:val="99"/>
    <w:pPr>
      <w:widowControl w:val="0"/>
      <w:autoSpaceDE w:val="0"/>
      <w:autoSpaceDN w:val="0"/>
      <w:adjustRightInd w:val="0"/>
      <w:ind w:left="1134"/>
      <w:jc w:val="both"/>
    </w:pPr>
    <w:rPr>
      <w:rFonts w:ascii="Arial" w:hAnsi="Arial" w:eastAsia="宋体" w:cs="Arial"/>
      <w:lang w:val="en-US" w:eastAsia="zh-CN" w:bidi="ar-SA"/>
    </w:rPr>
  </w:style>
  <w:style w:type="paragraph" w:customStyle="1" w:styleId="113">
    <w:name w:val="Char Char3 Char Char Char Char Char Char Char"/>
    <w:basedOn w:val="1"/>
    <w:qFormat/>
    <w:uiPriority w:val="0"/>
    <w:pPr>
      <w:widowControl/>
      <w:tabs>
        <w:tab w:val="left" w:pos="425"/>
      </w:tabs>
      <w:spacing w:after="160" w:line="240" w:lineRule="exact"/>
      <w:ind w:left="425" w:hanging="425"/>
      <w:jc w:val="left"/>
    </w:pPr>
    <w:rPr>
      <w:rFonts w:ascii="Verdana" w:hAnsi="Verdana" w:eastAsia="宋体" w:cs="Times New Roman"/>
      <w:kern w:val="0"/>
      <w:sz w:val="20"/>
      <w:szCs w:val="20"/>
      <w:lang w:eastAsia="en-US"/>
    </w:rPr>
  </w:style>
  <w:style w:type="paragraph" w:customStyle="1" w:styleId="114">
    <w:name w:val="Char Char Char Char Char Char Char"/>
    <w:basedOn w:val="1"/>
    <w:qFormat/>
    <w:uiPriority w:val="0"/>
    <w:rPr>
      <w:rFonts w:ascii="Verdana" w:hAnsi="Verdana" w:eastAsia="宋体" w:cs="Times New Roman"/>
      <w:kern w:val="0"/>
      <w:sz w:val="20"/>
      <w:szCs w:val="20"/>
      <w:lang w:eastAsia="en-US"/>
    </w:rPr>
  </w:style>
  <w:style w:type="paragraph" w:customStyle="1" w:styleId="115">
    <w:name w:val="正文1"/>
    <w:basedOn w:val="1"/>
    <w:qFormat/>
    <w:uiPriority w:val="0"/>
    <w:pPr>
      <w:adjustRightInd w:val="0"/>
      <w:spacing w:line="312" w:lineRule="atLeast"/>
    </w:pPr>
    <w:rPr>
      <w:rFonts w:ascii="楷体_GB2312" w:hAnsi="Calibri" w:eastAsia="楷体_GB2312" w:cs="Times New Roman"/>
      <w:kern w:val="0"/>
      <w:sz w:val="24"/>
      <w:szCs w:val="20"/>
    </w:rPr>
  </w:style>
  <w:style w:type="paragraph" w:customStyle="1" w:styleId="116">
    <w:name w:val="Char Char Char Char Char Char1 Char"/>
    <w:basedOn w:val="1"/>
    <w:qFormat/>
    <w:uiPriority w:val="0"/>
    <w:pPr>
      <w:widowControl/>
      <w:spacing w:after="160" w:line="240" w:lineRule="exact"/>
      <w:jc w:val="left"/>
    </w:pPr>
    <w:rPr>
      <w:rFonts w:ascii="Arial" w:hAnsi="Arial" w:eastAsia="宋体" w:cs="Verdana"/>
      <w:b/>
      <w:kern w:val="0"/>
      <w:sz w:val="24"/>
      <w:szCs w:val="24"/>
      <w:lang w:eastAsia="en-US" w:bidi="th-TH"/>
    </w:rPr>
  </w:style>
  <w:style w:type="paragraph" w:customStyle="1" w:styleId="117">
    <w:name w:val="Pied"/>
    <w:basedOn w:val="1"/>
    <w:qFormat/>
    <w:uiPriority w:val="0"/>
    <w:pPr>
      <w:tabs>
        <w:tab w:val="center" w:pos="4252"/>
        <w:tab w:val="right" w:pos="8504"/>
      </w:tabs>
      <w:ind w:left="284" w:right="284"/>
      <w:jc w:val="center"/>
    </w:pPr>
    <w:rPr>
      <w:rFonts w:ascii="Calibri" w:hAnsi="Calibri" w:eastAsia="宋体" w:cs="Times New Roman"/>
      <w:b/>
      <w:color w:val="000000"/>
      <w:sz w:val="16"/>
      <w:szCs w:val="24"/>
      <w:lang w:val="fr-FR" w:eastAsia="fr-FR"/>
    </w:rPr>
  </w:style>
  <w:style w:type="paragraph" w:customStyle="1" w:styleId="118">
    <w:name w:val="AVL_Continuous_normal"/>
    <w:qFormat/>
    <w:uiPriority w:val="99"/>
    <w:pPr>
      <w:widowControl w:val="0"/>
      <w:autoSpaceDE w:val="0"/>
      <w:autoSpaceDN w:val="0"/>
      <w:adjustRightInd w:val="0"/>
    </w:pPr>
    <w:rPr>
      <w:rFonts w:ascii="Arial" w:hAnsi="Arial" w:eastAsia="宋体" w:cs="Arial"/>
      <w:color w:val="070000"/>
      <w:sz w:val="19"/>
      <w:szCs w:val="19"/>
      <w:lang w:val="de-AT" w:eastAsia="zh-CN" w:bidi="th-TH"/>
    </w:rPr>
  </w:style>
  <w:style w:type="paragraph" w:customStyle="1" w:styleId="119">
    <w:name w:val="标书正文格式"/>
    <w:basedOn w:val="20"/>
    <w:link w:val="121"/>
    <w:qFormat/>
    <w:uiPriority w:val="0"/>
    <w:pPr>
      <w:spacing w:line="360" w:lineRule="auto"/>
      <w:ind w:firstLine="200" w:firstLineChars="200"/>
    </w:pPr>
    <w:rPr>
      <w:rFonts w:hAnsi="宋体"/>
      <w:color w:val="000000"/>
      <w:sz w:val="24"/>
      <w:szCs w:val="24"/>
    </w:rPr>
  </w:style>
  <w:style w:type="paragraph" w:customStyle="1" w:styleId="120">
    <w:name w:val="标书二级标题"/>
    <w:basedOn w:val="3"/>
    <w:link w:val="123"/>
    <w:qFormat/>
    <w:uiPriority w:val="0"/>
    <w:pPr>
      <w:spacing w:line="240" w:lineRule="auto"/>
      <w:jc w:val="left"/>
    </w:pPr>
    <w:rPr>
      <w:rFonts w:ascii="宋体" w:hAnsi="宋体" w:eastAsia="黑体"/>
      <w:b w:val="0"/>
      <w:sz w:val="28"/>
      <w:szCs w:val="30"/>
    </w:rPr>
  </w:style>
  <w:style w:type="character" w:customStyle="1" w:styleId="121">
    <w:name w:val="标书正文格式 字符"/>
    <w:link w:val="119"/>
    <w:qFormat/>
    <w:locked/>
    <w:uiPriority w:val="0"/>
    <w:rPr>
      <w:rFonts w:ascii="宋体" w:hAnsi="宋体"/>
      <w:color w:val="000000"/>
      <w:sz w:val="24"/>
      <w:szCs w:val="24"/>
    </w:rPr>
  </w:style>
  <w:style w:type="paragraph" w:customStyle="1" w:styleId="122">
    <w:name w:val="标书表格"/>
    <w:basedOn w:val="1"/>
    <w:link w:val="124"/>
    <w:qFormat/>
    <w:uiPriority w:val="0"/>
    <w:pPr>
      <w:jc w:val="center"/>
    </w:pPr>
    <w:rPr>
      <w:rFonts w:ascii="Times New Roman" w:hAnsi="Times New Roman" w:eastAsia="宋体" w:cs="Times New Roman"/>
      <w:b/>
      <w:szCs w:val="20"/>
    </w:rPr>
  </w:style>
  <w:style w:type="character" w:customStyle="1" w:styleId="123">
    <w:name w:val="标书二级标题 字符"/>
    <w:link w:val="120"/>
    <w:qFormat/>
    <w:locked/>
    <w:uiPriority w:val="0"/>
    <w:rPr>
      <w:rFonts w:ascii="宋体" w:hAnsi="宋体" w:eastAsia="黑体" w:cs="Times New Roman"/>
      <w:bCs/>
      <w:sz w:val="28"/>
      <w:szCs w:val="30"/>
    </w:rPr>
  </w:style>
  <w:style w:type="character" w:customStyle="1" w:styleId="124">
    <w:name w:val="标书表格 字符"/>
    <w:link w:val="122"/>
    <w:qFormat/>
    <w:locked/>
    <w:uiPriority w:val="0"/>
    <w:rPr>
      <w:rFonts w:ascii="Times New Roman" w:hAnsi="Times New Roman" w:eastAsia="宋体" w:cs="Times New Roman"/>
      <w:b/>
      <w:szCs w:val="20"/>
    </w:rPr>
  </w:style>
  <w:style w:type="paragraph" w:customStyle="1" w:styleId="125">
    <w:name w:val="标书三级标题"/>
    <w:basedOn w:val="4"/>
    <w:next w:val="119"/>
    <w:link w:val="126"/>
    <w:qFormat/>
    <w:uiPriority w:val="0"/>
    <w:pPr>
      <w:spacing w:before="0" w:after="0"/>
      <w:ind w:firstLine="482" w:firstLineChars="200"/>
    </w:pPr>
    <w:rPr>
      <w:rFonts w:ascii="Times New Roman" w:hAnsi="Times New Roman"/>
      <w:color w:val="000000"/>
      <w:sz w:val="24"/>
      <w:szCs w:val="24"/>
    </w:rPr>
  </w:style>
  <w:style w:type="character" w:customStyle="1" w:styleId="126">
    <w:name w:val="标书三级标题 字符"/>
    <w:link w:val="125"/>
    <w:qFormat/>
    <w:locked/>
    <w:uiPriority w:val="0"/>
    <w:rPr>
      <w:rFonts w:ascii="Times New Roman" w:hAnsi="Times New Roman" w:eastAsia="宋体" w:cs="Times New Roman"/>
      <w:b/>
      <w:bCs/>
      <w:color w:val="000000"/>
      <w:sz w:val="24"/>
      <w:szCs w:val="24"/>
    </w:rPr>
  </w:style>
  <w:style w:type="character" w:customStyle="1" w:styleId="127">
    <w:name w:val="标三级标题 字符"/>
    <w:link w:val="128"/>
    <w:qFormat/>
    <w:locked/>
    <w:uiPriority w:val="0"/>
    <w:rPr>
      <w:b/>
      <w:color w:val="000000"/>
      <w:sz w:val="24"/>
    </w:rPr>
  </w:style>
  <w:style w:type="paragraph" w:customStyle="1" w:styleId="128">
    <w:name w:val="标三级标题"/>
    <w:basedOn w:val="125"/>
    <w:link w:val="127"/>
    <w:qFormat/>
    <w:uiPriority w:val="0"/>
    <w:rPr>
      <w:rFonts w:asciiTheme="minorHAnsi" w:hAnsiTheme="minorHAnsi" w:eastAsiaTheme="minorEastAsia" w:cstheme="minorBidi"/>
      <w:bCs w:val="0"/>
      <w:szCs w:val="22"/>
    </w:rPr>
  </w:style>
  <w:style w:type="character" w:customStyle="1" w:styleId="129">
    <w:name w:val="标正文 字符"/>
    <w:link w:val="130"/>
    <w:qFormat/>
    <w:locked/>
    <w:uiPriority w:val="0"/>
    <w:rPr>
      <w:rFonts w:ascii="宋体" w:eastAsia="宋体"/>
      <w:color w:val="000000"/>
      <w:sz w:val="24"/>
    </w:rPr>
  </w:style>
  <w:style w:type="paragraph" w:customStyle="1" w:styleId="130">
    <w:name w:val="标正文"/>
    <w:basedOn w:val="119"/>
    <w:link w:val="129"/>
    <w:qFormat/>
    <w:uiPriority w:val="0"/>
    <w:pPr>
      <w:ind w:firstLine="480"/>
    </w:pPr>
    <w:rPr>
      <w:rFonts w:eastAsia="宋体" w:hAnsiTheme="minorHAnsi"/>
      <w:szCs w:val="22"/>
    </w:rPr>
  </w:style>
  <w:style w:type="paragraph" w:customStyle="1" w:styleId="131">
    <w:name w:val="TOC 标题1"/>
    <w:basedOn w:val="2"/>
    <w:next w:val="1"/>
    <w:unhideWhenUsed/>
    <w:qFormat/>
    <w:uiPriority w:val="39"/>
    <w:pPr>
      <w:widowControl/>
      <w:spacing w:before="240" w:line="259" w:lineRule="auto"/>
      <w:jc w:val="left"/>
      <w:outlineLvl w:val="9"/>
    </w:pPr>
    <w:rPr>
      <w:rFonts w:ascii="等线 Light" w:hAnsi="等线 Light" w:eastAsia="等线 Light"/>
      <w:b w:val="0"/>
      <w:bCs w:val="0"/>
      <w:color w:val="2E74B5"/>
      <w:kern w:val="0"/>
      <w:sz w:val="32"/>
      <w:szCs w:val="32"/>
    </w:rPr>
  </w:style>
  <w:style w:type="paragraph" w:customStyle="1" w:styleId="132">
    <w:name w:val="HR正文表格"/>
    <w:basedOn w:val="1"/>
    <w:qFormat/>
    <w:uiPriority w:val="0"/>
    <w:pPr>
      <w:spacing w:beforeLines="25" w:afterLines="25" w:line="300" w:lineRule="auto"/>
    </w:pPr>
    <w:rPr>
      <w:szCs w:val="24"/>
    </w:rPr>
  </w:style>
  <w:style w:type="paragraph" w:styleId="133">
    <w:name w:val="List Paragraph"/>
    <w:basedOn w:val="1"/>
    <w:qFormat/>
    <w:uiPriority w:val="99"/>
    <w:pPr>
      <w:ind w:firstLine="420" w:firstLineChars="200"/>
    </w:pPr>
  </w:style>
  <w:style w:type="paragraph" w:customStyle="1" w:styleId="134">
    <w:name w:val="WPSOffice手动目录 1"/>
    <w:qFormat/>
    <w:uiPriority w:val="0"/>
    <w:rPr>
      <w:rFonts w:ascii="Times New Roman" w:hAnsi="Times New Roman" w:eastAsia="宋体" w:cs="Times New Roman"/>
      <w:lang w:val="en-US" w:eastAsia="zh-CN" w:bidi="ar-SA"/>
    </w:rPr>
  </w:style>
  <w:style w:type="table" w:customStyle="1" w:styleId="135">
    <w:name w:val="Table Normal"/>
    <w:semiHidden/>
    <w:unhideWhenUsed/>
    <w:qFormat/>
    <w:uiPriority w:val="0"/>
    <w:tblPr>
      <w:tblCellMar>
        <w:top w:w="0" w:type="dxa"/>
        <w:left w:w="0" w:type="dxa"/>
        <w:bottom w:w="0" w:type="dxa"/>
        <w:right w:w="0" w:type="dxa"/>
      </w:tblCellMar>
    </w:tblPr>
  </w:style>
  <w:style w:type="character" w:customStyle="1" w:styleId="136">
    <w:name w:val="NormalCharacter"/>
    <w:qFormat/>
    <w:uiPriority w:val="0"/>
  </w:style>
  <w:style w:type="paragraph" w:customStyle="1" w:styleId="137">
    <w:name w:val="Table Paragraph"/>
    <w:basedOn w:val="1"/>
    <w:qFormat/>
    <w:uiPriority w:val="1"/>
    <w:rPr>
      <w:rFonts w:ascii="宋体" w:hAnsi="宋体" w:eastAsia="宋体" w:cs="宋体"/>
    </w:rPr>
  </w:style>
  <w:style w:type="paragraph" w:customStyle="1" w:styleId="138">
    <w:name w:val="标书一级标题"/>
    <w:basedOn w:val="2"/>
    <w:qFormat/>
    <w:uiPriority w:val="0"/>
    <w:rPr>
      <w:rFonts w:eastAsia="黑体"/>
      <w:b w:val="0"/>
      <w:color w:val="000000"/>
      <w:sz w:val="30"/>
      <w:szCs w:val="24"/>
    </w:rPr>
  </w:style>
  <w:style w:type="paragraph" w:customStyle="1" w:styleId="139">
    <w:name w:val="无间隔1"/>
    <w:qFormat/>
    <w:uiPriority w:val="0"/>
    <w:rPr>
      <w:rFonts w:ascii="Calibri" w:hAnsi="Calibri" w:eastAsia="Calibri" w:cs="Times New Roman"/>
      <w:szCs w:val="22"/>
      <w:lang w:val="en-GB" w:eastAsia="en-US" w:bidi="ar-SA"/>
    </w:rPr>
  </w:style>
  <w:style w:type="paragraph" w:customStyle="1" w:styleId="140">
    <w:name w:val="CM22"/>
    <w:basedOn w:val="52"/>
    <w:next w:val="52"/>
    <w:qFormat/>
    <w:uiPriority w:val="0"/>
    <w:pPr>
      <w:spacing w:after="125"/>
    </w:pPr>
    <w:rPr>
      <w:rFonts w:cs="Times New Roman"/>
      <w:color w:val="auto"/>
    </w:rPr>
  </w:style>
  <w:style w:type="paragraph" w:customStyle="1" w:styleId="141">
    <w:name w:val="List Paragraph1"/>
    <w:basedOn w:val="1"/>
    <w:qFormat/>
    <w:uiPriority w:val="0"/>
    <w:pPr>
      <w:ind w:firstLine="420" w:firstLineChars="200"/>
    </w:pPr>
    <w:rPr>
      <w:rFonts w:ascii="Calibri" w:hAnsi="Calibri"/>
    </w:rPr>
  </w:style>
  <w:style w:type="paragraph" w:customStyle="1" w:styleId="142">
    <w:name w:val="样式 正文首行缩进 2 + Arial"/>
    <w:basedOn w:val="41"/>
    <w:qFormat/>
    <w:uiPriority w:val="0"/>
    <w:pPr>
      <w:spacing w:line="320" w:lineRule="atLeast"/>
      <w:ind w:left="0" w:leftChars="0" w:firstLine="200"/>
    </w:pPr>
    <w:rPr>
      <w:rFonts w:ascii="Arial" w:hAnsi="Arial"/>
      <w:kern w:val="0"/>
    </w:rPr>
  </w:style>
  <w:style w:type="paragraph" w:customStyle="1" w:styleId="143">
    <w:name w:val="表格标题"/>
    <w:basedOn w:val="144"/>
    <w:qFormat/>
    <w:uiPriority w:val="0"/>
    <w:pPr>
      <w:jc w:val="center"/>
    </w:pPr>
    <w:rPr>
      <w:b/>
    </w:rPr>
  </w:style>
  <w:style w:type="paragraph" w:customStyle="1" w:styleId="144">
    <w:name w:val="表格正文"/>
    <w:basedOn w:val="1"/>
    <w:next w:val="1"/>
    <w:qFormat/>
    <w:uiPriority w:val="0"/>
    <w:pPr>
      <w:spacing w:before="20" w:beforeLines="20" w:after="20" w:afterLines="20" w:line="300" w:lineRule="exact"/>
      <w:contextualSpacing/>
      <w:jc w:val="left"/>
    </w:pPr>
  </w:style>
  <w:style w:type="paragraph" w:customStyle="1" w:styleId="145">
    <w:name w:val="正文 20241128"/>
    <w:basedOn w:val="1"/>
    <w:qFormat/>
    <w:uiPriority w:val="0"/>
    <w:pPr>
      <w:spacing w:line="360" w:lineRule="auto"/>
      <w:ind w:right="2" w:firstLine="480" w:firstLineChars="200"/>
    </w:pPr>
    <w:rPr>
      <w:rFonts w:ascii="宋体" w:hAnsi="宋体" w:cs="宋体"/>
      <w:color w:val="000000"/>
      <w:szCs w:val="24"/>
    </w:rPr>
  </w:style>
  <w:style w:type="paragraph" w:customStyle="1" w:styleId="146">
    <w:name w:val="CM6"/>
    <w:basedOn w:val="52"/>
    <w:next w:val="52"/>
    <w:qFormat/>
    <w:uiPriority w:val="0"/>
    <w:pPr>
      <w:spacing w:line="476" w:lineRule="atLeast"/>
    </w:pPr>
    <w:rPr>
      <w:rFonts w:ascii="宋体" w:eastAsia="宋体" w:cs="Times New Roman"/>
      <w:color w:val="auto"/>
    </w:rPr>
  </w:style>
  <w:style w:type="paragraph" w:customStyle="1" w:styleId="147">
    <w:name w:val="TOC 标题2"/>
    <w:basedOn w:val="2"/>
    <w:next w:val="1"/>
    <w:unhideWhenUsed/>
    <w:qFormat/>
    <w:uiPriority w:val="39"/>
    <w:pPr>
      <w:widowControl/>
      <w:spacing w:before="24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148">
    <w:name w:val="标题 5 字符"/>
    <w:basedOn w:val="44"/>
    <w:link w:val="6"/>
    <w:semiHidden/>
    <w:qFormat/>
    <w:uiPriority w:val="0"/>
    <w:rPr>
      <w:rFonts w:ascii="宋体" w:hAnsi="宋体"/>
      <w:bCs/>
      <w:iCs/>
      <w:color w:val="000000"/>
      <w:sz w:val="28"/>
      <w:szCs w:val="28"/>
    </w:rPr>
  </w:style>
  <w:style w:type="character" w:customStyle="1" w:styleId="149">
    <w:name w:val="电子邮件签名 字符"/>
    <w:basedOn w:val="44"/>
    <w:link w:val="8"/>
    <w:semiHidden/>
    <w:qFormat/>
    <w:uiPriority w:val="99"/>
    <w:rPr>
      <w:rFonts w:ascii="Calibri" w:hAnsi="Calibri"/>
      <w:sz w:val="21"/>
      <w:szCs w:val="21"/>
    </w:rPr>
  </w:style>
  <w:style w:type="character" w:customStyle="1" w:styleId="150">
    <w:name w:val="信息标题 字符"/>
    <w:basedOn w:val="44"/>
    <w:link w:val="35"/>
    <w:semiHidden/>
    <w:qFormat/>
    <w:uiPriority w:val="99"/>
    <w:rPr>
      <w:rFonts w:ascii="Cambria" w:hAnsi="Cambria" w:cs="Cambria"/>
      <w:sz w:val="24"/>
      <w:szCs w:val="24"/>
      <w:shd w:val="pct20" w:color="auto" w:fill="auto"/>
    </w:rPr>
  </w:style>
  <w:style w:type="character" w:customStyle="1" w:styleId="151">
    <w:name w:val="正文文本 Char"/>
    <w:semiHidden/>
    <w:qFormat/>
    <w:uiPriority w:val="98"/>
    <w:rPr>
      <w:rFonts w:ascii="仿宋_GB2312" w:eastAsia="仿宋_GB2312"/>
      <w:kern w:val="2"/>
      <w:sz w:val="32"/>
    </w:rPr>
  </w:style>
  <w:style w:type="character" w:customStyle="1" w:styleId="152">
    <w:name w:val="纯文本 Char3"/>
    <w:semiHidden/>
    <w:qFormat/>
    <w:uiPriority w:val="98"/>
    <w:rPr>
      <w:rFonts w:ascii="宋体" w:hAnsi="Courier New" w:eastAsia="宋体"/>
      <w:kern w:val="2"/>
      <w:sz w:val="21"/>
      <w:lang w:val="en-US" w:eastAsia="zh-CN" w:bidi="ar-SA"/>
    </w:rPr>
  </w:style>
  <w:style w:type="character" w:customStyle="1" w:styleId="153">
    <w:name w:val="正文文本缩进 Char"/>
    <w:link w:val="154"/>
    <w:semiHidden/>
    <w:qFormat/>
    <w:uiPriority w:val="98"/>
    <w:rPr>
      <w:kern w:val="2"/>
      <w:sz w:val="21"/>
    </w:rPr>
  </w:style>
  <w:style w:type="paragraph" w:customStyle="1" w:styleId="154">
    <w:name w:val="正文文本缩进1"/>
    <w:basedOn w:val="1"/>
    <w:link w:val="153"/>
    <w:semiHidden/>
    <w:qFormat/>
    <w:uiPriority w:val="98"/>
    <w:pPr>
      <w:spacing w:after="120"/>
      <w:ind w:left="420" w:leftChars="200"/>
    </w:pPr>
    <w:rPr>
      <w:rFonts w:ascii="Times New Roman" w:hAnsi="Times New Roman" w:eastAsia="宋体" w:cs="Times New Roman"/>
      <w:szCs w:val="20"/>
    </w:rPr>
  </w:style>
  <w:style w:type="character" w:customStyle="1" w:styleId="155">
    <w:name w:val="style61"/>
    <w:semiHidden/>
    <w:qFormat/>
    <w:uiPriority w:val="98"/>
  </w:style>
  <w:style w:type="paragraph" w:customStyle="1" w:styleId="156">
    <w:name w:val="章节"/>
    <w:basedOn w:val="20"/>
    <w:qFormat/>
    <w:uiPriority w:val="0"/>
    <w:pPr>
      <w:spacing w:line="360" w:lineRule="auto"/>
      <w:jc w:val="center"/>
      <w:outlineLvl w:val="0"/>
    </w:pPr>
    <w:rPr>
      <w:rFonts w:ascii="黑体" w:eastAsia="黑体" w:cs="Times New Roman"/>
      <w:b/>
      <w:bCs/>
      <w:sz w:val="36"/>
      <w:szCs w:val="36"/>
    </w:rPr>
  </w:style>
  <w:style w:type="paragraph" w:customStyle="1" w:styleId="157">
    <w:name w:val="一级标题"/>
    <w:basedOn w:val="20"/>
    <w:qFormat/>
    <w:uiPriority w:val="1"/>
    <w:pPr>
      <w:numPr>
        <w:ilvl w:val="0"/>
        <w:numId w:val="3"/>
      </w:numPr>
      <w:spacing w:line="360" w:lineRule="auto"/>
      <w:ind w:left="420"/>
      <w:outlineLvl w:val="1"/>
    </w:pPr>
    <w:rPr>
      <w:rFonts w:ascii="黑体" w:eastAsia="黑体" w:cs="Times New Roman"/>
      <w:b/>
      <w:bCs/>
      <w:sz w:val="28"/>
      <w:szCs w:val="20"/>
    </w:rPr>
  </w:style>
  <w:style w:type="paragraph" w:customStyle="1" w:styleId="158">
    <w:name w:val="（二）级标题"/>
    <w:basedOn w:val="20"/>
    <w:qFormat/>
    <w:uiPriority w:val="2"/>
    <w:pPr>
      <w:numPr>
        <w:ilvl w:val="0"/>
        <w:numId w:val="4"/>
      </w:numPr>
      <w:spacing w:line="360" w:lineRule="auto"/>
      <w:outlineLvl w:val="2"/>
    </w:pPr>
    <w:rPr>
      <w:rFonts w:eastAsia="宋体" w:cs="Times New Roman"/>
      <w:b/>
      <w:szCs w:val="20"/>
    </w:rPr>
  </w:style>
  <w:style w:type="paragraph" w:customStyle="1" w:styleId="159">
    <w:name w:val="3级标题"/>
    <w:basedOn w:val="20"/>
    <w:link w:val="180"/>
    <w:qFormat/>
    <w:uiPriority w:val="3"/>
    <w:pPr>
      <w:numPr>
        <w:ilvl w:val="0"/>
        <w:numId w:val="5"/>
      </w:numPr>
      <w:spacing w:line="360" w:lineRule="auto"/>
      <w:outlineLvl w:val="3"/>
    </w:pPr>
    <w:rPr>
      <w:rFonts w:eastAsia="宋体" w:cs="Courier New"/>
      <w:b/>
      <w:szCs w:val="20"/>
    </w:rPr>
  </w:style>
  <w:style w:type="paragraph" w:customStyle="1" w:styleId="160">
    <w:name w:val="（4）级标题"/>
    <w:basedOn w:val="20"/>
    <w:qFormat/>
    <w:uiPriority w:val="8"/>
    <w:pPr>
      <w:numPr>
        <w:ilvl w:val="0"/>
        <w:numId w:val="6"/>
      </w:numPr>
      <w:spacing w:line="360" w:lineRule="auto"/>
      <w:outlineLvl w:val="4"/>
    </w:pPr>
    <w:rPr>
      <w:rFonts w:eastAsia="宋体" w:cs="Times New Roman"/>
      <w:szCs w:val="20"/>
    </w:rPr>
  </w:style>
  <w:style w:type="paragraph" w:customStyle="1" w:styleId="161">
    <w:name w:val="标书正文"/>
    <w:basedOn w:val="20"/>
    <w:link w:val="175"/>
    <w:qFormat/>
    <w:uiPriority w:val="9"/>
    <w:pPr>
      <w:spacing w:line="360" w:lineRule="auto"/>
      <w:jc w:val="left"/>
    </w:pPr>
    <w:rPr>
      <w:rFonts w:eastAsia="宋体" w:cs="Courier New"/>
      <w:szCs w:val="20"/>
    </w:rPr>
  </w:style>
  <w:style w:type="character" w:customStyle="1" w:styleId="162">
    <w:name w:val="标题 4 字符"/>
    <w:basedOn w:val="44"/>
    <w:link w:val="5"/>
    <w:qFormat/>
    <w:uiPriority w:val="9"/>
    <w:rPr>
      <w:rFonts w:ascii="Arial" w:hAnsi="Arial" w:eastAsia="黑体" w:cstheme="minorBidi"/>
      <w:b/>
      <w:kern w:val="2"/>
      <w:sz w:val="28"/>
      <w:szCs w:val="22"/>
    </w:rPr>
  </w:style>
  <w:style w:type="paragraph" w:customStyle="1" w:styleId="163">
    <w:name w:val="3"/>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164">
    <w:name w:val="case31"/>
    <w:qFormat/>
    <w:uiPriority w:val="0"/>
    <w:rPr>
      <w:rFonts w:hint="default" w:ascii="ˎ̥" w:hAnsi="ˎ̥"/>
      <w:sz w:val="21"/>
      <w:szCs w:val="21"/>
    </w:rPr>
  </w:style>
  <w:style w:type="character" w:customStyle="1" w:styleId="165">
    <w:name w:val="标题 2 Char"/>
    <w:qFormat/>
    <w:uiPriority w:val="0"/>
    <w:rPr>
      <w:rFonts w:ascii="宋体" w:hAnsi="宋体"/>
      <w:bCs/>
      <w:sz w:val="24"/>
      <w:szCs w:val="32"/>
    </w:rPr>
  </w:style>
  <w:style w:type="character" w:customStyle="1" w:styleId="166">
    <w:name w:val="标题 Char"/>
    <w:qFormat/>
    <w:uiPriority w:val="0"/>
    <w:rPr>
      <w:rFonts w:ascii="宋体" w:hAnsi="宋体" w:cs="Times New Roman"/>
      <w:b/>
      <w:bCs/>
      <w:sz w:val="24"/>
      <w:szCs w:val="32"/>
    </w:rPr>
  </w:style>
  <w:style w:type="paragraph" w:customStyle="1" w:styleId="167">
    <w:name w:val="_Style 4"/>
    <w:basedOn w:val="2"/>
    <w:next w:val="1"/>
    <w:semiHidden/>
    <w:qFormat/>
    <w:uiPriority w:val="39"/>
    <w:pPr>
      <w:keepLines w:val="0"/>
      <w:widowControl/>
      <w:tabs>
        <w:tab w:val="left" w:pos="2400"/>
      </w:tabs>
      <w:spacing w:before="480" w:line="276" w:lineRule="auto"/>
      <w:ind w:left="2400" w:right="206" w:rightChars="98" w:hanging="720"/>
      <w:jc w:val="left"/>
      <w:outlineLvl w:val="9"/>
    </w:pPr>
    <w:rPr>
      <w:rFonts w:ascii="Cambria" w:hAnsi="Cambria" w:eastAsia="宋体" w:cs="Times New Roman"/>
      <w:color w:val="365F91"/>
      <w:kern w:val="0"/>
      <w:sz w:val="28"/>
      <w:szCs w:val="28"/>
    </w:rPr>
  </w:style>
  <w:style w:type="paragraph" w:customStyle="1" w:styleId="168">
    <w:name w:val="Char1 Char Char Char Char Char Char"/>
    <w:basedOn w:val="1"/>
    <w:qFormat/>
    <w:uiPriority w:val="0"/>
    <w:rPr>
      <w:rFonts w:ascii="Tahoma" w:hAnsi="Tahoma" w:eastAsia="宋体" w:cs="Times New Roman"/>
      <w:sz w:val="24"/>
      <w:szCs w:val="20"/>
    </w:rPr>
  </w:style>
  <w:style w:type="paragraph" w:customStyle="1" w:styleId="169">
    <w:name w:val="样式1"/>
    <w:basedOn w:val="1"/>
    <w:qFormat/>
    <w:uiPriority w:val="0"/>
    <w:pPr>
      <w:adjustRightInd w:val="0"/>
      <w:spacing w:line="420" w:lineRule="auto"/>
      <w:jc w:val="center"/>
      <w:textAlignment w:val="baseline"/>
    </w:pPr>
    <w:rPr>
      <w:rFonts w:ascii="宋体" w:hAnsi="Times New Roman" w:eastAsia="宋体" w:cs="Times New Roman"/>
      <w:kern w:val="0"/>
      <w:sz w:val="24"/>
      <w:szCs w:val="20"/>
    </w:rPr>
  </w:style>
  <w:style w:type="paragraph" w:customStyle="1" w:styleId="170">
    <w:name w:val="case3"/>
    <w:basedOn w:val="1"/>
    <w:qFormat/>
    <w:uiPriority w:val="0"/>
    <w:pPr>
      <w:widowControl/>
      <w:spacing w:before="100" w:beforeAutospacing="1" w:after="100" w:afterAutospacing="1" w:line="390" w:lineRule="atLeast"/>
      <w:jc w:val="left"/>
    </w:pPr>
    <w:rPr>
      <w:rFonts w:ascii="ˎ̥" w:hAnsi="ˎ̥" w:eastAsia="宋体" w:cs="宋体"/>
      <w:color w:val="000000"/>
      <w:kern w:val="0"/>
      <w:szCs w:val="21"/>
    </w:rPr>
  </w:style>
  <w:style w:type="paragraph" w:customStyle="1" w:styleId="171">
    <w:name w:val="general normal"/>
    <w:basedOn w:val="1"/>
    <w:qFormat/>
    <w:uiPriority w:val="0"/>
    <w:pPr>
      <w:widowControl/>
      <w:numPr>
        <w:ilvl w:val="0"/>
        <w:numId w:val="7"/>
      </w:numPr>
      <w:spacing w:before="120" w:after="120" w:line="360" w:lineRule="auto"/>
    </w:pPr>
    <w:rPr>
      <w:rFonts w:ascii="Arial" w:hAnsi="Arial" w:eastAsia="宋体" w:cs="Times New Roman"/>
      <w:kern w:val="0"/>
      <w:sz w:val="24"/>
      <w:szCs w:val="24"/>
    </w:rPr>
  </w:style>
  <w:style w:type="paragraph" w:customStyle="1" w:styleId="172">
    <w:name w:val="表格"/>
    <w:basedOn w:val="1"/>
    <w:link w:val="173"/>
    <w:qFormat/>
    <w:uiPriority w:val="10"/>
    <w:rPr>
      <w:rFonts w:ascii="宋体" w:hAnsi="宋体" w:eastAsia="宋体" w:cs="Times New Roman"/>
      <w:szCs w:val="30"/>
    </w:rPr>
  </w:style>
  <w:style w:type="character" w:customStyle="1" w:styleId="173">
    <w:name w:val="表格 字符"/>
    <w:basedOn w:val="44"/>
    <w:link w:val="172"/>
    <w:qFormat/>
    <w:uiPriority w:val="10"/>
    <w:rPr>
      <w:rFonts w:ascii="宋体" w:hAnsi="宋体"/>
      <w:kern w:val="2"/>
      <w:sz w:val="21"/>
      <w:szCs w:val="30"/>
    </w:rPr>
  </w:style>
  <w:style w:type="paragraph" w:customStyle="1" w:styleId="174">
    <w:name w:val="5）级标题"/>
    <w:basedOn w:val="161"/>
    <w:link w:val="176"/>
    <w:qFormat/>
    <w:uiPriority w:val="11"/>
    <w:pPr>
      <w:numPr>
        <w:ilvl w:val="0"/>
        <w:numId w:val="8"/>
      </w:numPr>
      <w:ind w:firstLine="0"/>
    </w:pPr>
  </w:style>
  <w:style w:type="character" w:customStyle="1" w:styleId="175">
    <w:name w:val="标书正文 字符"/>
    <w:basedOn w:val="89"/>
    <w:link w:val="161"/>
    <w:qFormat/>
    <w:uiPriority w:val="9"/>
    <w:rPr>
      <w:rFonts w:ascii="宋体" w:hAnsi="Courier New" w:cs="Courier New"/>
      <w:kern w:val="2"/>
      <w:sz w:val="21"/>
    </w:rPr>
  </w:style>
  <w:style w:type="character" w:customStyle="1" w:styleId="176">
    <w:name w:val="5）级标题 字符"/>
    <w:basedOn w:val="175"/>
    <w:link w:val="174"/>
    <w:qFormat/>
    <w:uiPriority w:val="11"/>
    <w:rPr>
      <w:rFonts w:ascii="宋体" w:hAnsi="Courier New" w:cs="Courier New"/>
      <w:kern w:val="2"/>
      <w:sz w:val="21"/>
    </w:rPr>
  </w:style>
  <w:style w:type="paragraph" w:customStyle="1" w:styleId="177">
    <w:name w:val="样式 标题 4 + 段前: 5 磅 段后: 5 磅 行距: 单倍行距"/>
    <w:next w:val="32"/>
    <w:qFormat/>
    <w:uiPriority w:val="0"/>
    <w:pPr>
      <w:keepNext/>
      <w:keepLines/>
      <w:widowControl w:val="0"/>
      <w:tabs>
        <w:tab w:val="left" w:pos="780"/>
        <w:tab w:val="left" w:pos="1680"/>
      </w:tabs>
      <w:adjustRightInd w:val="0"/>
      <w:spacing w:before="100" w:after="100" w:line="372" w:lineRule="auto"/>
      <w:ind w:left="400" w:leftChars="200" w:hanging="200" w:hangingChars="200"/>
      <w:outlineLvl w:val="3"/>
    </w:pPr>
    <w:rPr>
      <w:rFonts w:ascii="Arial" w:hAnsi="Arial" w:eastAsia="黑体" w:cs="Times New Roman"/>
      <w:b/>
      <w:sz w:val="28"/>
      <w:lang w:val="en-US" w:eastAsia="zh-CN" w:bidi="ar-SA"/>
    </w:rPr>
  </w:style>
  <w:style w:type="character" w:customStyle="1" w:styleId="178">
    <w:name w:val="不明显强调1"/>
    <w:basedOn w:val="44"/>
    <w:qFormat/>
    <w:uiPriority w:val="19"/>
    <w:rPr>
      <w:rFonts w:eastAsia="宋体"/>
      <w:i/>
      <w:iCs/>
      <w:color w:val="auto"/>
      <w:sz w:val="21"/>
    </w:rPr>
  </w:style>
  <w:style w:type="paragraph" w:customStyle="1" w:styleId="179">
    <w:name w:val="⑥级标题"/>
    <w:basedOn w:val="159"/>
    <w:link w:val="181"/>
    <w:qFormat/>
    <w:uiPriority w:val="12"/>
    <w:pPr>
      <w:numPr>
        <w:numId w:val="9"/>
      </w:numPr>
    </w:pPr>
  </w:style>
  <w:style w:type="character" w:customStyle="1" w:styleId="180">
    <w:name w:val="3级标题 字符"/>
    <w:basedOn w:val="89"/>
    <w:link w:val="159"/>
    <w:qFormat/>
    <w:uiPriority w:val="3"/>
    <w:rPr>
      <w:rFonts w:ascii="宋体" w:hAnsi="Courier New" w:cs="Courier New"/>
      <w:b/>
      <w:kern w:val="2"/>
      <w:sz w:val="21"/>
    </w:rPr>
  </w:style>
  <w:style w:type="character" w:customStyle="1" w:styleId="181">
    <w:name w:val="⑥级标题 字符"/>
    <w:basedOn w:val="180"/>
    <w:link w:val="179"/>
    <w:qFormat/>
    <w:uiPriority w:val="12"/>
    <w:rPr>
      <w:rFonts w:ascii="宋体" w:hAnsi="Courier New" w:cs="Courier New"/>
      <w:kern w:val="2"/>
      <w:sz w:val="21"/>
    </w:rPr>
  </w:style>
  <w:style w:type="character" w:customStyle="1" w:styleId="182">
    <w:name w:val="电子邮件签名 字符1"/>
    <w:basedOn w:val="44"/>
    <w:semiHidden/>
    <w:qFormat/>
    <w:uiPriority w:val="98"/>
    <w:rPr>
      <w:rFonts w:ascii="Times New Roman" w:hAnsi="Times New Roman"/>
      <w:kern w:val="2"/>
      <w:sz w:val="21"/>
    </w:rPr>
  </w:style>
  <w:style w:type="character" w:customStyle="1" w:styleId="183">
    <w:name w:val="HR正文 Char"/>
    <w:link w:val="184"/>
    <w:qFormat/>
    <w:uiPriority w:val="0"/>
    <w:rPr>
      <w:kern w:val="2"/>
      <w:sz w:val="24"/>
      <w:szCs w:val="24"/>
    </w:rPr>
  </w:style>
  <w:style w:type="paragraph" w:customStyle="1" w:styleId="184">
    <w:name w:val="HR正文"/>
    <w:basedOn w:val="1"/>
    <w:link w:val="183"/>
    <w:qFormat/>
    <w:uiPriority w:val="0"/>
    <w:pPr>
      <w:spacing w:line="300" w:lineRule="auto"/>
      <w:ind w:firstLine="200" w:firstLineChars="200"/>
    </w:pPr>
    <w:rPr>
      <w:rFonts w:ascii="Times New Roman" w:hAnsi="Times New Roman" w:eastAsia="宋体" w:cs="Times New Roman"/>
      <w:sz w:val="24"/>
      <w:szCs w:val="24"/>
    </w:rPr>
  </w:style>
  <w:style w:type="character" w:customStyle="1" w:styleId="185">
    <w:name w:val="信息标题 字符1"/>
    <w:basedOn w:val="44"/>
    <w:semiHidden/>
    <w:qFormat/>
    <w:uiPriority w:val="98"/>
    <w:rPr>
      <w:rFonts w:asciiTheme="majorHAnsi" w:hAnsiTheme="majorHAnsi" w:eastAsiaTheme="majorEastAsia" w:cstheme="majorBidi"/>
      <w:kern w:val="2"/>
      <w:sz w:val="24"/>
      <w:szCs w:val="24"/>
      <w:shd w:val="pct20" w:color="auto" w:fill="auto"/>
    </w:rPr>
  </w:style>
  <w:style w:type="character" w:customStyle="1" w:styleId="186">
    <w:name w:val="页眉 Char1"/>
    <w:semiHidden/>
    <w:qFormat/>
    <w:locked/>
    <w:uiPriority w:val="0"/>
    <w:rPr>
      <w:rFonts w:ascii="Calibri" w:hAnsi="Calibri"/>
      <w:sz w:val="18"/>
      <w:szCs w:val="18"/>
    </w:rPr>
  </w:style>
  <w:style w:type="character" w:customStyle="1" w:styleId="187">
    <w:name w:val="font21"/>
    <w:basedOn w:val="44"/>
    <w:qFormat/>
    <w:uiPriority w:val="0"/>
    <w:rPr>
      <w:rFonts w:hint="default" w:ascii="Times New Roman" w:hAnsi="Times New Roman" w:cs="Times New Roman"/>
      <w:b/>
      <w:bCs/>
      <w:color w:val="333333"/>
      <w:sz w:val="28"/>
      <w:szCs w:val="28"/>
      <w:u w:val="none"/>
    </w:rPr>
  </w:style>
  <w:style w:type="character" w:customStyle="1" w:styleId="188">
    <w:name w:val="font112"/>
    <w:basedOn w:val="44"/>
    <w:qFormat/>
    <w:uiPriority w:val="0"/>
    <w:rPr>
      <w:rFonts w:hint="eastAsia" w:ascii="宋体" w:hAnsi="宋体" w:eastAsia="宋体" w:cs="宋体"/>
      <w:b/>
      <w:bCs/>
      <w:color w:val="333333"/>
      <w:sz w:val="28"/>
      <w:szCs w:val="28"/>
      <w:u w:val="none"/>
    </w:rPr>
  </w:style>
  <w:style w:type="character" w:customStyle="1" w:styleId="189">
    <w:name w:val="font41"/>
    <w:basedOn w:val="44"/>
    <w:qFormat/>
    <w:uiPriority w:val="0"/>
    <w:rPr>
      <w:rFonts w:hint="default" w:ascii="Times New Roman" w:hAnsi="Times New Roman" w:cs="Times New Roman"/>
      <w:b/>
      <w:bCs/>
      <w:color w:val="333333"/>
      <w:sz w:val="24"/>
      <w:szCs w:val="24"/>
      <w:u w:val="none"/>
    </w:rPr>
  </w:style>
  <w:style w:type="character" w:customStyle="1" w:styleId="190">
    <w:name w:val="font121"/>
    <w:basedOn w:val="44"/>
    <w:qFormat/>
    <w:uiPriority w:val="0"/>
    <w:rPr>
      <w:rFonts w:hint="eastAsia" w:ascii="宋体" w:hAnsi="宋体" w:eastAsia="宋体" w:cs="宋体"/>
      <w:b/>
      <w:bCs/>
      <w:color w:val="333333"/>
      <w:sz w:val="24"/>
      <w:szCs w:val="24"/>
      <w:u w:val="none"/>
    </w:rPr>
  </w:style>
  <w:style w:type="character" w:customStyle="1" w:styleId="191">
    <w:name w:val="font51"/>
    <w:basedOn w:val="44"/>
    <w:qFormat/>
    <w:uiPriority w:val="0"/>
    <w:rPr>
      <w:rFonts w:hint="default" w:ascii="Times New Roman" w:hAnsi="Times New Roman" w:cs="Times New Roman"/>
      <w:color w:val="333333"/>
      <w:sz w:val="20"/>
      <w:szCs w:val="20"/>
      <w:u w:val="none"/>
    </w:rPr>
  </w:style>
  <w:style w:type="character" w:customStyle="1" w:styleId="192">
    <w:name w:val="font131"/>
    <w:basedOn w:val="44"/>
    <w:qFormat/>
    <w:uiPriority w:val="0"/>
    <w:rPr>
      <w:rFonts w:hint="eastAsia" w:ascii="宋体" w:hAnsi="宋体" w:eastAsia="宋体" w:cs="宋体"/>
      <w:color w:val="333333"/>
      <w:sz w:val="20"/>
      <w:szCs w:val="20"/>
      <w:u w:val="none"/>
    </w:rPr>
  </w:style>
  <w:style w:type="character" w:customStyle="1" w:styleId="193">
    <w:name w:val="font61"/>
    <w:basedOn w:val="44"/>
    <w:qFormat/>
    <w:uiPriority w:val="0"/>
    <w:rPr>
      <w:rFonts w:hint="default" w:ascii="Times New Roman" w:hAnsi="Times New Roman" w:cs="Times New Roman"/>
      <w:color w:val="000000"/>
      <w:sz w:val="20"/>
      <w:szCs w:val="20"/>
      <w:u w:val="none"/>
    </w:rPr>
  </w:style>
  <w:style w:type="character" w:customStyle="1" w:styleId="194">
    <w:name w:val="font141"/>
    <w:basedOn w:val="44"/>
    <w:qFormat/>
    <w:uiPriority w:val="0"/>
    <w:rPr>
      <w:rFonts w:hint="eastAsia" w:ascii="宋体" w:hAnsi="宋体" w:eastAsia="宋体" w:cs="宋体"/>
      <w:color w:val="000000"/>
      <w:sz w:val="20"/>
      <w:szCs w:val="20"/>
      <w:u w:val="none"/>
    </w:rPr>
  </w:style>
  <w:style w:type="character" w:customStyle="1" w:styleId="195">
    <w:name w:val="font71"/>
    <w:basedOn w:val="44"/>
    <w:qFormat/>
    <w:uiPriority w:val="0"/>
    <w:rPr>
      <w:rFonts w:hint="default" w:ascii="Times New Roman" w:hAnsi="Times New Roman" w:cs="Times New Roman"/>
      <w:color w:val="333333"/>
      <w:sz w:val="20"/>
      <w:szCs w:val="20"/>
      <w:u w:val="none"/>
    </w:rPr>
  </w:style>
  <w:style w:type="character" w:customStyle="1" w:styleId="196">
    <w:name w:val="font151"/>
    <w:basedOn w:val="44"/>
    <w:qFormat/>
    <w:uiPriority w:val="0"/>
    <w:rPr>
      <w:rFonts w:hint="eastAsia" w:ascii="宋体" w:hAnsi="宋体" w:eastAsia="宋体" w:cs="宋体"/>
      <w:color w:val="333333"/>
      <w:sz w:val="20"/>
      <w:szCs w:val="20"/>
      <w:u w:val="none"/>
    </w:rPr>
  </w:style>
  <w:style w:type="character" w:customStyle="1" w:styleId="197">
    <w:name w:val="font161"/>
    <w:basedOn w:val="44"/>
    <w:qFormat/>
    <w:uiPriority w:val="0"/>
    <w:rPr>
      <w:rFonts w:hint="default" w:ascii="Times New Roman" w:hAnsi="Times New Roman" w:cs="Times New Roman"/>
      <w:b/>
      <w:bCs/>
      <w:color w:val="333333"/>
      <w:sz w:val="20"/>
      <w:szCs w:val="20"/>
      <w:u w:val="none"/>
    </w:rPr>
  </w:style>
  <w:style w:type="character" w:customStyle="1" w:styleId="198">
    <w:name w:val="font171"/>
    <w:basedOn w:val="44"/>
    <w:qFormat/>
    <w:uiPriority w:val="0"/>
    <w:rPr>
      <w:rFonts w:hint="eastAsia" w:ascii="宋体" w:hAnsi="宋体" w:eastAsia="宋体" w:cs="宋体"/>
      <w:b/>
      <w:bCs/>
      <w:color w:val="333333"/>
      <w:sz w:val="20"/>
      <w:szCs w:val="20"/>
      <w:u w:val="none"/>
    </w:rPr>
  </w:style>
  <w:style w:type="character" w:customStyle="1" w:styleId="199">
    <w:name w:val="font81"/>
    <w:basedOn w:val="44"/>
    <w:qFormat/>
    <w:uiPriority w:val="0"/>
    <w:rPr>
      <w:rFonts w:hint="default" w:ascii="Times New Roman" w:hAnsi="Times New Roman" w:cs="Times New Roman"/>
      <w:b/>
      <w:bCs/>
      <w:color w:val="000000"/>
      <w:sz w:val="24"/>
      <w:szCs w:val="24"/>
      <w:u w:val="none"/>
    </w:rPr>
  </w:style>
  <w:style w:type="character" w:customStyle="1" w:styleId="200">
    <w:name w:val="font181"/>
    <w:basedOn w:val="44"/>
    <w:qFormat/>
    <w:uiPriority w:val="0"/>
    <w:rPr>
      <w:rFonts w:hint="eastAsia" w:ascii="宋体" w:hAnsi="宋体" w:eastAsia="宋体" w:cs="宋体"/>
      <w:b/>
      <w:bCs/>
      <w:color w:val="000000"/>
      <w:sz w:val="24"/>
      <w:szCs w:val="24"/>
      <w:u w:val="none"/>
    </w:rPr>
  </w:style>
  <w:style w:type="character" w:customStyle="1" w:styleId="201">
    <w:name w:val="font91"/>
    <w:basedOn w:val="44"/>
    <w:qFormat/>
    <w:uiPriority w:val="0"/>
    <w:rPr>
      <w:rFonts w:hint="default" w:ascii="Times New Roman" w:hAnsi="Times New Roman" w:cs="Times New Roman"/>
      <w:color w:val="000000"/>
      <w:sz w:val="20"/>
      <w:szCs w:val="20"/>
      <w:u w:val="none"/>
    </w:rPr>
  </w:style>
  <w:style w:type="character" w:customStyle="1" w:styleId="202">
    <w:name w:val="font191"/>
    <w:basedOn w:val="44"/>
    <w:qFormat/>
    <w:uiPriority w:val="0"/>
    <w:rPr>
      <w:rFonts w:hint="eastAsia" w:ascii="宋体" w:hAnsi="宋体" w:eastAsia="宋体" w:cs="宋体"/>
      <w:color w:val="000000"/>
      <w:sz w:val="20"/>
      <w:szCs w:val="20"/>
      <w:u w:val="none"/>
    </w:rPr>
  </w:style>
  <w:style w:type="character" w:customStyle="1" w:styleId="203">
    <w:name w:val="font101"/>
    <w:basedOn w:val="44"/>
    <w:qFormat/>
    <w:uiPriority w:val="0"/>
    <w:rPr>
      <w:rFonts w:hint="default" w:ascii="Times New Roman" w:hAnsi="Times New Roman" w:cs="Times New Roman"/>
      <w:color w:val="000000"/>
      <w:sz w:val="20"/>
      <w:szCs w:val="20"/>
      <w:u w:val="none"/>
    </w:rPr>
  </w:style>
  <w:style w:type="character" w:customStyle="1" w:styleId="204">
    <w:name w:val="font201"/>
    <w:basedOn w:val="44"/>
    <w:qFormat/>
    <w:uiPriority w:val="0"/>
    <w:rPr>
      <w:rFonts w:hint="eastAsia" w:ascii="宋体" w:hAnsi="宋体" w:eastAsia="宋体" w:cs="宋体"/>
      <w:color w:val="000000"/>
      <w:sz w:val="20"/>
      <w:szCs w:val="20"/>
      <w:u w:val="none"/>
    </w:rPr>
  </w:style>
  <w:style w:type="character" w:customStyle="1" w:styleId="205">
    <w:name w:val="font01"/>
    <w:basedOn w:val="44"/>
    <w:qFormat/>
    <w:uiPriority w:val="0"/>
    <w:rPr>
      <w:rFonts w:hint="eastAsia" w:ascii="宋体" w:hAnsi="宋体" w:eastAsia="宋体" w:cs="宋体"/>
      <w:color w:val="000000"/>
      <w:sz w:val="22"/>
      <w:szCs w:val="22"/>
      <w:u w:val="none"/>
    </w:rPr>
  </w:style>
  <w:style w:type="character" w:customStyle="1" w:styleId="206">
    <w:name w:val="font11"/>
    <w:basedOn w:val="44"/>
    <w:qFormat/>
    <w:uiPriority w:val="0"/>
    <w:rPr>
      <w:rFonts w:ascii="宋体" w:hAnsi="宋体" w:eastAsia="宋体" w:cs="宋体"/>
      <w:color w:val="000000"/>
      <w:sz w:val="22"/>
      <w:szCs w:val="22"/>
      <w:u w:val="none"/>
    </w:rPr>
  </w:style>
  <w:style w:type="paragraph" w:customStyle="1" w:styleId="207">
    <w:name w:val="Table Text"/>
    <w:basedOn w:val="1"/>
    <w:semiHidden/>
    <w:qFormat/>
    <w:uiPriority w:val="0"/>
    <w:pPr>
      <w:spacing w:line="440" w:lineRule="exact"/>
      <w:textAlignment w:val="center"/>
    </w:pPr>
    <w:rPr>
      <w:rFonts w:ascii="Times New Roman" w:hAnsi="Times New Roman" w:eastAsia="宋体" w:cs="宋体"/>
      <w:sz w:val="22"/>
      <w:lang w:eastAsia="en-US"/>
    </w:rPr>
  </w:style>
  <w:style w:type="character" w:customStyle="1" w:styleId="208">
    <w:name w:val="标题 3 字符1"/>
    <w:qFormat/>
    <w:uiPriority w:val="9"/>
    <w:rPr>
      <w:rFonts w:eastAsia="宋体"/>
      <w:b/>
      <w:sz w:val="28"/>
    </w:rPr>
  </w:style>
  <w:style w:type="paragraph" w:customStyle="1" w:styleId="209">
    <w:name w:val="列出段落（二级，字母编号）"/>
    <w:basedOn w:val="133"/>
    <w:qFormat/>
    <w:uiPriority w:val="1"/>
    <w:pPr>
      <w:numPr>
        <w:ilvl w:val="0"/>
        <w:numId w:val="10"/>
      </w:numPr>
      <w:tabs>
        <w:tab w:val="left" w:pos="360"/>
      </w:tabs>
      <w:spacing w:line="440" w:lineRule="exact"/>
      <w:ind w:left="823"/>
    </w:pPr>
    <w:rPr>
      <w:rFonts w:ascii="Times New Roman" w:hAnsi="Times New Roman" w:eastAsia="宋体"/>
      <w:sz w:val="24"/>
    </w:rPr>
  </w:style>
  <w:style w:type="character" w:customStyle="1" w:styleId="210">
    <w:name w:val="正文首行缩进 字符"/>
    <w:basedOn w:val="88"/>
    <w:link w:val="40"/>
    <w:qFormat/>
    <w:uiPriority w:val="0"/>
    <w:rPr>
      <w:rFonts w:ascii="Calibri" w:hAnsi="Calibri" w:eastAsia="新宋体" w:cs="Times New Roman"/>
      <w:kern w:val="2"/>
      <w:sz w:val="21"/>
      <w:szCs w:val="21"/>
    </w:rPr>
  </w:style>
  <w:style w:type="character" w:customStyle="1" w:styleId="211">
    <w:name w:val="正文首行缩进 2 字符"/>
    <w:basedOn w:val="85"/>
    <w:link w:val="41"/>
    <w:qFormat/>
    <w:uiPriority w:val="99"/>
    <w:rPr>
      <w:rFonts w:ascii="Calibri" w:hAnsi="Calibri" w:eastAsia="宋体" w:cs="Times New Roman"/>
      <w:kern w:val="2"/>
      <w:sz w:val="21"/>
      <w:szCs w:val="20"/>
    </w:rPr>
  </w:style>
  <w:style w:type="paragraph" w:customStyle="1" w:styleId="212">
    <w:name w:val="标书2级"/>
    <w:basedOn w:val="1"/>
    <w:qFormat/>
    <w:uiPriority w:val="0"/>
    <w:pPr>
      <w:tabs>
        <w:tab w:val="left" w:pos="483"/>
        <w:tab w:val="left" w:pos="567"/>
      </w:tabs>
      <w:spacing w:line="460" w:lineRule="exact"/>
      <w:jc w:val="left"/>
      <w:outlineLvl w:val="1"/>
    </w:pPr>
    <w:rPr>
      <w:rFonts w:ascii="Arial" w:hAnsi="Arial" w:eastAsia="宋体" w:cs="Times New Roman"/>
      <w:b/>
      <w:bCs/>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9" Type="http://schemas.openxmlformats.org/officeDocument/2006/relationships/fontTable" Target="fontTable.xml"/><Relationship Id="rId38" Type="http://schemas.openxmlformats.org/officeDocument/2006/relationships/customXml" Target="../customXml/item2.xml"/><Relationship Id="rId37" Type="http://schemas.openxmlformats.org/officeDocument/2006/relationships/numbering" Target="numbering.xml"/><Relationship Id="rId36" Type="http://schemas.openxmlformats.org/officeDocument/2006/relationships/customXml" Target="../customXml/item1.xml"/><Relationship Id="rId35" Type="http://schemas.openxmlformats.org/officeDocument/2006/relationships/image" Target="media/image13.png"/><Relationship Id="rId34" Type="http://schemas.openxmlformats.org/officeDocument/2006/relationships/image" Target="media/image12.png"/><Relationship Id="rId33" Type="http://schemas.openxmlformats.org/officeDocument/2006/relationships/image" Target="media/image11.png"/><Relationship Id="rId32" Type="http://schemas.openxmlformats.org/officeDocument/2006/relationships/image" Target="media/image10.png"/><Relationship Id="rId31" Type="http://schemas.openxmlformats.org/officeDocument/2006/relationships/image" Target="media/image9.png"/><Relationship Id="rId30" Type="http://schemas.openxmlformats.org/officeDocument/2006/relationships/image" Target="media/image8.png"/><Relationship Id="rId3" Type="http://schemas.openxmlformats.org/officeDocument/2006/relationships/footer" Target="footer1.xml"/><Relationship Id="rId29" Type="http://schemas.openxmlformats.org/officeDocument/2006/relationships/image" Target="media/image7.png"/><Relationship Id="rId28" Type="http://schemas.openxmlformats.org/officeDocument/2006/relationships/image" Target="media/image6.png"/><Relationship Id="rId27" Type="http://schemas.openxmlformats.org/officeDocument/2006/relationships/image" Target="media/image5.png"/><Relationship Id="rId26" Type="http://schemas.openxmlformats.org/officeDocument/2006/relationships/image" Target="media/image4.png"/><Relationship Id="rId25" Type="http://schemas.openxmlformats.org/officeDocument/2006/relationships/image" Target="media/image3.png"/><Relationship Id="rId24" Type="http://schemas.openxmlformats.org/officeDocument/2006/relationships/image" Target="media/image2.png"/><Relationship Id="rId23" Type="http://schemas.openxmlformats.org/officeDocument/2006/relationships/image" Target="media/image1.png"/><Relationship Id="rId22" Type="http://schemas.openxmlformats.org/officeDocument/2006/relationships/theme" Target="theme/theme1.xml"/><Relationship Id="rId21" Type="http://schemas.openxmlformats.org/officeDocument/2006/relationships/footer" Target="footer13.xml"/><Relationship Id="rId20" Type="http://schemas.openxmlformats.org/officeDocument/2006/relationships/footer" Target="footer12.xml"/><Relationship Id="rId2" Type="http://schemas.openxmlformats.org/officeDocument/2006/relationships/settings" Target="settings.xml"/><Relationship Id="rId19" Type="http://schemas.openxmlformats.org/officeDocument/2006/relationships/header" Target="header6.xml"/><Relationship Id="rId18" Type="http://schemas.openxmlformats.org/officeDocument/2006/relationships/header" Target="header5.xml"/><Relationship Id="rId17" Type="http://schemas.openxmlformats.org/officeDocument/2006/relationships/footer" Target="footer11.xml"/><Relationship Id="rId16" Type="http://schemas.openxmlformats.org/officeDocument/2006/relationships/footer" Target="footer10.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header" Target="header4.xml"/><Relationship Id="rId11" Type="http://schemas.openxmlformats.org/officeDocument/2006/relationships/footer" Target="footer6.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4C77427-C32B-4FD7-8D89-F0E4C5E81254}">
  <ds:schemaRefs/>
</ds:datastoreItem>
</file>

<file path=docProps/app.xml><?xml version="1.0" encoding="utf-8"?>
<Properties xmlns="http://schemas.openxmlformats.org/officeDocument/2006/extended-properties" xmlns:vt="http://schemas.openxmlformats.org/officeDocument/2006/docPropsVTypes">
  <Template>Normal.dotm</Template>
  <Company>P R C</Company>
  <Pages>97</Pages>
  <Words>4183</Words>
  <Characters>4527</Characters>
  <Lines>1525</Lines>
  <Paragraphs>429</Paragraphs>
  <TotalTime>0</TotalTime>
  <ScaleCrop>false</ScaleCrop>
  <LinksUpToDate>false</LinksUpToDate>
  <CharactersWithSpaces>4701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2024-12-13T03:19:00Z</dcterms:created>
  <dc:creator>ZQNet</dc:creator>
  <cp:lastModifiedBy>王瑄</cp:lastModifiedBy>
  <cp:lastPrinted>2022-07-01T11:19:00Z</cp:lastPrinted>
  <dcterms:modified xsi:type="dcterms:W3CDTF">2026-09-29T07:46:56Z</dcterms:modified>
  <cp:revision>132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73DC07785CEB457EBC26408FEF87F5A2_13</vt:lpwstr>
  </property>
  <property fmtid="{D5CDD505-2E9C-101B-9397-08002B2CF9AE}" pid="4" name="KSOTemplateDocerSaveRecord">
    <vt:lpwstr>eyJoZGlkIjoiZWQxZjNmOWI4MjYxMjE3YWYxMWY4NzIzOWZkNTY1ZGEiLCJ1c2VySWQiOiIxNzY1MTE0NzEzIn0=</vt:lpwstr>
  </property>
</Properties>
</file>