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9462D">
      <w:pPr>
        <w:jc w:val="center"/>
        <w:rPr>
          <w:rFonts w:hint="eastAsia" w:ascii="仿宋_GB2312" w:hAnsi="仿宋_GB2312" w:eastAsia="仿宋_GB2312" w:cs="仿宋_GB2312"/>
          <w:color w:val="000000"/>
          <w:sz w:val="30"/>
          <w:szCs w:val="30"/>
        </w:rPr>
      </w:pPr>
    </w:p>
    <w:p w14:paraId="23E7D52F">
      <w:pPr>
        <w:jc w:val="center"/>
        <w:rPr>
          <w:rFonts w:hint="eastAsia" w:ascii="仿宋_GB2312" w:hAnsi="仿宋_GB2312" w:eastAsia="仿宋_GB2312" w:cs="仿宋_GB2312"/>
          <w:color w:val="000000"/>
          <w:sz w:val="30"/>
          <w:szCs w:val="30"/>
        </w:rPr>
      </w:pPr>
    </w:p>
    <w:p w14:paraId="168A81A2">
      <w:pPr>
        <w:jc w:val="center"/>
        <w:rPr>
          <w:rFonts w:hint="eastAsia" w:ascii="仿宋_GB2312" w:hAnsi="仿宋_GB2312" w:eastAsia="仿宋_GB2312" w:cs="仿宋_GB2312"/>
          <w:color w:val="000000"/>
          <w:sz w:val="30"/>
          <w:szCs w:val="30"/>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2D309AB9">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rPr>
      </w:pPr>
      <w:r>
        <w:rPr>
          <w:rFonts w:hint="eastAsia" w:ascii="仿宋_GB2312" w:hAnsi="仿宋_GB2312" w:eastAsia="仿宋_GB2312" w:cs="仿宋_GB2312"/>
          <w:b/>
          <w:bCs/>
          <w:color w:val="000000"/>
          <w:spacing w:val="-8"/>
          <w:sz w:val="48"/>
          <w:szCs w:val="48"/>
        </w:rPr>
        <w:t>电机装配及测试装置</w:t>
      </w:r>
    </w:p>
    <w:p w14:paraId="1A2AEBBE">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w:t>
      </w:r>
    </w:p>
    <w:p w14:paraId="0DF96F55">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46B446C5">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1ED309F8">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3A940935">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仿宋_GB2312" w:hAnsi="仿宋_GB2312" w:eastAsia="仿宋_GB2312" w:cs="仿宋_GB2312"/>
          <w:color w:val="000000"/>
          <w:sz w:val="28"/>
          <w:szCs w:val="28"/>
        </w:rPr>
      </w:pPr>
    </w:p>
    <w:p w14:paraId="4238AF7E">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招</w:t>
      </w:r>
    </w:p>
    <w:p w14:paraId="09D73488">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 xml:space="preserve"> </w:t>
      </w:r>
    </w:p>
    <w:p w14:paraId="42117D20">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标</w:t>
      </w:r>
    </w:p>
    <w:p w14:paraId="1AD7C954">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p>
    <w:p w14:paraId="6F28895F">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书</w:t>
      </w:r>
    </w:p>
    <w:p w14:paraId="6CF96A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32"/>
          <w:szCs w:val="28"/>
        </w:rPr>
        <w:t xml:space="preserve">                </w:t>
      </w:r>
      <w:r>
        <w:rPr>
          <w:rFonts w:hint="eastAsia" w:ascii="仿宋_GB2312" w:hAnsi="仿宋_GB2312" w:eastAsia="仿宋_GB2312" w:cs="仿宋_GB2312"/>
          <w:b/>
          <w:bCs/>
          <w:sz w:val="32"/>
          <w:szCs w:val="28"/>
        </w:rPr>
        <w:t xml:space="preserve"> </w:t>
      </w:r>
    </w:p>
    <w:p w14:paraId="4C5C2B0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1C5D16D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3CA4391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7BF763AC">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_GB2312" w:hAnsi="仿宋_GB2312" w:eastAsia="仿宋_GB2312" w:cs="仿宋_GB2312"/>
          <w:color w:val="000000"/>
          <w:sz w:val="28"/>
          <w:szCs w:val="28"/>
        </w:rPr>
      </w:pPr>
    </w:p>
    <w:p w14:paraId="235AEBE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：中国重汽集团济南动力有限公司发动机厂</w:t>
      </w:r>
    </w:p>
    <w:p w14:paraId="1456BA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_GB2312" w:hAnsi="仿宋_GB2312" w:eastAsia="仿宋_GB2312" w:cs="仿宋_GB2312"/>
          <w:bCs/>
          <w:kern w:val="44"/>
          <w:szCs w:val="44"/>
        </w:rPr>
      </w:sdtEndPr>
      <w:sdtContent>
        <w:p w14:paraId="505CB60F">
          <w:pPr>
            <w:jc w:val="center"/>
            <w:rPr>
              <w:rFonts w:ascii="宋体" w:hAnsi="宋体" w:eastAsia="宋体"/>
            </w:rPr>
          </w:pP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8"/>
            <w:rPr>
              <w:rFonts w:hint="eastAsia"/>
            </w:rPr>
          </w:pPr>
        </w:p>
        <w:p w14:paraId="190EE1D3">
          <w:pPr>
            <w:pStyle w:val="29"/>
            <w:tabs>
              <w:tab w:val="right" w:leader="dot" w:pos="9071"/>
            </w:tabs>
            <w:rPr>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TOC \o "1-1" \h \u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_Toc31726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第一部分 投标须知前附表</w:t>
          </w:r>
          <w:r>
            <w:rPr>
              <w:sz w:val="32"/>
              <w:szCs w:val="32"/>
            </w:rPr>
            <w:tab/>
          </w:r>
          <w:r>
            <w:rPr>
              <w:sz w:val="32"/>
              <w:szCs w:val="32"/>
            </w:rPr>
            <w:fldChar w:fldCharType="begin"/>
          </w:r>
          <w:r>
            <w:rPr>
              <w:sz w:val="32"/>
              <w:szCs w:val="32"/>
            </w:rPr>
            <w:instrText xml:space="preserve"> PAGEREF _Toc31726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color w:val="auto"/>
              <w:sz w:val="32"/>
              <w:szCs w:val="32"/>
            </w:rPr>
            <w:fldChar w:fldCharType="end"/>
          </w:r>
        </w:p>
        <w:p w14:paraId="46A389CD">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 投标须知</w:t>
          </w:r>
          <w:r>
            <w:rPr>
              <w:sz w:val="32"/>
              <w:szCs w:val="32"/>
            </w:rPr>
            <w:tab/>
          </w:r>
          <w:r>
            <w:rPr>
              <w:sz w:val="32"/>
              <w:szCs w:val="32"/>
            </w:rPr>
            <w:fldChar w:fldCharType="begin"/>
          </w:r>
          <w:r>
            <w:rPr>
              <w:sz w:val="32"/>
              <w:szCs w:val="32"/>
            </w:rPr>
            <w:instrText xml:space="preserve"> PAGEREF _Toc11216 \h </w:instrText>
          </w:r>
          <w:r>
            <w:rPr>
              <w:sz w:val="32"/>
              <w:szCs w:val="32"/>
            </w:rPr>
            <w:fldChar w:fldCharType="separate"/>
          </w:r>
          <w:r>
            <w:rPr>
              <w:sz w:val="32"/>
              <w:szCs w:val="32"/>
            </w:rPr>
            <w:t>8</w:t>
          </w:r>
          <w:r>
            <w:rPr>
              <w:sz w:val="32"/>
              <w:szCs w:val="32"/>
            </w:rPr>
            <w:fldChar w:fldCharType="end"/>
          </w:r>
          <w:r>
            <w:rPr>
              <w:rFonts w:hint="eastAsia" w:ascii="仿宋_GB2312" w:hAnsi="仿宋_GB2312" w:eastAsia="仿宋_GB2312" w:cs="仿宋_GB2312"/>
              <w:sz w:val="32"/>
              <w:szCs w:val="32"/>
            </w:rPr>
            <w:fldChar w:fldCharType="end"/>
          </w:r>
        </w:p>
        <w:p w14:paraId="645CC699">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_Toc13002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第三部分 投标文件编制</w:t>
          </w:r>
          <w:r>
            <w:rPr>
              <w:sz w:val="32"/>
              <w:szCs w:val="32"/>
            </w:rPr>
            <w:tab/>
          </w:r>
          <w:r>
            <w:rPr>
              <w:sz w:val="32"/>
              <w:szCs w:val="32"/>
            </w:rPr>
            <w:fldChar w:fldCharType="begin"/>
          </w:r>
          <w:r>
            <w:rPr>
              <w:sz w:val="32"/>
              <w:szCs w:val="32"/>
            </w:rPr>
            <w:instrText xml:space="preserve"> PAGEREF _Toc13002 \h </w:instrText>
          </w:r>
          <w:r>
            <w:rPr>
              <w:sz w:val="32"/>
              <w:szCs w:val="32"/>
            </w:rPr>
            <w:fldChar w:fldCharType="separate"/>
          </w:r>
          <w:r>
            <w:rPr>
              <w:sz w:val="32"/>
              <w:szCs w:val="32"/>
            </w:rPr>
            <w:t>14</w:t>
          </w:r>
          <w:r>
            <w:rPr>
              <w:sz w:val="32"/>
              <w:szCs w:val="32"/>
            </w:rPr>
            <w:fldChar w:fldCharType="end"/>
          </w:r>
          <w:r>
            <w:rPr>
              <w:rFonts w:hint="eastAsia" w:ascii="仿宋_GB2312" w:hAnsi="仿宋_GB2312" w:eastAsia="仿宋_GB2312" w:cs="仿宋_GB2312"/>
              <w:sz w:val="32"/>
              <w:szCs w:val="32"/>
            </w:rPr>
            <w:fldChar w:fldCharType="end"/>
          </w:r>
        </w:p>
        <w:p w14:paraId="6EC45B6C">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_Toc10008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第四部分 技术标书</w:t>
          </w:r>
          <w:r>
            <w:rPr>
              <w:sz w:val="32"/>
              <w:szCs w:val="32"/>
            </w:rPr>
            <w:tab/>
          </w:r>
          <w:r>
            <w:rPr>
              <w:sz w:val="32"/>
              <w:szCs w:val="32"/>
            </w:rPr>
            <w:fldChar w:fldCharType="begin"/>
          </w:r>
          <w:r>
            <w:rPr>
              <w:sz w:val="32"/>
              <w:szCs w:val="32"/>
            </w:rPr>
            <w:instrText xml:space="preserve"> PAGEREF _Toc10008 \h </w:instrText>
          </w:r>
          <w:r>
            <w:rPr>
              <w:sz w:val="32"/>
              <w:szCs w:val="32"/>
            </w:rPr>
            <w:fldChar w:fldCharType="separate"/>
          </w:r>
          <w:r>
            <w:rPr>
              <w:sz w:val="32"/>
              <w:szCs w:val="32"/>
            </w:rPr>
            <w:t>17</w:t>
          </w:r>
          <w:r>
            <w:rPr>
              <w:sz w:val="32"/>
              <w:szCs w:val="32"/>
            </w:rPr>
            <w:fldChar w:fldCharType="end"/>
          </w:r>
          <w:r>
            <w:rPr>
              <w:rFonts w:hint="eastAsia" w:ascii="仿宋_GB2312" w:hAnsi="仿宋_GB2312" w:eastAsia="仿宋_GB2312" w:cs="仿宋_GB2312"/>
              <w:sz w:val="32"/>
              <w:szCs w:val="32"/>
            </w:rPr>
            <w:fldChar w:fldCharType="end"/>
          </w:r>
        </w:p>
        <w:p w14:paraId="4B5ADEA3">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_Toc3115 </w:instrText>
          </w:r>
          <w:r>
            <w:rPr>
              <w:rFonts w:hint="eastAsia" w:ascii="仿宋_GB2312" w:hAnsi="仿宋_GB2312" w:eastAsia="仿宋_GB2312" w:cs="仿宋_GB2312"/>
              <w:sz w:val="32"/>
              <w:szCs w:val="32"/>
            </w:rPr>
            <w:fldChar w:fldCharType="separate"/>
          </w:r>
          <w:r>
            <w:rPr>
              <w:rFonts w:hint="eastAsia" w:ascii="宋体" w:hAnsi="宋体" w:eastAsia="宋体" w:cs="Times New Roman"/>
              <w:sz w:val="32"/>
              <w:szCs w:val="32"/>
            </w:rPr>
            <w:t>第五部分</w:t>
          </w:r>
          <w:r>
            <w:rPr>
              <w:rFonts w:ascii="宋体" w:hAnsi="宋体" w:eastAsia="宋体" w:cs="Times New Roman"/>
              <w:sz w:val="32"/>
              <w:szCs w:val="32"/>
            </w:rPr>
            <w:t xml:space="preserve"> </w:t>
          </w:r>
          <w:r>
            <w:rPr>
              <w:rFonts w:hint="eastAsia" w:ascii="宋体" w:hAnsi="宋体" w:eastAsia="宋体" w:cs="Times New Roman"/>
              <w:sz w:val="32"/>
              <w:szCs w:val="32"/>
            </w:rPr>
            <w:t>设备采购合同</w:t>
          </w:r>
          <w:r>
            <w:rPr>
              <w:sz w:val="32"/>
              <w:szCs w:val="32"/>
            </w:rPr>
            <w:tab/>
          </w:r>
          <w:r>
            <w:rPr>
              <w:sz w:val="32"/>
              <w:szCs w:val="32"/>
            </w:rPr>
            <w:fldChar w:fldCharType="begin"/>
          </w:r>
          <w:r>
            <w:rPr>
              <w:sz w:val="32"/>
              <w:szCs w:val="32"/>
            </w:rPr>
            <w:instrText xml:space="preserve"> PAGEREF _Toc3115 \h </w:instrText>
          </w:r>
          <w:r>
            <w:rPr>
              <w:sz w:val="32"/>
              <w:szCs w:val="32"/>
            </w:rPr>
            <w:fldChar w:fldCharType="separate"/>
          </w:r>
          <w:r>
            <w:rPr>
              <w:sz w:val="32"/>
              <w:szCs w:val="32"/>
            </w:rPr>
            <w:t>46</w:t>
          </w:r>
          <w:r>
            <w:rPr>
              <w:sz w:val="32"/>
              <w:szCs w:val="32"/>
            </w:rPr>
            <w:fldChar w:fldCharType="end"/>
          </w:r>
          <w:r>
            <w:rPr>
              <w:rFonts w:hint="eastAsia" w:ascii="仿宋_GB2312" w:hAnsi="仿宋_GB2312" w:eastAsia="仿宋_GB2312" w:cs="仿宋_GB2312"/>
              <w:sz w:val="32"/>
              <w:szCs w:val="32"/>
            </w:rPr>
            <w:fldChar w:fldCharType="end"/>
          </w:r>
        </w:p>
        <w:p w14:paraId="18A1BA92">
          <w:pPr>
            <w:pStyle w:val="29"/>
            <w:tabs>
              <w:tab w:val="right" w:leader="dot" w:pos="9071"/>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_Toc15851 </w:instrText>
          </w:r>
          <w:r>
            <w:rPr>
              <w:rFonts w:hint="eastAsia" w:ascii="仿宋_GB2312" w:hAnsi="仿宋_GB2312" w:eastAsia="仿宋_GB2312" w:cs="仿宋_GB2312"/>
              <w:sz w:val="32"/>
              <w:szCs w:val="32"/>
            </w:rPr>
            <w:fldChar w:fldCharType="separate"/>
          </w:r>
          <w:r>
            <w:rPr>
              <w:rFonts w:hint="eastAsia" w:ascii="Calibri" w:hAnsi="Calibri" w:eastAsia="宋体" w:cs="Times New Roman"/>
              <w:bCs/>
              <w:kern w:val="44"/>
              <w:sz w:val="32"/>
              <w:szCs w:val="32"/>
            </w:rPr>
            <w:t>第六部分</w:t>
          </w:r>
          <w:r>
            <w:rPr>
              <w:rFonts w:ascii="Calibri" w:hAnsi="Calibri" w:eastAsia="宋体" w:cs="Times New Roman"/>
              <w:bCs/>
              <w:kern w:val="44"/>
              <w:sz w:val="32"/>
              <w:szCs w:val="32"/>
            </w:rPr>
            <w:t xml:space="preserve"> </w:t>
          </w:r>
          <w:r>
            <w:rPr>
              <w:rFonts w:hint="eastAsia" w:ascii="Calibri" w:hAnsi="Calibri" w:eastAsia="宋体" w:cs="Times New Roman"/>
              <w:bCs/>
              <w:kern w:val="44"/>
              <w:sz w:val="32"/>
              <w:szCs w:val="32"/>
            </w:rPr>
            <w:t>投标文件附件</w:t>
          </w:r>
          <w:r>
            <w:rPr>
              <w:sz w:val="32"/>
              <w:szCs w:val="32"/>
            </w:rPr>
            <w:tab/>
          </w:r>
          <w:r>
            <w:rPr>
              <w:sz w:val="32"/>
              <w:szCs w:val="32"/>
            </w:rPr>
            <w:fldChar w:fldCharType="begin"/>
          </w:r>
          <w:r>
            <w:rPr>
              <w:sz w:val="32"/>
              <w:szCs w:val="32"/>
            </w:rPr>
            <w:instrText xml:space="preserve"> PAGEREF _Toc15851 \h </w:instrText>
          </w:r>
          <w:r>
            <w:rPr>
              <w:sz w:val="32"/>
              <w:szCs w:val="32"/>
            </w:rPr>
            <w:fldChar w:fldCharType="separate"/>
          </w:r>
          <w:r>
            <w:rPr>
              <w:sz w:val="32"/>
              <w:szCs w:val="32"/>
            </w:rPr>
            <w:t>59</w:t>
          </w:r>
          <w:r>
            <w:rPr>
              <w:sz w:val="32"/>
              <w:szCs w:val="32"/>
            </w:rPr>
            <w:fldChar w:fldCharType="end"/>
          </w:r>
          <w:r>
            <w:rPr>
              <w:rFonts w:hint="eastAsia" w:ascii="仿宋_GB2312" w:hAnsi="仿宋_GB2312" w:eastAsia="仿宋_GB2312" w:cs="仿宋_GB2312"/>
              <w:sz w:val="32"/>
              <w:szCs w:val="32"/>
            </w:rPr>
            <w:fldChar w:fldCharType="end"/>
          </w:r>
        </w:p>
        <w:p w14:paraId="0389C509">
          <w:pPr>
            <w:pStyle w:val="22"/>
            <w:rPr>
              <w:rFonts w:hint="eastAsia" w:ascii="仿宋_GB2312" w:hAnsi="仿宋_GB2312" w:eastAsia="仿宋_GB2312" w:cs="仿宋_GB2312"/>
              <w:b/>
              <w:bCs/>
              <w:kern w:val="44"/>
              <w:sz w:val="36"/>
              <w:szCs w:val="44"/>
            </w:rPr>
          </w:pPr>
          <w:r>
            <w:rPr>
              <w:rFonts w:hint="eastAsia" w:ascii="仿宋_GB2312" w:hAnsi="仿宋_GB2312" w:eastAsia="仿宋_GB2312" w:cs="仿宋_GB2312"/>
              <w:szCs w:val="32"/>
            </w:rPr>
            <w:fldChar w:fldCharType="end"/>
          </w:r>
        </w:p>
      </w:sdtContent>
    </w:sdt>
    <w:p w14:paraId="05C45516">
      <w:pPr>
        <w:pStyle w:val="22"/>
        <w:rPr>
          <w:rFonts w:hint="eastAsia" w:ascii="仿宋_GB2312" w:hAnsi="仿宋_GB2312" w:eastAsia="仿宋_GB2312" w:cs="仿宋_GB2312"/>
          <w:b/>
          <w:bCs/>
          <w:kern w:val="44"/>
          <w:sz w:val="36"/>
          <w:szCs w:val="44"/>
        </w:rPr>
      </w:pPr>
    </w:p>
    <w:p w14:paraId="1C672D7B">
      <w:pPr>
        <w:pStyle w:val="22"/>
        <w:rPr>
          <w:rFonts w:hint="eastAsia" w:ascii="仿宋_GB2312" w:hAnsi="仿宋_GB2312" w:eastAsia="仿宋_GB2312" w:cs="仿宋_GB2312"/>
          <w:b/>
          <w:bCs/>
          <w:kern w:val="44"/>
          <w:sz w:val="36"/>
          <w:szCs w:val="44"/>
        </w:rPr>
      </w:pPr>
    </w:p>
    <w:p w14:paraId="52783071">
      <w:pPr>
        <w:pStyle w:val="22"/>
        <w:rPr>
          <w:rFonts w:hint="eastAsia" w:ascii="仿宋_GB2312" w:hAnsi="仿宋_GB2312" w:eastAsia="仿宋_GB2312" w:cs="仿宋_GB2312"/>
          <w:b/>
          <w:bCs/>
          <w:kern w:val="44"/>
          <w:sz w:val="36"/>
          <w:szCs w:val="44"/>
        </w:rPr>
      </w:pPr>
    </w:p>
    <w:p w14:paraId="2D0654F5">
      <w:pPr>
        <w:pStyle w:val="22"/>
        <w:rPr>
          <w:rFonts w:hint="eastAsia" w:ascii="仿宋_GB2312" w:hAnsi="仿宋_GB2312" w:eastAsia="仿宋_GB2312" w:cs="仿宋_GB2312"/>
          <w:b/>
          <w:bCs/>
          <w:kern w:val="44"/>
          <w:sz w:val="36"/>
          <w:szCs w:val="44"/>
        </w:rPr>
      </w:pPr>
    </w:p>
    <w:p w14:paraId="5731382D">
      <w:pPr>
        <w:pStyle w:val="22"/>
        <w:rPr>
          <w:rFonts w:hint="eastAsia" w:ascii="仿宋_GB2312" w:hAnsi="仿宋_GB2312" w:eastAsia="仿宋_GB2312" w:cs="仿宋_GB2312"/>
          <w:b/>
          <w:bCs/>
          <w:kern w:val="44"/>
          <w:sz w:val="36"/>
          <w:szCs w:val="44"/>
        </w:rPr>
      </w:pPr>
    </w:p>
    <w:p w14:paraId="57FC0A96">
      <w:pPr>
        <w:pStyle w:val="22"/>
        <w:rPr>
          <w:rFonts w:hint="eastAsia" w:ascii="仿宋_GB2312" w:hAnsi="仿宋_GB2312" w:eastAsia="仿宋_GB2312" w:cs="仿宋_GB2312"/>
          <w:b/>
          <w:bCs/>
          <w:kern w:val="44"/>
          <w:sz w:val="36"/>
          <w:szCs w:val="44"/>
        </w:rPr>
      </w:pPr>
    </w:p>
    <w:p w14:paraId="3A5C2784">
      <w:pPr>
        <w:pStyle w:val="22"/>
        <w:rPr>
          <w:rFonts w:hint="eastAsia" w:ascii="仿宋_GB2312" w:hAnsi="仿宋_GB2312" w:eastAsia="仿宋_GB2312" w:cs="仿宋_GB2312"/>
          <w:b/>
          <w:bCs/>
          <w:kern w:val="44"/>
          <w:sz w:val="36"/>
          <w:szCs w:val="44"/>
        </w:rPr>
      </w:pPr>
    </w:p>
    <w:p w14:paraId="6AF19560">
      <w:pPr>
        <w:pStyle w:val="22"/>
        <w:rPr>
          <w:rFonts w:hint="eastAsia" w:ascii="仿宋_GB2312" w:hAnsi="仿宋_GB2312" w:eastAsia="仿宋_GB2312" w:cs="仿宋_GB2312"/>
          <w:b/>
          <w:bCs/>
          <w:kern w:val="44"/>
          <w:sz w:val="36"/>
          <w:szCs w:val="44"/>
        </w:rPr>
      </w:pPr>
    </w:p>
    <w:p w14:paraId="177A4DD5">
      <w:pPr>
        <w:pStyle w:val="2"/>
        <w:rPr>
          <w:rFonts w:hint="eastAsia" w:ascii="仿宋_GB2312" w:hAnsi="仿宋_GB2312" w:eastAsia="仿宋_GB2312" w:cs="仿宋_GB2312"/>
        </w:rPr>
      </w:pPr>
      <w:bookmarkStart w:id="0" w:name="_Toc15480"/>
      <w:bookmarkStart w:id="1" w:name="_Toc29994"/>
      <w:bookmarkStart w:id="2" w:name="_Toc22242"/>
      <w:bookmarkStart w:id="3" w:name="_Toc23693"/>
      <w:bookmarkStart w:id="4" w:name="_Toc31726"/>
      <w:bookmarkStart w:id="5" w:name="_Toc5202"/>
      <w:r>
        <w:rPr>
          <w:rFonts w:hint="eastAsia" w:ascii="仿宋_GB2312" w:hAnsi="仿宋_GB2312" w:eastAsia="仿宋_GB2312" w:cs="仿宋_GB2312"/>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Style w:val="134"/>
                <w:rFonts w:hint="eastAsia" w:ascii="仿宋_GB2312" w:hAnsi="仿宋_GB2312" w:eastAsia="仿宋_GB2312" w:cs="仿宋_GB2312"/>
                <w:b/>
                <w:sz w:val="24"/>
                <w:szCs w:val="24"/>
              </w:rPr>
            </w:pPr>
            <w:bookmarkStart w:id="6" w:name="_Toc346372875"/>
            <w:r>
              <w:rPr>
                <w:rStyle w:val="134"/>
                <w:rFonts w:hint="eastAsia" w:ascii="仿宋_GB2312" w:hAnsi="仿宋_GB2312" w:eastAsia="仿宋_GB2312" w:cs="仿宋_GB2312"/>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Style w:val="134"/>
                <w:rFonts w:hint="eastAsia" w:ascii="仿宋_GB2312" w:hAnsi="仿宋_GB2312" w:eastAsia="仿宋_GB2312" w:cs="仿宋_GB2312"/>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7B3D979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rPr>
              <w:t>项目名称：</w:t>
            </w:r>
            <w:r>
              <w:rPr>
                <w:rFonts w:hint="eastAsia" w:ascii="仿宋_GB2312" w:hAnsi="仿宋_GB2312" w:eastAsia="仿宋_GB2312" w:cs="仿宋_GB2312"/>
                <w:b/>
                <w:bCs/>
                <w:sz w:val="24"/>
                <w:szCs w:val="24"/>
                <w:lang w:val="en-US" w:eastAsia="zh-CN"/>
              </w:rPr>
              <w:t>电机装配及测试装置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rPr>
              <w:t>项目编号：</w:t>
            </w:r>
            <w:r>
              <w:rPr>
                <w:rFonts w:hint="eastAsia" w:ascii="仿宋_GB2312" w:hAnsi="仿宋_GB2312" w:eastAsia="仿宋_GB2312" w:cs="仿宋_GB2312"/>
                <w:b/>
                <w:bCs/>
                <w:sz w:val="24"/>
                <w:szCs w:val="24"/>
                <w:highlight w:val="green"/>
              </w:rPr>
              <w:t>ZBGL2026100194</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招标内容：</w:t>
            </w:r>
            <w:r>
              <w:rPr>
                <w:rFonts w:hint="eastAsia" w:ascii="仿宋_GB2312" w:hAnsi="仿宋_GB2312" w:eastAsia="仿宋_GB2312" w:cs="仿宋_GB2312"/>
                <w:b/>
                <w:bCs/>
                <w:sz w:val="24"/>
                <w:szCs w:val="24"/>
                <w:lang w:val="en-US" w:eastAsia="zh-CN"/>
              </w:rPr>
              <w:t>采购电机样件试制所需要的装配及测试等装置</w:t>
            </w:r>
            <w:r>
              <w:rPr>
                <w:rFonts w:hint="eastAsia" w:ascii="仿宋_GB2312" w:hAnsi="仿宋_GB2312" w:eastAsia="仿宋_GB2312" w:cs="仿宋_GB2312"/>
                <w:b/>
                <w:bCs/>
                <w:sz w:val="24"/>
                <w:szCs w:val="24"/>
              </w:rPr>
              <w:t>。</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rPr>
              <w:t>招标形式：</w:t>
            </w:r>
            <w:r>
              <w:rPr>
                <w:rFonts w:hint="eastAsia" w:ascii="仿宋_GB2312" w:hAnsi="仿宋_GB2312" w:eastAsia="仿宋_GB2312" w:cs="仿宋_GB2312"/>
                <w:sz w:val="24"/>
                <w:szCs w:val="24"/>
                <w:highlight w:val="yellow"/>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70540E2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napToGrid w:val="0"/>
                <w:kern w:val="0"/>
                <w:sz w:val="24"/>
                <w:szCs w:val="24"/>
              </w:rPr>
            </w:pPr>
            <w:r>
              <w:rPr>
                <w:rFonts w:hint="eastAsia" w:ascii="仿宋_GB2312" w:hAnsi="仿宋_GB2312" w:eastAsia="仿宋_GB2312" w:cs="仿宋_GB2312"/>
                <w:b/>
                <w:snapToGrid w:val="0"/>
                <w:kern w:val="0"/>
                <w:sz w:val="24"/>
                <w:szCs w:val="24"/>
              </w:rPr>
              <w:t>招标人名称：中国重汽集团济南动力有限公司发动机厂</w:t>
            </w:r>
          </w:p>
          <w:p w14:paraId="2A910ED1">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napToGrid w:val="0"/>
                <w:kern w:val="0"/>
                <w:sz w:val="24"/>
                <w:szCs w:val="24"/>
              </w:rPr>
              <w:t>招标人地址：济南市章丘区世纪大道7777号</w:t>
            </w:r>
            <w:r>
              <w:rPr>
                <w:rFonts w:hint="eastAsia" w:ascii="仿宋_GB2312" w:hAnsi="仿宋_GB2312" w:eastAsia="仿宋_GB2312" w:cs="仿宋_GB2312"/>
                <w:sz w:val="24"/>
                <w:szCs w:val="24"/>
              </w:rPr>
              <w:t xml:space="preserve"> </w:t>
            </w:r>
          </w:p>
          <w:p w14:paraId="79983A4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none"/>
                <w:lang w:val="en-US" w:eastAsia="zh-CN"/>
              </w:rPr>
            </w:pPr>
            <w:r>
              <w:rPr>
                <w:rFonts w:hint="eastAsia" w:ascii="仿宋_GB2312" w:hAnsi="仿宋_GB2312" w:eastAsia="仿宋_GB2312" w:cs="仿宋_GB2312"/>
                <w:b/>
                <w:snapToGrid w:val="0"/>
                <w:kern w:val="0"/>
                <w:sz w:val="24"/>
                <w:szCs w:val="24"/>
                <w:highlight w:val="none"/>
              </w:rPr>
              <w:t>商务联系人：</w:t>
            </w:r>
            <w:r>
              <w:rPr>
                <w:rFonts w:hint="eastAsia" w:ascii="仿宋_GB2312" w:hAnsi="仿宋_GB2312" w:eastAsia="仿宋_GB2312" w:cs="仿宋_GB2312"/>
                <w:b/>
                <w:snapToGrid w:val="0"/>
                <w:kern w:val="0"/>
                <w:sz w:val="24"/>
                <w:szCs w:val="24"/>
                <w:highlight w:val="none"/>
                <w:lang w:val="en-US" w:eastAsia="zh-CN"/>
              </w:rPr>
              <w:t>张晓庆</w:t>
            </w:r>
          </w:p>
          <w:p w14:paraId="2373617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Cs/>
                <w:snapToGrid w:val="0"/>
                <w:kern w:val="0"/>
                <w:sz w:val="24"/>
                <w:szCs w:val="24"/>
                <w:highlight w:val="none"/>
                <w:lang w:val="en-US" w:eastAsia="zh-CN"/>
              </w:rPr>
            </w:pPr>
            <w:r>
              <w:rPr>
                <w:rFonts w:hint="eastAsia" w:ascii="仿宋_GB2312" w:hAnsi="仿宋_GB2312" w:eastAsia="仿宋_GB2312" w:cs="仿宋_GB2312"/>
                <w:b/>
                <w:snapToGrid w:val="0"/>
                <w:kern w:val="0"/>
                <w:sz w:val="24"/>
                <w:szCs w:val="24"/>
                <w:highlight w:val="none"/>
              </w:rPr>
              <w:t>电话：</w:t>
            </w:r>
            <w:r>
              <w:rPr>
                <w:rFonts w:hint="eastAsia" w:ascii="仿宋_GB2312" w:hAnsi="仿宋_GB2312" w:eastAsia="仿宋_GB2312" w:cs="仿宋_GB2312"/>
                <w:b/>
                <w:snapToGrid w:val="0"/>
                <w:kern w:val="0"/>
                <w:sz w:val="24"/>
                <w:szCs w:val="24"/>
                <w:highlight w:val="none"/>
                <w:lang w:val="en-US" w:eastAsia="zh-CN"/>
              </w:rPr>
              <w:t>17860607738</w:t>
            </w:r>
          </w:p>
          <w:p w14:paraId="5DAA12D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none"/>
              </w:rPr>
            </w:pPr>
            <w:r>
              <w:rPr>
                <w:rFonts w:hint="eastAsia" w:ascii="仿宋_GB2312" w:hAnsi="仿宋_GB2312" w:eastAsia="仿宋_GB2312" w:cs="仿宋_GB2312"/>
                <w:b/>
                <w:snapToGrid w:val="0"/>
                <w:kern w:val="0"/>
                <w:sz w:val="24"/>
                <w:szCs w:val="24"/>
                <w:highlight w:val="none"/>
              </w:rPr>
              <w:t>邮箱：zhangxiaoqing3@sinotruk.com</w:t>
            </w:r>
          </w:p>
          <w:p w14:paraId="5CE2934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caps/>
                <w:color w:val="auto"/>
                <w:kern w:val="2"/>
                <w:sz w:val="24"/>
                <w:szCs w:val="24"/>
                <w:highlight w:val="yellow"/>
                <w:u w:val="single"/>
                <w:lang w:val="en-US" w:eastAsia="zh-CN" w:bidi="ar-SA"/>
              </w:rPr>
            </w:pPr>
            <w:r>
              <w:rPr>
                <w:rFonts w:hint="eastAsia" w:ascii="仿宋_GB2312" w:hAnsi="仿宋_GB2312" w:eastAsia="仿宋_GB2312" w:cs="仿宋_GB2312"/>
                <w:b/>
                <w:caps/>
                <w:color w:val="auto"/>
                <w:kern w:val="2"/>
                <w:sz w:val="24"/>
                <w:szCs w:val="24"/>
                <w:highlight w:val="yellow"/>
                <w:u w:val="none"/>
                <w:lang w:val="en-US" w:eastAsia="zh-CN" w:bidi="ar-SA"/>
              </w:rPr>
              <w:t>技术联系人：</w:t>
            </w:r>
            <w:r>
              <w:rPr>
                <w:rFonts w:hint="eastAsia" w:ascii="仿宋_GB2312" w:hAnsi="仿宋_GB2312" w:eastAsia="仿宋_GB2312" w:cs="仿宋_GB2312"/>
                <w:b/>
                <w:caps/>
                <w:color w:val="auto"/>
                <w:kern w:val="2"/>
                <w:sz w:val="24"/>
                <w:szCs w:val="24"/>
                <w:highlight w:val="yellow"/>
                <w:u w:val="single"/>
                <w:lang w:val="en-US" w:eastAsia="zh-CN" w:bidi="ar-SA"/>
              </w:rPr>
              <w:t xml:space="preserve"> </w:t>
            </w:r>
            <w:r>
              <w:rPr>
                <w:rFonts w:hint="eastAsia" w:ascii="仿宋_GB2312" w:hAnsi="仿宋_GB2312" w:eastAsia="仿宋_GB2312" w:cs="仿宋_GB2312"/>
                <w:b w:val="0"/>
                <w:bCs/>
                <w:caps/>
                <w:color w:val="auto"/>
                <w:kern w:val="2"/>
                <w:sz w:val="24"/>
                <w:szCs w:val="24"/>
                <w:highlight w:val="yellow"/>
                <w:u w:val="single"/>
                <w:lang w:val="en-US" w:eastAsia="zh-CN" w:bidi="ar-SA"/>
              </w:rPr>
              <w:t xml:space="preserve">贾寿珂 </w:t>
            </w:r>
          </w:p>
          <w:p w14:paraId="7962F0D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auto"/>
                <w:kern w:val="2"/>
                <w:sz w:val="21"/>
                <w:szCs w:val="22"/>
                <w:highlight w:val="yellow"/>
                <w:lang w:val="en-US" w:eastAsia="zh-CN" w:bidi="ar-SA"/>
              </w:rPr>
            </w:pPr>
            <w:r>
              <w:rPr>
                <w:rFonts w:hint="eastAsia" w:ascii="仿宋_GB2312" w:hAnsi="仿宋_GB2312" w:eastAsia="仿宋_GB2312" w:cs="仿宋_GB2312"/>
                <w:b/>
                <w:snapToGrid w:val="0"/>
                <w:color w:val="auto"/>
                <w:kern w:val="0"/>
                <w:sz w:val="24"/>
                <w:szCs w:val="24"/>
                <w:highlight w:val="yellow"/>
                <w:lang w:val="en-US" w:eastAsia="zh-CN" w:bidi="ar-SA"/>
              </w:rPr>
              <w:t>电话：</w:t>
            </w:r>
            <w:r>
              <w:rPr>
                <w:rFonts w:hint="eastAsia" w:ascii="仿宋_GB2312" w:hAnsi="仿宋_GB2312" w:eastAsia="仿宋_GB2312" w:cs="仿宋_GB2312"/>
                <w:color w:val="auto"/>
                <w:kern w:val="2"/>
                <w:sz w:val="24"/>
                <w:szCs w:val="24"/>
                <w:highlight w:val="yellow"/>
                <w:u w:val="single"/>
                <w:lang w:val="en-US" w:eastAsia="zh-CN" w:bidi="ar-SA"/>
              </w:rPr>
              <w:t xml:space="preserve"> 15553186931 </w:t>
            </w:r>
          </w:p>
          <w:p w14:paraId="170CF5C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red"/>
              </w:rPr>
            </w:pPr>
            <w:r>
              <w:rPr>
                <w:rFonts w:hint="eastAsia" w:ascii="仿宋_GB2312" w:hAnsi="仿宋_GB2312" w:eastAsia="仿宋_GB2312" w:cs="仿宋_GB2312"/>
                <w:b/>
                <w:snapToGrid w:val="0"/>
                <w:color w:val="auto"/>
                <w:kern w:val="0"/>
                <w:sz w:val="24"/>
                <w:szCs w:val="24"/>
                <w:highlight w:val="yellow"/>
                <w:lang w:val="en-US" w:eastAsia="zh-CN"/>
              </w:rPr>
              <w:t>邮箱</w:t>
            </w:r>
            <w:r>
              <w:rPr>
                <w:rFonts w:hint="eastAsia" w:ascii="仿宋_GB2312" w:hAnsi="仿宋_GB2312" w:eastAsia="仿宋_GB2312" w:cs="仿宋_GB2312"/>
                <w:b/>
                <w:snapToGrid w:val="0"/>
                <w:color w:val="auto"/>
                <w:kern w:val="0"/>
                <w:sz w:val="24"/>
                <w:szCs w:val="24"/>
                <w:highlight w:val="yellow"/>
              </w:rPr>
              <w:t>：</w:t>
            </w:r>
            <w:r>
              <w:rPr>
                <w:rFonts w:hint="eastAsia" w:ascii="仿宋_GB2312" w:hAnsi="仿宋_GB2312" w:eastAsia="仿宋_GB2312" w:cs="仿宋_GB2312"/>
                <w:color w:val="auto"/>
                <w:sz w:val="24"/>
                <w:szCs w:val="24"/>
                <w:highlight w:val="yellow"/>
                <w:u w:val="single"/>
                <w:lang w:val="en-US" w:eastAsia="zh-CN"/>
              </w:rPr>
              <w:t>jiashouke@sinotruk.com</w:t>
            </w:r>
            <w:r>
              <w:rPr>
                <w:rFonts w:hint="eastAsia" w:ascii="宋体" w:hAnsi="宋体" w:eastAsia="宋体" w:cs="宋体"/>
                <w:color w:val="auto"/>
                <w:sz w:val="24"/>
                <w:szCs w:val="24"/>
                <w:highlight w:val="yellow"/>
                <w:u w:val="single"/>
                <w:lang w:val="en-US" w:eastAsia="zh-CN"/>
              </w:rPr>
              <w:t xml:space="preserve"> </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资金来源：</w:t>
            </w:r>
            <w:r>
              <w:rPr>
                <w:rFonts w:hint="eastAsia" w:ascii="仿宋_GB2312" w:hAnsi="仿宋_GB2312" w:eastAsia="仿宋_GB2312" w:cs="仿宋_GB2312"/>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b/>
                <w:bCs/>
                <w:sz w:val="24"/>
                <w:szCs w:val="24"/>
              </w:rPr>
              <w:t>报价：</w:t>
            </w:r>
            <w:r>
              <w:rPr>
                <w:rFonts w:hint="eastAsia" w:ascii="仿宋_GB2312" w:hAnsi="仿宋_GB2312" w:eastAsia="仿宋_GB2312" w:cs="仿宋_GB2312"/>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rPr>
              <w:t>报价货币：</w:t>
            </w:r>
            <w:r>
              <w:rPr>
                <w:rFonts w:hint="eastAsia" w:ascii="仿宋_GB2312" w:hAnsi="仿宋_GB2312" w:eastAsia="仿宋_GB2312" w:cs="仿宋_GB2312"/>
                <w:color w:val="000000"/>
                <w:sz w:val="24"/>
                <w:szCs w:val="24"/>
              </w:rPr>
              <w:t>人民币（</w:t>
            </w:r>
            <w:r>
              <w:rPr>
                <w:rFonts w:hint="eastAsia" w:ascii="仿宋_GB2312" w:hAnsi="仿宋_GB2312" w:eastAsia="仿宋_GB2312" w:cs="仿宋_GB2312"/>
                <w:b/>
                <w:bCs/>
                <w:color w:val="000000"/>
                <w:sz w:val="24"/>
                <w:szCs w:val="24"/>
              </w:rPr>
              <w:t>应同时报含税价和不含税价，写明税率</w:t>
            </w:r>
            <w:r>
              <w:rPr>
                <w:rFonts w:hint="eastAsia" w:ascii="仿宋_GB2312" w:hAnsi="仿宋_GB2312" w:eastAsia="仿宋_GB2312" w:cs="仿宋_GB2312"/>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000000"/>
                <w:sz w:val="24"/>
                <w:szCs w:val="24"/>
              </w:rPr>
              <w:t>投标人条件：</w:t>
            </w:r>
          </w:p>
          <w:p w14:paraId="4EBBE93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w:t>
            </w:r>
            <w:r>
              <w:rPr>
                <w:rFonts w:ascii="宋体" w:hAnsi="宋体" w:eastAsia="宋体" w:cs="宋体"/>
                <w:sz w:val="24"/>
                <w:szCs w:val="24"/>
              </w:rPr>
              <w:t>注册资金要求不少于500万</w:t>
            </w:r>
            <w:r>
              <w:rPr>
                <w:rFonts w:hint="eastAsia" w:ascii="宋体" w:hAnsi="宋体" w:eastAsia="宋体" w:cs="宋体"/>
                <w:color w:val="000000"/>
                <w:sz w:val="24"/>
                <w:szCs w:val="24"/>
              </w:rPr>
              <w:t>人民币（或等值其他货币）</w:t>
            </w:r>
            <w:r>
              <w:rPr>
                <w:rFonts w:ascii="宋体" w:hAnsi="宋体" w:eastAsia="宋体" w:cs="宋体"/>
                <w:sz w:val="24"/>
                <w:szCs w:val="24"/>
              </w:rPr>
              <w:t>或标的额</w:t>
            </w:r>
            <w:r>
              <w:rPr>
                <w:rFonts w:hint="eastAsia" w:ascii="宋体" w:hAnsi="宋体" w:eastAsia="宋体" w:cs="宋体"/>
                <w:color w:val="000000"/>
                <w:sz w:val="24"/>
                <w:szCs w:val="24"/>
              </w:rPr>
              <w:t>；公司成立三年以上（以营业执照成立日期到开标当日满三年为准），且经营范围满足招标人需求；并在人员、设备、资金等方面具有承担本项目的能力；</w:t>
            </w:r>
          </w:p>
          <w:p w14:paraId="52B1FBF2">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2.拟投标人应提供营业执照副本原件和扫描件（需盖章）；</w:t>
            </w:r>
          </w:p>
          <w:p w14:paraId="54DF81F2">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w:t>
            </w:r>
            <w:r>
              <w:rPr>
                <w:rFonts w:hint="eastAsia" w:hAnsi="宋体" w:eastAsia="宋体" w:cs="宋体"/>
                <w:color w:val="000000"/>
                <w:sz w:val="24"/>
                <w:szCs w:val="24"/>
                <w:lang w:val="en-US" w:eastAsia="zh-CN"/>
              </w:rPr>
              <w:t>文件</w:t>
            </w:r>
            <w:r>
              <w:rPr>
                <w:rFonts w:hint="eastAsia" w:ascii="宋体" w:hAnsi="宋体" w:eastAsia="宋体" w:cs="宋体"/>
                <w:color w:val="000000"/>
                <w:sz w:val="24"/>
                <w:szCs w:val="24"/>
              </w:rPr>
              <w:t>；</w:t>
            </w:r>
          </w:p>
          <w:p w14:paraId="57DAA1F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4.拟投标人在国家市场监督管理总局的《国家企业信用信息公示系统》中查询不存在不良记录；</w:t>
            </w:r>
          </w:p>
          <w:p w14:paraId="2B250CC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473A291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6.拟投标人</w:t>
            </w:r>
            <w:r>
              <w:rPr>
                <w:rFonts w:hint="eastAsia" w:hAnsi="宋体" w:eastAsia="宋体" w:cs="宋体"/>
                <w:color w:val="000000"/>
                <w:sz w:val="24"/>
                <w:szCs w:val="24"/>
                <w:highlight w:val="none"/>
                <w:lang w:val="en-US" w:eastAsia="zh-CN"/>
              </w:rPr>
              <w:t>近三年</w:t>
            </w:r>
            <w:r>
              <w:rPr>
                <w:rFonts w:hint="eastAsia" w:ascii="宋体" w:hAnsi="宋体" w:eastAsia="宋体" w:cs="宋体"/>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7.拟投标人</w:t>
            </w:r>
            <w:r>
              <w:rPr>
                <w:rFonts w:hint="eastAsia" w:hAnsi="宋体" w:eastAsia="宋体" w:cs="宋体"/>
                <w:color w:val="000000"/>
                <w:sz w:val="24"/>
                <w:szCs w:val="24"/>
                <w:lang w:val="en-US" w:eastAsia="zh-CN"/>
              </w:rPr>
              <w:t>近三年</w:t>
            </w:r>
            <w:r>
              <w:rPr>
                <w:rFonts w:hint="eastAsia" w:ascii="宋体" w:hAnsi="宋体" w:eastAsia="宋体" w:cs="宋体"/>
                <w:color w:val="000000"/>
                <w:sz w:val="24"/>
                <w:szCs w:val="24"/>
              </w:rPr>
              <w:t>有与本次招标内容相同或类似项目业绩</w:t>
            </w:r>
            <w:r>
              <w:rPr>
                <w:rFonts w:hint="eastAsia" w:hAnsi="宋体" w:eastAsia="宋体" w:cs="宋体"/>
                <w:color w:val="000000"/>
                <w:sz w:val="24"/>
                <w:szCs w:val="24"/>
                <w:highlight w:val="none"/>
                <w:lang w:val="en-US" w:eastAsia="zh-CN"/>
              </w:rPr>
              <w:t>（需出示合同）</w:t>
            </w:r>
            <w:r>
              <w:rPr>
                <w:rFonts w:hint="eastAsia" w:ascii="宋体" w:hAnsi="宋体" w:eastAsia="宋体" w:cs="宋体"/>
                <w:color w:val="000000"/>
                <w:sz w:val="24"/>
                <w:szCs w:val="24"/>
              </w:rPr>
              <w:t>，近三年内无因服务不当而造成重大事故；</w:t>
            </w:r>
          </w:p>
          <w:p w14:paraId="490ECD4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8.拟投标人近三年内在经营活动中无与本项目有关的违法及重大违规情况；</w:t>
            </w:r>
          </w:p>
          <w:p w14:paraId="5AD4E096">
            <w:pPr>
              <w:pStyle w:val="2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9.拟投标人须认可招标人的工作指令，包括节、假日能正常开展工作的要求；</w:t>
            </w:r>
          </w:p>
          <w:p w14:paraId="071CBF30">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10.拟投标人最近半年纳税正常；</w:t>
            </w:r>
          </w:p>
          <w:p w14:paraId="1472F2F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11.拟投标人信用证明材料（征信报告）未显示异常；</w:t>
            </w:r>
          </w:p>
          <w:p w14:paraId="22266E6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12.拟投标人的直接或间接股东、法定代表人、董事、监事、高管非重汽员工及其亲属；</w:t>
            </w:r>
          </w:p>
          <w:p w14:paraId="7F8097CB">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3</w:t>
            </w:r>
            <w:r>
              <w:rPr>
                <w:rFonts w:hint="eastAsia" w:ascii="宋体" w:hAnsi="宋体" w:eastAsia="宋体" w:cs="宋体"/>
                <w:color w:val="000000"/>
                <w:sz w:val="24"/>
                <w:szCs w:val="24"/>
              </w:rPr>
              <w:t>.本项目不接受联合体投标，拟投标人必须是最终投标单位和签订合同单位，不得以任何理由将已中标项目以任何形式分包或转包给其他单位；</w:t>
            </w:r>
          </w:p>
          <w:p w14:paraId="6BDEE61D">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lang w:val="en-US" w:eastAsia="zh-CN"/>
              </w:rPr>
            </w:pPr>
            <w:r>
              <w:rPr>
                <w:rFonts w:hint="eastAsia" w:hAnsi="宋体" w:eastAsia="宋体" w:cs="宋体"/>
                <w:color w:val="000000"/>
                <w:sz w:val="24"/>
                <w:szCs w:val="24"/>
                <w:lang w:val="en-US" w:eastAsia="zh-CN"/>
              </w:rPr>
              <w:t>14.本项目不</w:t>
            </w:r>
            <w:r>
              <w:rPr>
                <w:rFonts w:ascii="宋体" w:hAnsi="宋体" w:eastAsia="宋体" w:cs="宋体"/>
                <w:sz w:val="24"/>
                <w:szCs w:val="24"/>
              </w:rPr>
              <w:t>允许代理商投标</w:t>
            </w:r>
            <w:r>
              <w:rPr>
                <w:rFonts w:hint="eastAsia" w:ascii="宋体" w:hAnsi="宋体" w:eastAsia="宋体" w:cs="宋体"/>
                <w:sz w:val="24"/>
                <w:szCs w:val="24"/>
                <w:lang w:eastAsia="zh-CN"/>
              </w:rPr>
              <w:t>；</w:t>
            </w:r>
          </w:p>
          <w:p w14:paraId="2F508B8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5</w:t>
            </w:r>
            <w:r>
              <w:rPr>
                <w:rFonts w:hint="eastAsia" w:ascii="宋体" w:hAnsi="宋体" w:eastAsia="宋体" w:cs="宋体"/>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发标时间：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11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2 </w:t>
            </w:r>
            <w:r>
              <w:rPr>
                <w:rFonts w:hint="eastAsia" w:ascii="宋体" w:hAnsi="宋体" w:eastAsia="宋体" w:cs="宋体"/>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keepNext w:val="0"/>
              <w:keepLines w:val="0"/>
              <w:pageBreakBefore w:val="0"/>
              <w:widowControl w:val="0"/>
              <w:kinsoku/>
              <w:wordWrap/>
              <w:overflowPunct/>
              <w:topLinePunct w:val="0"/>
              <w:autoSpaceDE/>
              <w:autoSpaceDN/>
              <w:bidi w:val="0"/>
              <w:snapToGrid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发标方式：</w:t>
            </w:r>
            <w:r>
              <w:rPr>
                <w:rFonts w:hint="eastAsia" w:ascii="仿宋_GB2312" w:hAnsi="仿宋_GB2312" w:eastAsia="仿宋_GB2312" w:cs="仿宋_GB2312"/>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keepNext w:val="0"/>
              <w:keepLines w:val="0"/>
              <w:pageBreakBefore w:val="0"/>
              <w:widowControl w:val="0"/>
              <w:kinsoku/>
              <w:wordWrap/>
              <w:overflowPunct/>
              <w:topLinePunct w:val="0"/>
              <w:autoSpaceDE/>
              <w:autoSpaceDN/>
              <w:bidi w:val="0"/>
              <w:snapToGrid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提交疑问时间：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11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9 </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val="en-US" w:eastAsia="zh-CN"/>
              </w:rPr>
              <w:t>17:00前；</w:t>
            </w:r>
          </w:p>
          <w:p w14:paraId="61D815C7">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提交疑问方式</w:t>
            </w:r>
            <w:r>
              <w:rPr>
                <w:rFonts w:hint="eastAsia" w:ascii="仿宋_GB2312" w:hAnsi="仿宋_GB2312" w:eastAsia="仿宋_GB2312" w:cs="仿宋_GB2312"/>
                <w:sz w:val="24"/>
                <w:szCs w:val="24"/>
              </w:rPr>
              <w:t>：将答疑问题以word文件格式发送至联系人邮件内，并电话联系工作人员查收，</w:t>
            </w:r>
            <w:r>
              <w:rPr>
                <w:rFonts w:hint="eastAsia" w:ascii="仿宋_GB2312" w:hAnsi="仿宋_GB2312" w:eastAsia="仿宋_GB2312" w:cs="仿宋_GB2312"/>
                <w:b/>
                <w:bCs/>
                <w:sz w:val="24"/>
                <w:szCs w:val="24"/>
              </w:rPr>
              <w:t>邮件名格式为：XXX公司（五个字以内公司简称）XX项目答疑文件。</w:t>
            </w:r>
          </w:p>
          <w:p w14:paraId="2D63618A">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同时必须在邮件中以文字方式提供投标人全称、投标授权人姓名、联系方式（固定电话、手机、电子邮箱），并提供附件2</w:t>
            </w:r>
            <w:r>
              <w:rPr>
                <w:rFonts w:hint="eastAsia" w:ascii="仿宋_GB2312" w:hAnsi="仿宋_GB2312" w:eastAsia="仿宋_GB2312" w:cs="仿宋_GB2312"/>
                <w:b/>
                <w:bCs/>
                <w:color w:val="000000"/>
                <w:sz w:val="24"/>
                <w:szCs w:val="24"/>
              </w:rPr>
              <w:t>法定代表人授权委托书</w:t>
            </w:r>
            <w:r>
              <w:rPr>
                <w:rFonts w:hint="eastAsia" w:ascii="仿宋_GB2312" w:hAnsi="仿宋_GB2312" w:eastAsia="仿宋_GB2312" w:cs="仿宋_GB2312"/>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rPr>
              <w:t>领取答疑、澄清和修改文件时间：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11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9</w:t>
            </w:r>
            <w:bookmarkStart w:id="152" w:name="_GoBack"/>
            <w:bookmarkEnd w:id="152"/>
            <w:r>
              <w:rPr>
                <w:rFonts w:hint="eastAsia" w:ascii="宋体" w:hAnsi="宋体" w:eastAsia="宋体" w:cs="宋体"/>
                <w:bCs/>
                <w:sz w:val="24"/>
                <w:szCs w:val="24"/>
                <w:highlight w:val="yellow"/>
                <w:u w:val="single"/>
                <w:lang w:val="en-US" w:eastAsia="zh-CN"/>
              </w:rPr>
              <w:t xml:space="preserve"> </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val="en-US" w:eastAsia="zh-CN"/>
              </w:rPr>
              <w:t>17:00前</w:t>
            </w:r>
            <w:r>
              <w:rPr>
                <w:rFonts w:hint="eastAsia" w:ascii="宋体" w:hAnsi="宋体" w:eastAsia="宋体" w:cs="宋体"/>
                <w:bCs/>
                <w:sz w:val="24"/>
                <w:szCs w:val="24"/>
                <w:highlight w:val="yellow"/>
              </w:rPr>
              <w:t>;</w:t>
            </w:r>
          </w:p>
          <w:p w14:paraId="23101034">
            <w:pPr>
              <w:keepNext w:val="0"/>
              <w:keepLines w:val="0"/>
              <w:pageBreakBefore w:val="0"/>
              <w:widowControl w:val="0"/>
              <w:shd w:val="clear" w:color="auto" w:fill="FFFFFF" w:themeFill="background1"/>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highlight w:val="green"/>
              </w:rPr>
            </w:pPr>
            <w:r>
              <w:rPr>
                <w:rFonts w:hint="eastAsia" w:ascii="仿宋_GB2312" w:hAnsi="仿宋_GB2312" w:eastAsia="仿宋_GB2312" w:cs="仿宋_GB2312"/>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rPr>
            </w:pPr>
            <w:r>
              <w:rPr>
                <w:rFonts w:hint="eastAsia" w:ascii="仿宋_GB2312" w:hAnsi="仿宋_GB2312" w:eastAsia="仿宋_GB2312" w:cs="仿宋_GB2312"/>
                <w:b/>
                <w:bCs/>
              </w:rPr>
              <w:t>报名方式：</w:t>
            </w:r>
            <w:r>
              <w:rPr>
                <w:rFonts w:hint="eastAsia" w:ascii="仿宋_GB2312" w:hAnsi="仿宋_GB2312" w:eastAsia="仿宋_GB2312" w:cs="仿宋_GB2312"/>
              </w:rPr>
              <w:t>拟投标人根据招标人在中国重汽官网等公开媒体上发布的招标信息，在“中国重汽e采通”平台报名。</w:t>
            </w:r>
            <w:r>
              <w:rPr>
                <w:rFonts w:hint="eastAsia" w:ascii="仿宋_GB2312" w:hAnsi="仿宋_GB2312" w:eastAsia="仿宋_GB2312" w:cs="仿宋_GB2312"/>
                <w:b/>
                <w:bCs/>
              </w:rPr>
              <w:t>按照中国重汽e采通“SRM非生产供应商注册手册”（附件15）进行注册</w:t>
            </w:r>
            <w:r>
              <w:rPr>
                <w:rFonts w:hint="eastAsia" w:ascii="仿宋_GB2312" w:hAnsi="仿宋_GB2312" w:eastAsia="仿宋_GB2312" w:cs="仿宋_GB2312"/>
              </w:rPr>
              <w:t>，注册完毕后按照</w:t>
            </w:r>
            <w:r>
              <w:rPr>
                <w:rFonts w:hint="eastAsia" w:ascii="仿宋_GB2312" w:hAnsi="仿宋_GB2312" w:eastAsia="仿宋_GB2312" w:cs="仿宋_GB2312"/>
                <w:b/>
              </w:rPr>
              <w:t>“SRM系统供应商用户手册（附件16）”，</w:t>
            </w:r>
            <w:r>
              <w:rPr>
                <w:rFonts w:hint="eastAsia" w:ascii="仿宋_GB2312" w:hAnsi="仿宋_GB2312" w:eastAsia="仿宋_GB2312" w:cs="仿宋_GB2312"/>
              </w:rPr>
              <w:t>登录</w:t>
            </w:r>
            <w:r>
              <w:rPr>
                <w:rFonts w:hint="eastAsia" w:ascii="仿宋_GB2312" w:hAnsi="仿宋_GB2312" w:eastAsia="仿宋_GB2312" w:cs="仿宋_GB2312"/>
                <w:b/>
              </w:rPr>
              <w:t>重汽e采通平台</w:t>
            </w:r>
            <w:r>
              <w:rPr>
                <w:rFonts w:hint="eastAsia" w:ascii="仿宋_GB2312" w:hAnsi="仿宋_GB2312" w:eastAsia="仿宋_GB2312" w:cs="仿宋_GB2312"/>
              </w:rPr>
              <w:t>后进入“供应商应标”，选择对应的项目，</w:t>
            </w:r>
            <w:r>
              <w:rPr>
                <w:rFonts w:hint="eastAsia" w:ascii="仿宋_GB2312" w:hAnsi="仿宋_GB2312" w:eastAsia="仿宋_GB2312" w:cs="仿宋_GB2312"/>
                <w:highlight w:val="green"/>
              </w:rPr>
              <w:t>点击“</w:t>
            </w:r>
            <w:r>
              <w:rPr>
                <w:rFonts w:hint="eastAsia" w:ascii="仿宋_GB2312" w:hAnsi="仿宋_GB2312" w:eastAsia="仿宋_GB2312" w:cs="仿宋_GB2312"/>
                <w:b/>
                <w:bCs/>
                <w:highlight w:val="green"/>
              </w:rPr>
              <w:t>应标</w:t>
            </w:r>
            <w:r>
              <w:rPr>
                <w:rFonts w:hint="eastAsia" w:ascii="仿宋_GB2312" w:hAnsi="仿宋_GB2312" w:eastAsia="仿宋_GB2312" w:cs="仿宋_GB2312"/>
                <w:highlight w:val="green"/>
              </w:rPr>
              <w:t>”</w:t>
            </w:r>
            <w:r>
              <w:rPr>
                <w:rFonts w:hint="eastAsia" w:ascii="仿宋_GB2312" w:hAnsi="仿宋_GB2312" w:eastAsia="仿宋_GB2312" w:cs="仿宋_GB2312"/>
                <w:b/>
                <w:bCs/>
                <w:highlight w:val="green"/>
              </w:rPr>
              <w:t>后按照招标文件第三部分投标文件组成资格证明文件中的1.1-1.1</w:t>
            </w:r>
            <w:r>
              <w:rPr>
                <w:rFonts w:hint="eastAsia" w:ascii="仿宋_GB2312" w:hAnsi="仿宋_GB2312" w:eastAsia="仿宋_GB2312" w:cs="仿宋_GB2312"/>
                <w:b/>
                <w:bCs/>
                <w:highlight w:val="green"/>
                <w:lang w:val="en-US" w:eastAsia="zh-CN"/>
              </w:rPr>
              <w:t>1</w:t>
            </w:r>
            <w:r>
              <w:rPr>
                <w:rFonts w:hint="eastAsia" w:ascii="仿宋_GB2312" w:hAnsi="仿宋_GB2312" w:eastAsia="仿宋_GB2312" w:cs="仿宋_GB2312"/>
                <w:b/>
                <w:bCs/>
                <w:highlight w:val="green"/>
              </w:rPr>
              <w:t>准备资料并</w:t>
            </w:r>
            <w:r>
              <w:rPr>
                <w:rFonts w:hint="eastAsia" w:ascii="仿宋_GB2312" w:hAnsi="仿宋_GB2312" w:eastAsia="仿宋_GB2312" w:cs="仿宋_GB2312"/>
                <w:highlight w:val="green"/>
              </w:rPr>
              <w:t>上传(资质标，要求做好目录）</w:t>
            </w:r>
            <w:r>
              <w:rPr>
                <w:rFonts w:hint="eastAsia" w:ascii="仿宋_GB2312" w:hAnsi="仿宋_GB2312" w:eastAsia="仿宋_GB2312" w:cs="仿宋_GB2312"/>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highlight w:val="green"/>
                <w:lang w:val="en-US" w:eastAsia="zh-CN"/>
              </w:rPr>
            </w:pPr>
            <w:r>
              <w:rPr>
                <w:rFonts w:hint="eastAsia" w:ascii="仿宋_GB2312" w:hAnsi="仿宋_GB2312" w:eastAsia="仿宋_GB2312" w:cs="仿宋_GB2312"/>
                <w:b/>
                <w:bCs/>
              </w:rPr>
              <w:t>应标截止时间：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7</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17时00分00秒</w:t>
            </w:r>
          </w:p>
          <w:p w14:paraId="0A725261">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highlight w:val="yellow"/>
              </w:rPr>
            </w:pPr>
            <w:r>
              <w:rPr>
                <w:rFonts w:hint="eastAsia" w:ascii="仿宋_GB2312" w:hAnsi="仿宋_GB2312" w:eastAsia="仿宋_GB2312" w:cs="仿宋_GB2312"/>
                <w:b/>
                <w:bCs/>
              </w:rPr>
              <w:t>注册审核需2-4日</w:t>
            </w: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请预留出驳回修改时间</w:t>
            </w:r>
            <w:r>
              <w:rPr>
                <w:rFonts w:hint="eastAsia" w:ascii="仿宋_GB2312" w:hAnsi="仿宋_GB2312" w:eastAsia="仿宋_GB2312" w:cs="仿宋_GB2312"/>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本项目投标文件为</w:t>
            </w:r>
            <w:r>
              <w:rPr>
                <w:rFonts w:hint="eastAsia" w:ascii="仿宋_GB2312" w:hAnsi="仿宋_GB2312" w:eastAsia="仿宋_GB2312" w:cs="仿宋_GB2312"/>
                <w:b/>
                <w:sz w:val="24"/>
                <w:szCs w:val="24"/>
              </w:rPr>
              <w:t>电子版</w:t>
            </w:r>
            <w:r>
              <w:rPr>
                <w:rFonts w:hint="eastAsia" w:ascii="仿宋_GB2312" w:hAnsi="仿宋_GB2312" w:eastAsia="仿宋_GB2312" w:cs="仿宋_GB2312"/>
                <w:bCs/>
                <w:sz w:val="24"/>
                <w:szCs w:val="24"/>
              </w:rPr>
              <w:t>投标文件</w:t>
            </w:r>
            <w:r>
              <w:rPr>
                <w:rFonts w:hint="eastAsia" w:ascii="仿宋_GB2312" w:hAnsi="仿宋_GB2312" w:eastAsia="仿宋_GB2312" w:cs="仿宋_GB2312"/>
                <w:bCs/>
                <w:sz w:val="24"/>
                <w:szCs w:val="24"/>
                <w:highlight w:val="yellow"/>
              </w:rPr>
              <w:t>（电子版为纸质盖章版的扫描件或加盖电子章，不盖章无效。）</w:t>
            </w:r>
            <w:r>
              <w:rPr>
                <w:rFonts w:hint="eastAsia" w:ascii="仿宋_GB2312" w:hAnsi="仿宋_GB2312" w:eastAsia="仿宋_GB2312" w:cs="仿宋_GB2312"/>
                <w:bCs/>
                <w:sz w:val="24"/>
                <w:szCs w:val="24"/>
              </w:rPr>
              <w:t>，均由</w:t>
            </w:r>
            <w:r>
              <w:rPr>
                <w:rFonts w:hint="eastAsia" w:ascii="仿宋_GB2312" w:hAnsi="仿宋_GB2312" w:eastAsia="仿宋_GB2312" w:cs="仿宋_GB2312"/>
                <w:b/>
                <w:sz w:val="24"/>
                <w:szCs w:val="24"/>
              </w:rPr>
              <w:t>《投标文件（资质标）》、《投标文件（技术标）》、《投标文件（商务标）》（开标一览表）</w:t>
            </w:r>
            <w:r>
              <w:rPr>
                <w:rFonts w:hint="eastAsia" w:ascii="仿宋_GB2312" w:hAnsi="仿宋_GB2312" w:eastAsia="仿宋_GB2312" w:cs="仿宋_GB2312"/>
                <w:bCs/>
                <w:sz w:val="24"/>
                <w:szCs w:val="24"/>
              </w:rPr>
              <w:t>文件组成，共计3个文件。</w:t>
            </w:r>
          </w:p>
          <w:p w14:paraId="234EE39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《投标文件（资质标）》</w:t>
            </w:r>
            <w:r>
              <w:rPr>
                <w:rFonts w:hint="eastAsia" w:ascii="仿宋_GB2312" w:hAnsi="仿宋_GB2312" w:eastAsia="仿宋_GB2312" w:cs="仿宋_GB2312"/>
                <w:bCs/>
                <w:sz w:val="24"/>
                <w:szCs w:val="24"/>
              </w:rPr>
              <w:t>一个文件（里面是全部资质投标书），</w:t>
            </w:r>
            <w:r>
              <w:rPr>
                <w:rFonts w:hint="eastAsia" w:ascii="仿宋_GB2312" w:hAnsi="仿宋_GB2312" w:eastAsia="仿宋_GB2312" w:cs="仿宋_GB2312"/>
                <w:b/>
                <w:sz w:val="24"/>
                <w:szCs w:val="24"/>
              </w:rPr>
              <w:t>投标文件（技术标）》</w:t>
            </w:r>
            <w:r>
              <w:rPr>
                <w:rFonts w:hint="eastAsia" w:ascii="仿宋_GB2312" w:hAnsi="仿宋_GB2312" w:eastAsia="仿宋_GB2312" w:cs="仿宋_GB2312"/>
                <w:bCs/>
                <w:sz w:val="24"/>
                <w:szCs w:val="24"/>
              </w:rPr>
              <w:t>一个文件（里面是全部技术投标书），</w:t>
            </w:r>
            <w:r>
              <w:rPr>
                <w:rFonts w:hint="eastAsia" w:ascii="仿宋_GB2312" w:hAnsi="仿宋_GB2312" w:eastAsia="仿宋_GB2312" w:cs="仿宋_GB2312"/>
                <w:b/>
                <w:sz w:val="24"/>
                <w:szCs w:val="24"/>
              </w:rPr>
              <w:t>《投标文件（商务标）》（开标一览表）</w:t>
            </w:r>
            <w:r>
              <w:rPr>
                <w:rFonts w:hint="eastAsia" w:ascii="仿宋_GB2312" w:hAnsi="仿宋_GB2312" w:eastAsia="仿宋_GB2312" w:cs="仿宋_GB2312"/>
                <w:bCs/>
                <w:sz w:val="24"/>
                <w:szCs w:val="24"/>
              </w:rPr>
              <w:t>一个文件（里面是全部商务投标书），</w:t>
            </w:r>
            <w:r>
              <w:rPr>
                <w:rFonts w:hint="eastAsia" w:ascii="仿宋_GB2312" w:hAnsi="仿宋_GB2312" w:eastAsia="仿宋_GB2312" w:cs="仿宋_GB2312"/>
                <w:b/>
                <w:sz w:val="24"/>
                <w:szCs w:val="24"/>
              </w:rPr>
              <w:t>具体组成等详细要求见招标文件第三部分投标文件编制第三条。</w:t>
            </w:r>
          </w:p>
          <w:p w14:paraId="2D82202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宋体" w:cs="仿宋_GB2312"/>
                <w:color w:val="000000"/>
                <w:sz w:val="24"/>
                <w:szCs w:val="24"/>
                <w:lang w:val="en-US" w:eastAsia="zh-CN"/>
              </w:rPr>
            </w:pPr>
            <w:r>
              <w:rPr>
                <w:rFonts w:hint="eastAsia" w:ascii="仿宋_GB2312" w:hAnsi="仿宋_GB2312" w:eastAsia="仿宋_GB2312" w:cs="仿宋_GB2312"/>
                <w:b/>
                <w:sz w:val="24"/>
                <w:szCs w:val="24"/>
              </w:rPr>
              <w:t>投标方式：在中国重汽e采通平台应标成功后，进入“供应商投标”环节，投递盖章扫描版电子标书（包含资质标书、技术标书、商务标书），</w:t>
            </w:r>
            <w:r>
              <w:rPr>
                <w:rFonts w:hint="eastAsia" w:ascii="仿宋_GB2312" w:hAnsi="仿宋_GB2312" w:eastAsia="仿宋_GB2312" w:cs="仿宋_GB2312"/>
                <w:sz w:val="24"/>
                <w:szCs w:val="24"/>
              </w:rPr>
              <w:t>若逾期未在中国重汽e采通平台上传电子标书，即便递交了纸版投标文件，一律视为无效投标</w:t>
            </w:r>
            <w:r>
              <w:rPr>
                <w:rFonts w:hint="eastAsia" w:ascii="仿宋_GB2312" w:hAnsi="仿宋_GB2312" w:eastAsia="仿宋_GB2312" w:cs="仿宋_GB2312"/>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44"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z w:val="24"/>
                <w:szCs w:val="24"/>
              </w:rPr>
            </w:pPr>
            <w:r>
              <w:rPr>
                <w:rFonts w:hint="eastAsia" w:ascii="宋体" w:hAnsi="宋体" w:eastAsia="宋体" w:cs="宋体"/>
                <w:b/>
                <w:bCs/>
                <w:sz w:val="24"/>
                <w:szCs w:val="24"/>
              </w:rPr>
              <w:t>投标文件的</w:t>
            </w:r>
            <w:r>
              <w:rPr>
                <w:rFonts w:hint="eastAsia" w:ascii="宋体" w:hAnsi="宋体" w:eastAsia="宋体" w:cs="宋体"/>
                <w:b/>
                <w:bCs/>
                <w:sz w:val="24"/>
                <w:szCs w:val="24"/>
                <w:lang w:val="en-US" w:eastAsia="zh-CN"/>
              </w:rPr>
              <w:t>提交</w:t>
            </w:r>
            <w:r>
              <w:rPr>
                <w:rFonts w:hint="eastAsia" w:ascii="宋体" w:hAnsi="宋体" w:eastAsia="宋体" w:cs="宋体"/>
                <w:b/>
                <w:bCs/>
                <w:sz w:val="24"/>
                <w:szCs w:val="24"/>
              </w:rPr>
              <w:t>：</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lang w:val="en-US" w:eastAsia="zh-CN"/>
              </w:rPr>
              <w:t>整理</w:t>
            </w:r>
            <w:r>
              <w:rPr>
                <w:rFonts w:hint="eastAsia" w:ascii="宋体" w:hAnsi="宋体" w:eastAsia="宋体" w:cs="宋体"/>
                <w:sz w:val="24"/>
                <w:szCs w:val="24"/>
              </w:rPr>
              <w:t>，</w:t>
            </w:r>
            <w:r>
              <w:rPr>
                <w:rFonts w:hint="eastAsia" w:hAnsi="宋体" w:eastAsia="宋体" w:cs="宋体"/>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投标文件递交截止时</w:t>
            </w:r>
            <w:r>
              <w:rPr>
                <w:rFonts w:hint="eastAsia" w:ascii="仿宋_GB2312" w:hAnsi="仿宋_GB2312" w:eastAsia="仿宋_GB2312" w:cs="仿宋_GB2312"/>
                <w:b/>
                <w:bCs/>
                <w:sz w:val="24"/>
                <w:szCs w:val="24"/>
                <w:highlight w:val="none"/>
              </w:rPr>
              <w:t>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13</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9时00分00秒</w:t>
            </w:r>
          </w:p>
          <w:p w14:paraId="26FD989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yellow"/>
              </w:rPr>
            </w:pPr>
            <w:r>
              <w:rPr>
                <w:rFonts w:hint="eastAsia" w:ascii="仿宋_GB2312" w:hAnsi="仿宋_GB2312" w:eastAsia="仿宋_GB2312" w:cs="仿宋_GB2312"/>
                <w:b/>
                <w:bCs/>
                <w:sz w:val="24"/>
                <w:szCs w:val="24"/>
                <w:highlight w:val="none"/>
              </w:rPr>
              <w:t>注：请务必在投标文件递交截止时间前完成投标操作，截</w:t>
            </w:r>
            <w:r>
              <w:rPr>
                <w:rFonts w:hint="eastAsia" w:ascii="仿宋_GB2312" w:hAnsi="仿宋_GB2312" w:eastAsia="仿宋_GB2312" w:cs="仿宋_GB2312"/>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投标文件有效期：</w:t>
            </w:r>
            <w:r>
              <w:rPr>
                <w:rFonts w:hint="eastAsia" w:ascii="仿宋_GB2312" w:hAnsi="仿宋_GB2312" w:eastAsia="仿宋_GB2312" w:cs="仿宋_GB2312"/>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投标保证金的缴纳形式：</w:t>
            </w:r>
            <w:r>
              <w:rPr>
                <w:rFonts w:hint="eastAsia" w:ascii="宋体" w:hAnsi="宋体" w:eastAsia="宋体" w:cs="宋体"/>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50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highlight w:val="cyan"/>
              </w:rPr>
            </w:pPr>
            <w:r>
              <w:rPr>
                <w:rFonts w:hint="eastAsia" w:ascii="仿宋_GB2312" w:hAnsi="仿宋_GB2312" w:eastAsia="仿宋_GB2312" w:cs="仿宋_GB2312"/>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投标保证金的金额：</w:t>
            </w:r>
            <w:r>
              <w:rPr>
                <w:rFonts w:hint="eastAsia" w:ascii="仿宋_GB2312" w:hAnsi="仿宋_GB2312" w:eastAsia="仿宋_GB2312" w:cs="仿宋_GB2312"/>
                <w:sz w:val="24"/>
                <w:szCs w:val="24"/>
              </w:rPr>
              <w:t>人民币</w:t>
            </w:r>
            <w:r>
              <w:rPr>
                <w:rFonts w:hint="eastAsia" w:ascii="仿宋_GB2312" w:hAnsi="仿宋_GB2312" w:eastAsia="仿宋_GB2312" w:cs="仿宋_GB2312"/>
                <w:color w:val="000000"/>
                <w:sz w:val="24"/>
                <w:szCs w:val="24"/>
                <w:highlight w:val="green"/>
                <w:lang w:val="en-US" w:eastAsia="zh-CN"/>
              </w:rPr>
              <w:t>20000</w:t>
            </w:r>
            <w:r>
              <w:rPr>
                <w:rFonts w:hint="eastAsia" w:ascii="仿宋_GB2312" w:hAnsi="仿宋_GB2312" w:eastAsia="仿宋_GB2312" w:cs="仿宋_GB2312"/>
                <w:sz w:val="24"/>
                <w:szCs w:val="24"/>
              </w:rPr>
              <w:t>元</w:t>
            </w:r>
          </w:p>
          <w:p w14:paraId="5212DDA8">
            <w:pPr>
              <w:keepNext w:val="0"/>
              <w:keepLines w:val="0"/>
              <w:pageBreakBefore w:val="0"/>
              <w:widowControl w:val="0"/>
              <w:kinsoku/>
              <w:wordWrap/>
              <w:overflowPunct/>
              <w:topLinePunct w:val="0"/>
              <w:autoSpaceDE/>
              <w:autoSpaceDN/>
              <w:bidi w:val="0"/>
              <w:spacing w:line="240" w:lineRule="auto"/>
              <w:ind w:left="479" w:leftChars="228"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开户名称：中国重汽集团济南动力有限公司发动机厂</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开户银行：中国银行章丘支行</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银行账号：2234 0557 4478</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支付联行号：1044 5104 0689</w:t>
            </w:r>
          </w:p>
          <w:p w14:paraId="0A4E294E">
            <w:pPr>
              <w:keepNext w:val="0"/>
              <w:keepLines w:val="0"/>
              <w:pageBreakBefore w:val="0"/>
              <w:widowControl w:val="0"/>
              <w:kinsoku/>
              <w:wordWrap/>
              <w:overflowPunct/>
              <w:topLinePunct w:val="0"/>
              <w:autoSpaceDE/>
              <w:autoSpaceDN/>
              <w:bidi w:val="0"/>
              <w:spacing w:line="240" w:lineRule="auto"/>
              <w:ind w:left="479" w:leftChars="228"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投标保证金应从投标人的基本账户转出至上述账户并到账，否则视为无效投标。</w:t>
            </w:r>
          </w:p>
          <w:p w14:paraId="0478E0A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cyan"/>
              </w:rPr>
            </w:pPr>
            <w:r>
              <w:rPr>
                <w:rFonts w:hint="eastAsia" w:ascii="仿宋_GB2312" w:hAnsi="仿宋_GB2312" w:eastAsia="仿宋_GB2312" w:cs="仿宋_GB2312"/>
                <w:sz w:val="24"/>
                <w:szCs w:val="24"/>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保证金缴纳截止时间</w:t>
            </w:r>
            <w:r>
              <w:rPr>
                <w:rFonts w:hint="eastAsia" w:ascii="仿宋_GB2312" w:hAnsi="仿宋_GB2312" w:eastAsia="仿宋_GB2312" w:cs="仿宋_GB2312"/>
                <w:b/>
                <w:snapToGrid w:val="0"/>
                <w:kern w:val="0"/>
                <w:sz w:val="24"/>
                <w:szCs w:val="24"/>
                <w:highlight w:val="none"/>
              </w:rPr>
              <w:t>：</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12</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9时00分00秒</w:t>
            </w:r>
          </w:p>
          <w:p w14:paraId="1BA662AD">
            <w:pPr>
              <w:pStyle w:val="40"/>
              <w:keepNext w:val="0"/>
              <w:keepLines w:val="0"/>
              <w:pageBreakBefore w:val="0"/>
              <w:widowControl w:val="0"/>
              <w:kinsoku/>
              <w:wordWrap/>
              <w:overflowPunct/>
              <w:topLinePunct w:val="0"/>
              <w:autoSpaceDE/>
              <w:autoSpaceDN/>
              <w:bidi w:val="0"/>
              <w:spacing w:after="0" w:line="240" w:lineRule="auto"/>
              <w:ind w:left="0" w:leftChars="0"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topLinePunct w:val="0"/>
              <w:autoSpaceDE/>
              <w:autoSpaceDN/>
              <w:bidi w:val="0"/>
              <w:spacing w:after="0"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开标时</w:t>
            </w:r>
            <w:r>
              <w:rPr>
                <w:rFonts w:hint="eastAsia" w:ascii="仿宋_GB2312" w:hAnsi="仿宋_GB2312" w:eastAsia="仿宋_GB2312" w:cs="仿宋_GB2312"/>
                <w:b/>
                <w:bCs/>
                <w:sz w:val="24"/>
                <w:szCs w:val="24"/>
                <w:highlight w:val="none"/>
              </w:rPr>
              <w:t>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13</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w:t>
            </w:r>
            <w:r>
              <w:rPr>
                <w:rFonts w:hint="eastAsia" w:hAnsi="宋体" w:eastAsia="宋体" w:cs="宋体"/>
                <w:sz w:val="24"/>
                <w:szCs w:val="24"/>
                <w:highlight w:val="yellow"/>
              </w:rPr>
              <w:t>（</w:t>
            </w:r>
            <w:r>
              <w:rPr>
                <w:rFonts w:hint="eastAsia" w:hAnsi="宋体" w:eastAsia="宋体" w:cs="宋体"/>
                <w:sz w:val="24"/>
                <w:szCs w:val="24"/>
                <w:highlight w:val="yellow"/>
                <w:lang w:val="en-US" w:eastAsia="zh-CN"/>
              </w:rPr>
              <w:t>暂定，以实际通知为准</w:t>
            </w:r>
            <w:r>
              <w:rPr>
                <w:rFonts w:hint="eastAsia" w:hAnsi="宋体" w:eastAsia="宋体" w:cs="宋体"/>
                <w:sz w:val="24"/>
                <w:szCs w:val="24"/>
                <w:highlight w:val="yellow"/>
              </w:rPr>
              <w:t>）</w:t>
            </w:r>
          </w:p>
          <w:p w14:paraId="451EBDA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highlight w:val="none"/>
              </w:rPr>
              <w:t>开标地点：</w:t>
            </w:r>
            <w:r>
              <w:rPr>
                <w:rFonts w:hint="eastAsia" w:ascii="仿宋_GB2312" w:hAnsi="仿宋_GB2312" w:eastAsia="仿宋_GB2312" w:cs="仿宋_GB2312"/>
                <w:color w:val="000000"/>
                <w:sz w:val="24"/>
                <w:szCs w:val="24"/>
                <w:highlight w:val="green"/>
                <w:lang w:val="en-US" w:eastAsia="zh-CN"/>
              </w:rPr>
              <w:t>线上会议室</w:t>
            </w:r>
            <w:r>
              <w:rPr>
                <w:rFonts w:hint="eastAsia" w:hAnsi="宋体" w:eastAsia="宋体" w:cs="宋体"/>
                <w:sz w:val="24"/>
                <w:szCs w:val="24"/>
                <w:highlight w:val="yellow"/>
              </w:rPr>
              <w:t>（</w:t>
            </w:r>
            <w:r>
              <w:rPr>
                <w:rFonts w:hint="eastAsia" w:hAnsi="宋体" w:eastAsia="宋体" w:cs="宋体"/>
                <w:sz w:val="24"/>
                <w:szCs w:val="24"/>
                <w:highlight w:val="yellow"/>
                <w:lang w:val="en-US" w:eastAsia="zh-CN"/>
              </w:rPr>
              <w:t>暂定，以实际通知为准</w:t>
            </w:r>
            <w:r>
              <w:rPr>
                <w:rFonts w:hint="eastAsia" w:hAnsi="宋体" w:eastAsia="宋体" w:cs="宋体"/>
                <w:sz w:val="24"/>
                <w:szCs w:val="24"/>
                <w:highlight w:val="yellow"/>
              </w:rPr>
              <w:t>）</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2B9CCCAC">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FF0000"/>
                <w:sz w:val="24"/>
                <w:szCs w:val="24"/>
                <w:highlight w:val="green"/>
              </w:rPr>
            </w:pPr>
            <w:r>
              <w:rPr>
                <w:rFonts w:hint="eastAsia" w:ascii="仿宋_GB2312" w:hAnsi="仿宋_GB2312" w:eastAsia="仿宋_GB2312" w:cs="仿宋_GB2312"/>
                <w:b/>
                <w:bCs/>
                <w:color w:val="FF0000"/>
                <w:sz w:val="24"/>
                <w:szCs w:val="24"/>
                <w:highlight w:val="green"/>
              </w:rPr>
              <w:t>评标方法：资质标审核→技术标评审→商务标评审。技术标入围后，原则上选</w:t>
            </w:r>
          </w:p>
          <w:p w14:paraId="30113DE9">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green"/>
              </w:rPr>
            </w:pPr>
            <w:r>
              <w:rPr>
                <w:rFonts w:hint="eastAsia" w:ascii="仿宋_GB2312" w:hAnsi="仿宋_GB2312" w:eastAsia="仿宋_GB2312" w:cs="仿宋_GB2312"/>
                <w:b/>
                <w:bCs/>
                <w:color w:val="FF0000"/>
                <w:sz w:val="24"/>
                <w:szCs w:val="24"/>
                <w:highlight w:val="green"/>
              </w:rPr>
              <w:t>取“综合评标法”确定中标结果。具体详见“第二部分投标须知第六条：评标原则”。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交货期：</w:t>
            </w:r>
          </w:p>
          <w:p w14:paraId="416A35FC">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1.自合同生效后</w:t>
            </w:r>
            <w:r>
              <w:rPr>
                <w:rFonts w:hint="eastAsia" w:ascii="仿宋_GB2312" w:hAnsi="仿宋_GB2312" w:eastAsia="仿宋_GB2312" w:cs="仿宋_GB2312"/>
                <w:b/>
                <w:bCs/>
                <w:color w:val="000000"/>
                <w:sz w:val="24"/>
                <w:szCs w:val="24"/>
                <w:highlight w:val="red"/>
                <w:lang w:val="en-US" w:eastAsia="zh-CN"/>
              </w:rPr>
              <w:t>60</w:t>
            </w:r>
            <w:r>
              <w:rPr>
                <w:rFonts w:hint="eastAsia" w:ascii="仿宋_GB2312" w:hAnsi="仿宋_GB2312" w:eastAsia="仿宋_GB2312" w:cs="仿宋_GB2312"/>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2.接续</w:t>
            </w:r>
            <w:r>
              <w:rPr>
                <w:rFonts w:hint="eastAsia" w:ascii="仿宋_GB2312" w:hAnsi="仿宋_GB2312" w:eastAsia="仿宋_GB2312" w:cs="仿宋_GB2312"/>
                <w:b/>
                <w:bCs/>
                <w:color w:val="000000"/>
                <w:sz w:val="24"/>
                <w:szCs w:val="24"/>
                <w:highlight w:val="red"/>
                <w:lang w:val="en-US" w:eastAsia="zh-CN"/>
              </w:rPr>
              <w:t>15</w:t>
            </w:r>
            <w:r>
              <w:rPr>
                <w:rFonts w:hint="eastAsia" w:ascii="仿宋_GB2312" w:hAnsi="仿宋_GB2312" w:eastAsia="仿宋_GB2312" w:cs="仿宋_GB2312"/>
                <w:b/>
                <w:bCs/>
                <w:color w:val="000000"/>
                <w:sz w:val="24"/>
                <w:szCs w:val="24"/>
              </w:rPr>
              <w:t>个日历日之内安装调试完毕。</w:t>
            </w:r>
          </w:p>
          <w:p w14:paraId="3EA37277">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安装调试工期超过</w:t>
            </w:r>
            <w:r>
              <w:rPr>
                <w:rFonts w:hint="eastAsia" w:ascii="仿宋_GB2312" w:hAnsi="仿宋_GB2312" w:eastAsia="仿宋_GB2312" w:cs="仿宋_GB2312"/>
                <w:color w:val="000000"/>
                <w:sz w:val="24"/>
                <w:szCs w:val="24"/>
                <w:highlight w:val="yellow"/>
              </w:rPr>
              <w:t>规定时间</w:t>
            </w:r>
            <w:r>
              <w:rPr>
                <w:rFonts w:hint="eastAsia" w:ascii="仿宋_GB2312" w:hAnsi="仿宋_GB2312" w:eastAsia="仿宋_GB2312" w:cs="仿宋_GB2312"/>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交货方式：</w:t>
            </w:r>
            <w:r>
              <w:rPr>
                <w:rFonts w:hint="eastAsia" w:ascii="仿宋_GB2312" w:hAnsi="仿宋_GB2312" w:eastAsia="仿宋_GB2312" w:cs="仿宋_GB2312"/>
                <w:color w:val="000000"/>
                <w:sz w:val="24"/>
                <w:szCs w:val="24"/>
              </w:rPr>
              <w:t>交钥匙方式；</w:t>
            </w:r>
          </w:p>
          <w:p w14:paraId="237C8FCE">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rPr>
              <w:t>交货地点：</w:t>
            </w:r>
            <w:r>
              <w:rPr>
                <w:rFonts w:hint="eastAsia" w:ascii="仿宋_GB2312" w:hAnsi="仿宋_GB2312" w:eastAsia="仿宋_GB2312" w:cs="仿宋_GB2312"/>
                <w:sz w:val="24"/>
                <w:szCs w:val="24"/>
              </w:rPr>
              <w:t>中国重汽集团济南动力有限公司发动机厂</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质保期：全部供货范围内的设备、材料、零配件和工器具等，除合同特别约定外，其质保期均自终验收签字生效之日起12个月。</w:t>
            </w:r>
            <w:r>
              <w:rPr>
                <w:rFonts w:hint="eastAsia" w:ascii="仿宋_GB2312" w:hAnsi="仿宋_GB2312" w:eastAsia="仿宋_GB2312" w:cs="仿宋_GB2312"/>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Ansi="宋体" w:eastAsia="宋体" w:cs="宋体"/>
                <w:color w:val="000000"/>
                <w:sz w:val="24"/>
                <w:szCs w:val="24"/>
                <w:highlight w:val="yellow"/>
              </w:rPr>
            </w:pPr>
            <w:r>
              <w:rPr>
                <w:rFonts w:hint="eastAsia" w:ascii="仿宋_GB2312" w:hAnsi="仿宋_GB2312" w:eastAsia="仿宋_GB2312" w:cs="仿宋_GB2312"/>
                <w:b/>
                <w:bCs/>
                <w:color w:val="000000"/>
                <w:sz w:val="24"/>
                <w:szCs w:val="24"/>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1.合同生效后，卖方开具金额为该合同设备价格</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的增值税专用发票带</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的收据（含复印件二份），经买方依照财务制度审核无误后30个工作日支付合同价款的</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2.设备全部到齐且无质量问题，卖方提交金额为合同价款</w:t>
            </w:r>
            <w:r>
              <w:rPr>
                <w:rFonts w:hint="eastAsia" w:ascii="宋体" w:hAnsi="宋体" w:cs="宋体"/>
                <w:sz w:val="24"/>
                <w:szCs w:val="24"/>
                <w:highlight w:val="yellow"/>
                <w:u w:val="single"/>
                <w:lang w:val="en-US" w:eastAsia="zh-CN"/>
              </w:rPr>
              <w:t xml:space="preserve"> 30% </w:t>
            </w:r>
            <w:r>
              <w:rPr>
                <w:rFonts w:hint="eastAsia" w:ascii="宋体" w:hAnsi="宋体" w:cs="宋体"/>
                <w:sz w:val="24"/>
                <w:szCs w:val="24"/>
                <w:lang w:val="en-US" w:eastAsia="zh-CN"/>
              </w:rPr>
              <w:t>的增值税专用发票，经买方依照财务制度审核无误后30个工作日支付合同价款的</w:t>
            </w:r>
            <w:r>
              <w:rPr>
                <w:rFonts w:hint="eastAsia" w:ascii="宋体" w:hAnsi="宋体" w:cs="宋体"/>
                <w:sz w:val="24"/>
                <w:szCs w:val="24"/>
                <w:highlight w:val="yellow"/>
                <w:u w:val="single"/>
                <w:lang w:val="en-US" w:eastAsia="zh-CN"/>
              </w:rPr>
              <w:t xml:space="preserve"> 30% </w:t>
            </w:r>
            <w:r>
              <w:rPr>
                <w:rFonts w:hint="eastAsia" w:ascii="宋体" w:hAnsi="宋体" w:cs="宋体"/>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3.设备经现场安装、调试、终验收合格交付使用后，卖方提交金额为合同价款</w:t>
            </w:r>
            <w:r>
              <w:rPr>
                <w:rFonts w:hint="eastAsia" w:ascii="宋体" w:hAnsi="宋体" w:cs="宋体"/>
                <w:sz w:val="24"/>
                <w:szCs w:val="24"/>
                <w:highlight w:val="yellow"/>
                <w:u w:val="single"/>
                <w:lang w:val="en-US" w:eastAsia="zh-CN"/>
              </w:rPr>
              <w:t xml:space="preserve"> 60% </w:t>
            </w:r>
            <w:r>
              <w:rPr>
                <w:rFonts w:hint="eastAsia" w:ascii="宋体" w:hAnsi="宋体" w:cs="宋体"/>
                <w:sz w:val="24"/>
                <w:szCs w:val="24"/>
                <w:lang w:val="en-US" w:eastAsia="zh-CN"/>
              </w:rPr>
              <w:t>的收据并附带下列单据，经买方依照财务制度审核无误后30个工作日支付合同价款的</w:t>
            </w:r>
            <w:r>
              <w:rPr>
                <w:rFonts w:hint="eastAsia" w:ascii="宋体" w:hAnsi="宋体" w:cs="宋体"/>
                <w:sz w:val="24"/>
                <w:szCs w:val="24"/>
                <w:highlight w:val="yellow"/>
                <w:u w:val="single"/>
                <w:lang w:val="en-US" w:eastAsia="zh-CN"/>
              </w:rPr>
              <w:t xml:space="preserve"> 60% </w:t>
            </w:r>
            <w:r>
              <w:rPr>
                <w:rFonts w:hint="eastAsia" w:ascii="宋体" w:hAnsi="宋体" w:cs="宋体"/>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a.金额为该合同设备价格</w:t>
            </w:r>
            <w:r>
              <w:rPr>
                <w:rFonts w:hint="eastAsia" w:ascii="宋体" w:hAnsi="宋体" w:cs="宋体"/>
                <w:sz w:val="24"/>
                <w:szCs w:val="24"/>
                <w:highlight w:val="yellow"/>
                <w:u w:val="single"/>
                <w:lang w:val="en-US" w:eastAsia="zh-CN"/>
              </w:rPr>
              <w:t xml:space="preserve"> 70% </w:t>
            </w:r>
            <w:r>
              <w:rPr>
                <w:rFonts w:hint="eastAsia" w:ascii="宋体" w:hAnsi="宋体" w:cs="宋体"/>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default" w:ascii="宋体" w:hAnsi="宋体" w:cs="宋体"/>
                <w:sz w:val="24"/>
                <w:szCs w:val="24"/>
                <w:lang w:val="en-US" w:eastAsia="zh-CN"/>
              </w:rPr>
            </w:pPr>
            <w:r>
              <w:rPr>
                <w:rFonts w:hint="eastAsia" w:ascii="宋体" w:hAnsi="宋体" w:cs="宋体"/>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default" w:ascii="仿宋_GB2312" w:hAnsi="仿宋_GB2312" w:eastAsia="仿宋_GB2312" w:cs="仿宋_GB2312"/>
                <w:sz w:val="24"/>
                <w:szCs w:val="24"/>
                <w:highlight w:val="none"/>
                <w:lang w:val="en-US" w:eastAsia="zh-CN"/>
              </w:rPr>
            </w:pPr>
            <w:r>
              <w:rPr>
                <w:rFonts w:hint="eastAsia" w:ascii="宋体" w:hAnsi="宋体" w:cs="宋体"/>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宋体" w:hAnsi="宋体" w:cs="宋体"/>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增值税专用发票开票信息：</w:t>
            </w:r>
          </w:p>
          <w:p w14:paraId="55D397B6">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color w:val="000000"/>
                <w:sz w:val="24"/>
                <w:szCs w:val="24"/>
              </w:rPr>
              <w:t xml:space="preserve">本项目为集采项目，具体开票信息以签订的合同为准。             </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F154672">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中标方应在合同签订后</w:t>
            </w:r>
            <w:r>
              <w:rPr>
                <w:rFonts w:hint="eastAsia" w:ascii="仿宋_GB2312" w:hAnsi="仿宋_GB2312" w:eastAsia="仿宋_GB2312" w:cs="仿宋_GB2312"/>
                <w:sz w:val="24"/>
                <w:szCs w:val="24"/>
                <w:highlight w:val="red"/>
              </w:rPr>
              <w:t>5</w:t>
            </w:r>
            <w:r>
              <w:rPr>
                <w:rFonts w:hint="eastAsia" w:ascii="仿宋_GB2312" w:hAnsi="仿宋_GB2312" w:eastAsia="仿宋_GB2312" w:cs="仿宋_GB2312"/>
                <w:sz w:val="24"/>
                <w:szCs w:val="24"/>
              </w:rPr>
              <w:t>日内需根据设计</w:t>
            </w:r>
            <w:r>
              <w:rPr>
                <w:rStyle w:val="47"/>
                <w:rFonts w:hint="eastAsia" w:ascii="仿宋_GB2312" w:hAnsi="仿宋_GB2312" w:eastAsia="仿宋_GB2312" w:cs="仿宋_GB2312"/>
                <w:sz w:val="24"/>
                <w:szCs w:val="24"/>
              </w:rPr>
              <w:t>提资</w:t>
            </w:r>
            <w:r>
              <w:rPr>
                <w:rFonts w:hint="eastAsia" w:ascii="仿宋_GB2312" w:hAnsi="仿宋_GB2312" w:eastAsia="仿宋_GB2312" w:cs="仿宋_GB2312"/>
                <w:sz w:val="24"/>
                <w:szCs w:val="24"/>
              </w:rPr>
              <w:t>要求提供详细的</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图纸等资料,其中包含</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的外形尺寸,运维空间</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highlight w:val="yellow"/>
                <w:lang w:val="en-US" w:eastAsia="zh-CN"/>
              </w:rPr>
              <w:t>后续冲突以此前附表为准。</w:t>
            </w:r>
          </w:p>
        </w:tc>
      </w:tr>
      <w:bookmarkEnd w:id="6"/>
    </w:tbl>
    <w:p w14:paraId="0E389003">
      <w:pPr>
        <w:pStyle w:val="22"/>
        <w:numPr>
          <w:ilvl w:val="0"/>
          <w:numId w:val="2"/>
        </w:numPr>
        <w:jc w:val="center"/>
        <w:outlineLvl w:val="0"/>
        <w:rPr>
          <w:rFonts w:hint="eastAsia" w:ascii="仿宋_GB2312" w:hAnsi="仿宋_GB2312" w:eastAsia="仿宋_GB2312" w:cs="仿宋_GB2312"/>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p>
    <w:p w14:paraId="37B033F0">
      <w:pPr>
        <w:pStyle w:val="2"/>
        <w:rPr>
          <w:rFonts w:hint="eastAsia" w:ascii="仿宋_GB2312" w:hAnsi="仿宋_GB2312" w:eastAsia="仿宋_GB2312" w:cs="仿宋_GB2312"/>
          <w:sz w:val="44"/>
        </w:rPr>
      </w:pPr>
      <w:bookmarkStart w:id="7" w:name="_Toc11216"/>
      <w:bookmarkStart w:id="8" w:name="_Toc6577"/>
      <w:bookmarkStart w:id="9" w:name="_Toc9448"/>
      <w:bookmarkStart w:id="10" w:name="_Toc27087"/>
      <w:bookmarkStart w:id="11" w:name="_Toc19183"/>
      <w:bookmarkStart w:id="12" w:name="_Toc427"/>
      <w:r>
        <w:rPr>
          <w:rFonts w:hint="eastAsia" w:ascii="仿宋_GB2312" w:hAnsi="仿宋_GB2312" w:eastAsia="仿宋_GB2312" w:cs="仿宋_GB2312"/>
          <w:sz w:val="44"/>
        </w:rPr>
        <w:t>第二部分 投标须知</w:t>
      </w:r>
      <w:bookmarkEnd w:id="7"/>
      <w:bookmarkEnd w:id="8"/>
      <w:bookmarkEnd w:id="9"/>
      <w:bookmarkEnd w:id="10"/>
      <w:bookmarkEnd w:id="11"/>
      <w:bookmarkEnd w:id="12"/>
    </w:p>
    <w:p w14:paraId="6A8A687F">
      <w:pPr>
        <w:pStyle w:val="4"/>
        <w:rPr>
          <w:rFonts w:hint="eastAsia" w:ascii="仿宋_GB2312" w:hAnsi="仿宋_GB2312" w:eastAsia="仿宋_GB2312" w:cs="仿宋_GB2312"/>
          <w:sz w:val="36"/>
          <w:szCs w:val="36"/>
        </w:rPr>
      </w:pPr>
      <w:bookmarkStart w:id="13" w:name="_Toc18045"/>
      <w:r>
        <w:rPr>
          <w:rFonts w:hint="eastAsia" w:ascii="仿宋_GB2312" w:hAnsi="仿宋_GB2312" w:eastAsia="仿宋_GB2312" w:cs="仿宋_GB2312"/>
          <w:sz w:val="36"/>
          <w:szCs w:val="36"/>
        </w:rPr>
        <w:t>一、项目名称</w:t>
      </w:r>
      <w:bookmarkEnd w:id="13"/>
    </w:p>
    <w:p w14:paraId="0A3D6570">
      <w:pPr>
        <w:spacing w:line="360" w:lineRule="auto"/>
        <w:ind w:left="1679" w:leftChars="228" w:hanging="1200" w:hangingChars="500"/>
        <w:rPr>
          <w:rFonts w:hint="eastAsia" w:ascii="仿宋_GB2312" w:hAnsi="仿宋_GB2312" w:eastAsia="仿宋_GB2312" w:cs="仿宋_GB2312"/>
          <w:color w:val="000000"/>
          <w:sz w:val="24"/>
          <w:szCs w:val="24"/>
          <w:u w:val="single"/>
        </w:rPr>
      </w:pPr>
      <w:r>
        <w:rPr>
          <w:rFonts w:hint="eastAsia" w:ascii="仿宋_GB2312" w:hAnsi="仿宋_GB2312" w:eastAsia="仿宋_GB2312" w:cs="仿宋_GB2312"/>
          <w:color w:val="000000"/>
          <w:sz w:val="24"/>
          <w:szCs w:val="24"/>
        </w:rPr>
        <w:t>项目名称：</w:t>
      </w:r>
      <w:bookmarkStart w:id="14" w:name="OLE_LINK1"/>
      <w:r>
        <w:rPr>
          <w:rFonts w:hint="eastAsia" w:ascii="仿宋_GB2312" w:hAnsi="仿宋_GB2312" w:eastAsia="仿宋_GB2312" w:cs="仿宋_GB2312"/>
          <w:color w:val="000000"/>
          <w:sz w:val="24"/>
          <w:szCs w:val="24"/>
        </w:rPr>
        <w:t>见《投标须知前附表》。</w:t>
      </w:r>
    </w:p>
    <w:bookmarkEnd w:id="14"/>
    <w:p w14:paraId="06C66D19">
      <w:pPr>
        <w:pStyle w:val="4"/>
        <w:rPr>
          <w:rFonts w:hint="eastAsia" w:ascii="仿宋_GB2312" w:hAnsi="仿宋_GB2312" w:eastAsia="仿宋_GB2312" w:cs="仿宋_GB2312"/>
          <w:sz w:val="36"/>
          <w:szCs w:val="36"/>
        </w:rPr>
      </w:pPr>
      <w:bookmarkStart w:id="15" w:name="_Toc30471"/>
      <w:r>
        <w:rPr>
          <w:rFonts w:hint="eastAsia" w:ascii="仿宋_GB2312" w:hAnsi="仿宋_GB2312" w:eastAsia="仿宋_GB2312" w:cs="仿宋_GB2312"/>
          <w:sz w:val="36"/>
          <w:szCs w:val="36"/>
        </w:rPr>
        <w:t>二、招标内容及形式</w:t>
      </w:r>
      <w:bookmarkEnd w:id="15"/>
    </w:p>
    <w:p w14:paraId="7F82CC99">
      <w:pPr>
        <w:pStyle w:val="22"/>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见《投标须知前附表》。</w:t>
      </w:r>
    </w:p>
    <w:p w14:paraId="287EDDC7">
      <w:pPr>
        <w:spacing w:line="360" w:lineRule="auto"/>
        <w:ind w:firstLine="482"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具体要求详见《技术标书》。</w:t>
      </w:r>
    </w:p>
    <w:p w14:paraId="6395337F">
      <w:pPr>
        <w:pStyle w:val="4"/>
        <w:rPr>
          <w:rFonts w:hint="eastAsia" w:ascii="仿宋_GB2312" w:hAnsi="仿宋_GB2312" w:eastAsia="仿宋_GB2312" w:cs="仿宋_GB2312"/>
          <w:sz w:val="36"/>
          <w:szCs w:val="36"/>
        </w:rPr>
      </w:pPr>
      <w:bookmarkStart w:id="16" w:name="_Toc24346"/>
      <w:r>
        <w:rPr>
          <w:rFonts w:hint="eastAsia" w:ascii="仿宋_GB2312" w:hAnsi="仿宋_GB2312" w:eastAsia="仿宋_GB2312" w:cs="仿宋_GB2312"/>
          <w:sz w:val="36"/>
          <w:szCs w:val="36"/>
        </w:rPr>
        <w:t>三、交货及付款</w:t>
      </w:r>
      <w:bookmarkEnd w:id="16"/>
      <w:r>
        <w:rPr>
          <w:rFonts w:hint="eastAsia" w:ascii="仿宋_GB2312" w:hAnsi="仿宋_GB2312" w:eastAsia="仿宋_GB2312" w:cs="仿宋_GB2312"/>
          <w:sz w:val="36"/>
          <w:szCs w:val="36"/>
        </w:rPr>
        <w:tab/>
      </w:r>
    </w:p>
    <w:p w14:paraId="5031B579">
      <w:pPr>
        <w:pStyle w:val="22"/>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交货期、交货地点、交货方式、付款方式及比例见《投标须知前附表》第7条。</w:t>
      </w:r>
    </w:p>
    <w:p w14:paraId="1D9A8B92">
      <w:pPr>
        <w:pStyle w:val="4"/>
        <w:rPr>
          <w:rFonts w:hint="eastAsia" w:ascii="仿宋_GB2312" w:hAnsi="仿宋_GB2312" w:eastAsia="仿宋_GB2312" w:cs="仿宋_GB2312"/>
          <w:sz w:val="36"/>
          <w:szCs w:val="36"/>
        </w:rPr>
      </w:pPr>
      <w:bookmarkStart w:id="17" w:name="_Toc4476"/>
      <w:r>
        <w:rPr>
          <w:rFonts w:hint="eastAsia" w:ascii="仿宋_GB2312" w:hAnsi="仿宋_GB2312" w:eastAsia="仿宋_GB2312" w:cs="仿宋_GB2312"/>
          <w:sz w:val="36"/>
          <w:szCs w:val="36"/>
        </w:rPr>
        <w:t>四、投标说明</w:t>
      </w:r>
      <w:bookmarkEnd w:id="17"/>
    </w:p>
    <w:p w14:paraId="360E8DB0">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1.报名方式</w:t>
      </w:r>
    </w:p>
    <w:p w14:paraId="3A587F9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投标人根据招标人在中国重汽官网等公开媒体上发布的招标信息，在“中国重汽e采通”平台报名。按照中国重汽e采通“SRM非生产供应商注册手册</w:t>
      </w:r>
      <w:r>
        <w:rPr>
          <w:rFonts w:hint="eastAsia" w:ascii="仿宋_GB2312" w:hAnsi="仿宋_GB2312" w:eastAsia="仿宋_GB2312" w:cs="仿宋_GB2312"/>
          <w:color w:val="000000"/>
          <w:sz w:val="24"/>
          <w:szCs w:val="24"/>
          <w:highlight w:val="yellow"/>
        </w:rPr>
        <w:t>（附件15）</w:t>
      </w:r>
      <w:r>
        <w:rPr>
          <w:rFonts w:hint="eastAsia" w:ascii="仿宋_GB2312" w:hAnsi="仿宋_GB2312" w:eastAsia="仿宋_GB2312" w:cs="仿宋_GB2312"/>
          <w:color w:val="000000"/>
          <w:sz w:val="24"/>
          <w:szCs w:val="24"/>
        </w:rPr>
        <w:t>”进行注册，注册完毕后按照</w:t>
      </w:r>
      <w:r>
        <w:rPr>
          <w:rFonts w:hint="eastAsia" w:ascii="仿宋_GB2312" w:hAnsi="仿宋_GB2312" w:eastAsia="仿宋_GB2312" w:cs="仿宋_GB2312"/>
          <w:b/>
          <w:color w:val="000000"/>
          <w:sz w:val="24"/>
          <w:szCs w:val="24"/>
        </w:rPr>
        <w:t>“SRM系统供应商用户手册</w:t>
      </w:r>
      <w:r>
        <w:rPr>
          <w:rFonts w:hint="eastAsia" w:ascii="仿宋_GB2312" w:hAnsi="仿宋_GB2312" w:eastAsia="仿宋_GB2312" w:cs="仿宋_GB2312"/>
          <w:b/>
          <w:color w:val="000000"/>
          <w:sz w:val="24"/>
          <w:szCs w:val="24"/>
          <w:highlight w:val="yellow"/>
        </w:rPr>
        <w:t>（附件16）</w:t>
      </w:r>
      <w:r>
        <w:rPr>
          <w:rFonts w:hint="eastAsia" w:ascii="仿宋_GB2312" w:hAnsi="仿宋_GB2312" w:eastAsia="仿宋_GB2312" w:cs="仿宋_GB2312"/>
          <w:b/>
          <w:color w:val="000000"/>
          <w:sz w:val="24"/>
          <w:szCs w:val="24"/>
        </w:rPr>
        <w:t>”登录系统，</w:t>
      </w:r>
      <w:r>
        <w:rPr>
          <w:rFonts w:hint="eastAsia" w:ascii="仿宋_GB2312" w:hAnsi="仿宋_GB2312" w:eastAsia="仿宋_GB2312" w:cs="仿宋_GB2312"/>
          <w:color w:val="000000"/>
          <w:sz w:val="24"/>
          <w:szCs w:val="24"/>
        </w:rPr>
        <w:t>进入“供应商应标”，选择对应的项目，点击“应标”后按照招标文件第三部分投标文件组成资格证明文件中的</w:t>
      </w:r>
      <w:r>
        <w:rPr>
          <w:rFonts w:hint="eastAsia" w:ascii="仿宋_GB2312" w:hAnsi="仿宋_GB2312" w:eastAsia="仿宋_GB2312" w:cs="仿宋_GB2312"/>
          <w:color w:val="000000"/>
          <w:sz w:val="24"/>
          <w:szCs w:val="24"/>
          <w:highlight w:val="green"/>
        </w:rPr>
        <w:t>1.1-1.1</w:t>
      </w:r>
      <w:r>
        <w:rPr>
          <w:rFonts w:hint="eastAsia" w:ascii="仿宋_GB2312" w:hAnsi="仿宋_GB2312" w:eastAsia="仿宋_GB2312" w:cs="仿宋_GB2312"/>
          <w:color w:val="000000"/>
          <w:sz w:val="24"/>
          <w:szCs w:val="24"/>
          <w:highlight w:val="green"/>
          <w:lang w:val="en-US" w:eastAsia="zh-CN"/>
        </w:rPr>
        <w:t>1</w:t>
      </w:r>
      <w:r>
        <w:rPr>
          <w:rFonts w:hint="eastAsia" w:ascii="仿宋_GB2312" w:hAnsi="仿宋_GB2312" w:eastAsia="仿宋_GB2312" w:cs="仿宋_GB2312"/>
          <w:color w:val="000000"/>
          <w:sz w:val="24"/>
          <w:szCs w:val="24"/>
        </w:rPr>
        <w:t>准备资料并上传，资质审查通过即为报名成功，公示期间请尽快报名。</w:t>
      </w:r>
    </w:p>
    <w:p w14:paraId="615BA7E1">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投标保证金缴纳的时候，</w:t>
      </w:r>
      <w:r>
        <w:rPr>
          <w:rFonts w:hint="eastAsia" w:ascii="仿宋_GB2312" w:hAnsi="仿宋_GB2312" w:eastAsia="仿宋_GB2312" w:cs="仿宋_GB2312"/>
          <w:b/>
          <w:bCs/>
          <w:color w:val="000000"/>
          <w:sz w:val="24"/>
          <w:szCs w:val="24"/>
        </w:rPr>
        <w:t>务必备注所投标的项目名称</w:t>
      </w:r>
      <w:r>
        <w:rPr>
          <w:rFonts w:hint="eastAsia" w:ascii="仿宋_GB2312" w:hAnsi="仿宋_GB2312" w:eastAsia="仿宋_GB2312" w:cs="仿宋_GB2312"/>
          <w:color w:val="000000"/>
          <w:sz w:val="24"/>
          <w:szCs w:val="24"/>
        </w:rPr>
        <w:t>。</w:t>
      </w:r>
    </w:p>
    <w:p w14:paraId="5D940C0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_GB2312" w:hAnsi="仿宋_GB2312" w:eastAsia="仿宋_GB2312" w:cs="仿宋_GB2312"/>
          <w:b/>
          <w:bCs/>
          <w:color w:val="000000"/>
          <w:sz w:val="24"/>
          <w:szCs w:val="24"/>
          <w:highlight w:val="cyan"/>
        </w:rPr>
      </w:pPr>
      <w:r>
        <w:rPr>
          <w:rFonts w:hint="eastAsia" w:ascii="仿宋_GB2312" w:hAnsi="仿宋_GB2312" w:eastAsia="仿宋_GB2312" w:cs="仿宋_GB2312"/>
          <w:b/>
          <w:bCs/>
          <w:color w:val="000000"/>
          <w:sz w:val="24"/>
          <w:szCs w:val="24"/>
          <w:highlight w:val="cyan"/>
        </w:rPr>
        <w:t>投标条件</w:t>
      </w:r>
    </w:p>
    <w:p w14:paraId="270B50FB">
      <w:pPr>
        <w:pStyle w:val="22"/>
        <w:spacing w:line="360" w:lineRule="auto"/>
        <w:ind w:firstLine="480"/>
        <w:rPr>
          <w:rFonts w:hint="eastAsia" w:ascii="仿宋_GB2312" w:hAnsi="仿宋_GB2312" w:eastAsia="仿宋_GB2312" w:cs="仿宋_GB2312"/>
          <w:b/>
          <w:color w:val="000000"/>
          <w:sz w:val="24"/>
          <w:szCs w:val="24"/>
        </w:rPr>
      </w:pPr>
      <w:r>
        <w:rPr>
          <w:rFonts w:hint="eastAsia" w:ascii="仿宋_GB2312" w:hAnsi="仿宋_GB2312" w:eastAsia="仿宋_GB2312" w:cs="仿宋_GB2312"/>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3.报价</w:t>
      </w:r>
    </w:p>
    <w:p w14:paraId="0D835A58">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3.1评标流程以及规则详见本部分第六条评标原则。</w:t>
      </w:r>
    </w:p>
    <w:p w14:paraId="2213D3FE">
      <w:pPr>
        <w:spacing w:line="360" w:lineRule="auto"/>
        <w:ind w:firstLine="235" w:firstLineChars="98"/>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r>
        <w:rPr>
          <w:rFonts w:hint="eastAsia" w:ascii="仿宋_GB2312" w:hAnsi="仿宋_GB2312" w:eastAsia="仿宋_GB2312" w:cs="仿宋_GB2312"/>
          <w:b/>
          <w:bCs/>
          <w:color w:val="000000"/>
          <w:sz w:val="24"/>
          <w:szCs w:val="24"/>
        </w:rPr>
        <w:t>所有设备的报价货币单位为：</w:t>
      </w:r>
      <w:r>
        <w:rPr>
          <w:rFonts w:hint="eastAsia" w:ascii="仿宋_GB2312" w:hAnsi="仿宋_GB2312" w:eastAsia="仿宋_GB2312" w:cs="仿宋_GB2312"/>
          <w:b/>
          <w:bCs/>
          <w:color w:val="000000"/>
          <w:sz w:val="24"/>
          <w:szCs w:val="24"/>
          <w:u w:val="single"/>
        </w:rPr>
        <w:t xml:space="preserve">         </w:t>
      </w:r>
      <w:r>
        <w:rPr>
          <w:rFonts w:hint="eastAsia" w:ascii="仿宋_GB2312" w:hAnsi="仿宋_GB2312" w:eastAsia="仿宋_GB2312" w:cs="仿宋_GB2312"/>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rPr>
        <w:t>4.设备要求：</w:t>
      </w:r>
    </w:p>
    <w:p w14:paraId="52227DE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4.1投标设备技术参数和总体要求按《技术标书》执行；</w:t>
      </w:r>
    </w:p>
    <w:p w14:paraId="161EE52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4.2设备制造完毕经出厂检验合格后方能发货；</w:t>
      </w:r>
    </w:p>
    <w:p w14:paraId="4AFEECD0">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4.3设备包装按国家或部颁标准执行；</w:t>
      </w:r>
    </w:p>
    <w:p w14:paraId="5E6812D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4.5投标企业按技术规范书提报设备详细技术资料；</w:t>
      </w:r>
    </w:p>
    <w:p w14:paraId="0A087F29">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2"/>
        <w:spacing w:line="360" w:lineRule="auto"/>
        <w:ind w:firstLine="480" w:firstLineChars="200"/>
        <w:rPr>
          <w:rFonts w:hint="eastAsia" w:ascii="仿宋_GB2312" w:hAnsi="仿宋_GB2312" w:eastAsia="仿宋_GB2312" w:cs="仿宋_GB2312"/>
          <w:color w:val="000000"/>
          <w:sz w:val="24"/>
          <w:szCs w:val="24"/>
          <w:highlight w:val="yellow"/>
        </w:rPr>
      </w:pPr>
      <w:r>
        <w:rPr>
          <w:rFonts w:hint="eastAsia" w:ascii="仿宋_GB2312" w:hAnsi="仿宋_GB2312" w:eastAsia="仿宋_GB2312" w:cs="仿宋_GB2312"/>
          <w:color w:val="000000"/>
          <w:sz w:val="24"/>
          <w:szCs w:val="24"/>
          <w:highlight w:val="yellow"/>
        </w:rPr>
        <w:t>4.7设备设施颜色严格执行我公司企业标准《设备设施颜色标识》（Q/ZZ30070</w:t>
      </w:r>
    </w:p>
    <w:p w14:paraId="0AED321D">
      <w:pPr>
        <w:pStyle w:val="22"/>
        <w:spacing w:line="360" w:lineRule="auto"/>
        <w:rPr>
          <w:rFonts w:hint="eastAsia" w:ascii="仿宋_GB2312" w:hAnsi="仿宋_GB2312" w:eastAsia="仿宋_GB2312" w:cs="仿宋_GB2312"/>
          <w:color w:val="000000"/>
          <w:sz w:val="24"/>
          <w:szCs w:val="24"/>
          <w:highlight w:val="yellow"/>
        </w:rPr>
      </w:pPr>
      <w:r>
        <w:rPr>
          <w:rFonts w:hint="eastAsia" w:ascii="仿宋_GB2312" w:hAnsi="仿宋_GB2312" w:eastAsia="仿宋_GB2312" w:cs="仿宋_GB2312"/>
          <w:color w:val="000000"/>
          <w:sz w:val="24"/>
          <w:szCs w:val="24"/>
          <w:highlight w:val="yellow"/>
        </w:rPr>
        <w:t>—2020）。</w:t>
      </w:r>
    </w:p>
    <w:p w14:paraId="2462C162">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5.其他要求</w:t>
      </w:r>
    </w:p>
    <w:p w14:paraId="4A1907F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6.询标</w:t>
      </w:r>
    </w:p>
    <w:p w14:paraId="416FAA61">
      <w:pPr>
        <w:keepNext/>
        <w:keepLines/>
        <w:spacing w:line="360" w:lineRule="auto"/>
        <w:ind w:firstLine="480" w:firstLineChars="20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color w:val="000000"/>
          <w:sz w:val="24"/>
          <w:szCs w:val="24"/>
        </w:rPr>
        <w:t>凡对本次招标提出的询问，均以招标人的书面答复为准。</w:t>
      </w:r>
    </w:p>
    <w:p w14:paraId="47708139">
      <w:pPr>
        <w:pStyle w:val="4"/>
        <w:rPr>
          <w:rFonts w:hint="eastAsia" w:ascii="仿宋_GB2312" w:hAnsi="仿宋_GB2312" w:eastAsia="仿宋_GB2312" w:cs="仿宋_GB2312"/>
          <w:sz w:val="36"/>
          <w:szCs w:val="36"/>
        </w:rPr>
      </w:pPr>
      <w:bookmarkStart w:id="18" w:name="_Toc29561"/>
      <w:r>
        <w:rPr>
          <w:rFonts w:hint="eastAsia" w:ascii="仿宋_GB2312" w:hAnsi="仿宋_GB2312" w:eastAsia="仿宋_GB2312" w:cs="仿宋_GB2312"/>
          <w:sz w:val="36"/>
          <w:szCs w:val="36"/>
        </w:rPr>
        <w:t>五、议程安排</w:t>
      </w:r>
      <w:bookmarkEnd w:id="18"/>
    </w:p>
    <w:p w14:paraId="2411E267">
      <w:pPr>
        <w:keepNext/>
        <w:keepLines/>
        <w:spacing w:line="360" w:lineRule="auto"/>
        <w:ind w:firstLine="482" w:firstLineChars="200"/>
        <w:outlineLvl w:val="2"/>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1.发标时间</w:t>
      </w:r>
    </w:p>
    <w:p w14:paraId="67BC792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见《投标须知前附表》2.1。</w:t>
      </w:r>
    </w:p>
    <w:p w14:paraId="772DD369">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2.发标方式</w:t>
      </w:r>
    </w:p>
    <w:p w14:paraId="1C3C96AC">
      <w:pPr>
        <w:spacing w:line="360" w:lineRule="auto"/>
        <w:ind w:firstLine="480" w:firstLineChars="200"/>
        <w:rPr>
          <w:rFonts w:hint="eastAsia" w:ascii="仿宋_GB2312" w:hAnsi="仿宋_GB2312" w:eastAsia="仿宋_GB2312" w:cs="仿宋_GB2312"/>
          <w:color w:val="000000"/>
          <w:sz w:val="24"/>
          <w:szCs w:val="24"/>
          <w:highlight w:val="green"/>
        </w:rPr>
      </w:pPr>
      <w:r>
        <w:rPr>
          <w:rFonts w:hint="eastAsia" w:ascii="仿宋_GB2312" w:hAnsi="仿宋_GB2312" w:eastAsia="仿宋_GB2312" w:cs="仿宋_GB2312"/>
          <w:sz w:val="24"/>
          <w:szCs w:val="24"/>
          <w:highlight w:val="green"/>
        </w:rPr>
        <w:t>中国重汽官网、山东省阳光采购服务平台</w:t>
      </w:r>
    </w:p>
    <w:p w14:paraId="168DC9A6">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3.答疑</w:t>
      </w:r>
    </w:p>
    <w:p w14:paraId="6AB8C5F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4.投标报名</w:t>
      </w:r>
    </w:p>
    <w:p w14:paraId="05997375">
      <w:pPr>
        <w:keepNext/>
        <w:keepLines/>
        <w:spacing w:line="360" w:lineRule="auto"/>
        <w:ind w:firstLine="48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_GB2312" w:hAnsi="仿宋_GB2312" w:eastAsia="仿宋_GB2312" w:cs="仿宋_GB2312"/>
        </w:rPr>
      </w:pPr>
      <w:r>
        <w:rPr>
          <w:rFonts w:hint="eastAsia" w:ascii="仿宋_GB2312" w:hAnsi="仿宋_GB2312" w:eastAsia="仿宋_GB2312" w:cs="仿宋_GB2312"/>
        </w:rPr>
        <w:t>4.2招标人银行账户信息如下：见《投标须知前附表》4.2。</w:t>
      </w:r>
    </w:p>
    <w:p w14:paraId="6F4ACACE">
      <w:pPr>
        <w:pStyle w:val="117"/>
        <w:ind w:firstLine="480"/>
        <w:rPr>
          <w:rFonts w:hint="eastAsia" w:ascii="仿宋_GB2312" w:hAnsi="仿宋_GB2312" w:eastAsia="仿宋_GB2312" w:cs="仿宋_GB2312"/>
        </w:rPr>
      </w:pPr>
      <w:r>
        <w:rPr>
          <w:rFonts w:hint="eastAsia" w:ascii="仿宋_GB2312" w:hAnsi="仿宋_GB2312" w:eastAsia="仿宋_GB2312" w:cs="仿宋_GB2312"/>
        </w:rPr>
        <w:t>转账附言：公司名称+项目名称+投标保证金；</w:t>
      </w:r>
    </w:p>
    <w:p w14:paraId="500759A7">
      <w:pPr>
        <w:pStyle w:val="117"/>
        <w:ind w:firstLine="480"/>
        <w:rPr>
          <w:rFonts w:hint="eastAsia" w:ascii="仿宋_GB2312" w:hAnsi="仿宋_GB2312" w:eastAsia="仿宋_GB2312" w:cs="仿宋_GB2312"/>
        </w:rPr>
      </w:pPr>
      <w:r>
        <w:rPr>
          <w:rFonts w:hint="eastAsia" w:ascii="仿宋_GB2312" w:hAnsi="仿宋_GB2312" w:eastAsia="仿宋_GB2312" w:cs="仿宋_GB2312"/>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_GB2312" w:hAnsi="仿宋_GB2312" w:eastAsia="仿宋_GB2312" w:cs="仿宋_GB2312"/>
        </w:rPr>
      </w:pPr>
      <w:r>
        <w:rPr>
          <w:rFonts w:hint="eastAsia" w:ascii="仿宋_GB2312" w:hAnsi="仿宋_GB2312" w:eastAsia="仿宋_GB2312" w:cs="仿宋_GB2312"/>
        </w:rPr>
        <w:t>4.3说明</w:t>
      </w:r>
    </w:p>
    <w:p w14:paraId="74B4ADB8">
      <w:pPr>
        <w:pStyle w:val="117"/>
        <w:ind w:firstLine="480"/>
        <w:rPr>
          <w:rFonts w:hint="eastAsia" w:ascii="仿宋_GB2312" w:hAnsi="仿宋_GB2312" w:eastAsia="仿宋_GB2312" w:cs="仿宋_GB2312"/>
        </w:rPr>
      </w:pPr>
      <w:r>
        <w:rPr>
          <w:rFonts w:hint="eastAsia" w:ascii="仿宋_GB2312" w:hAnsi="仿宋_GB2312" w:eastAsia="仿宋_GB2312" w:cs="仿宋_GB2312"/>
        </w:rPr>
        <w:t>4.3.1 投标人在向招标人出示《投标保证金缴纳凭证》后方可进行投标；</w:t>
      </w:r>
    </w:p>
    <w:p w14:paraId="11ED27A1">
      <w:pPr>
        <w:pStyle w:val="117"/>
        <w:ind w:firstLine="480"/>
        <w:rPr>
          <w:rFonts w:hint="eastAsia" w:ascii="仿宋_GB2312" w:hAnsi="仿宋_GB2312" w:eastAsia="仿宋_GB2312" w:cs="仿宋_GB2312"/>
        </w:rPr>
      </w:pPr>
      <w:r>
        <w:rPr>
          <w:rFonts w:hint="eastAsia" w:ascii="仿宋_GB2312" w:hAnsi="仿宋_GB2312" w:eastAsia="仿宋_GB2312" w:cs="仿宋_GB2312"/>
        </w:rPr>
        <w:t>4.3.2 发生以下情况时，招标人有权没收保证金：</w:t>
      </w:r>
    </w:p>
    <w:p w14:paraId="4072089C">
      <w:pPr>
        <w:pStyle w:val="117"/>
        <w:ind w:firstLine="480"/>
        <w:rPr>
          <w:rFonts w:hint="eastAsia" w:ascii="仿宋_GB2312" w:hAnsi="仿宋_GB2312" w:eastAsia="仿宋_GB2312" w:cs="仿宋_GB2312"/>
        </w:rPr>
      </w:pPr>
      <w:r>
        <w:rPr>
          <w:rFonts w:hint="eastAsia" w:ascii="仿宋_GB2312" w:hAnsi="仿宋_GB2312" w:eastAsia="仿宋_GB2312" w:cs="仿宋_GB2312"/>
        </w:rPr>
        <w:t>4.3.2.1 截至开标前3天，投标人无正当理由且未以书面形式递交说明而在投标截止日不来投标的；</w:t>
      </w:r>
    </w:p>
    <w:p w14:paraId="62C0A123">
      <w:pPr>
        <w:pStyle w:val="117"/>
        <w:ind w:firstLine="480"/>
        <w:rPr>
          <w:rFonts w:hint="eastAsia" w:ascii="仿宋_GB2312" w:hAnsi="仿宋_GB2312" w:eastAsia="仿宋_GB2312" w:cs="仿宋_GB2312"/>
        </w:rPr>
      </w:pPr>
      <w:r>
        <w:rPr>
          <w:rFonts w:hint="eastAsia" w:ascii="仿宋_GB2312" w:hAnsi="仿宋_GB2312" w:eastAsia="仿宋_GB2312" w:cs="仿宋_GB2312"/>
        </w:rPr>
        <w:t>4.3.2.2 投标人递送投标文件后，无正当理由放弃投标的；</w:t>
      </w:r>
    </w:p>
    <w:p w14:paraId="28002F96">
      <w:pPr>
        <w:pStyle w:val="117"/>
        <w:ind w:firstLine="480"/>
        <w:rPr>
          <w:rFonts w:hint="eastAsia" w:ascii="仿宋_GB2312" w:hAnsi="仿宋_GB2312" w:eastAsia="仿宋_GB2312" w:cs="仿宋_GB2312"/>
        </w:rPr>
      </w:pPr>
      <w:r>
        <w:rPr>
          <w:rFonts w:hint="eastAsia" w:ascii="仿宋_GB2312" w:hAnsi="仿宋_GB2312" w:eastAsia="仿宋_GB2312" w:cs="仿宋_GB2312"/>
        </w:rPr>
        <w:t>4.3.2.3若为视频开标，招标过程中澄清函等资料原件未按要求提交的；</w:t>
      </w:r>
    </w:p>
    <w:p w14:paraId="24462F1F">
      <w:pPr>
        <w:pStyle w:val="117"/>
        <w:ind w:firstLine="480"/>
        <w:rPr>
          <w:rFonts w:hint="eastAsia" w:ascii="仿宋_GB2312" w:hAnsi="仿宋_GB2312" w:eastAsia="仿宋_GB2312" w:cs="仿宋_GB2312"/>
        </w:rPr>
      </w:pPr>
      <w:r>
        <w:rPr>
          <w:rFonts w:hint="eastAsia" w:ascii="仿宋_GB2312" w:hAnsi="仿宋_GB2312" w:eastAsia="仿宋_GB2312" w:cs="仿宋_GB2312"/>
        </w:rPr>
        <w:t>4.3.2.4自中标通知书发出之日起30日内，中标人无正当理由不签订合同的；</w:t>
      </w:r>
    </w:p>
    <w:p w14:paraId="54819B1C">
      <w:pPr>
        <w:pStyle w:val="117"/>
        <w:ind w:firstLine="480"/>
        <w:rPr>
          <w:rFonts w:hint="eastAsia" w:ascii="仿宋_GB2312" w:hAnsi="仿宋_GB2312" w:eastAsia="仿宋_GB2312" w:cs="仿宋_GB2312"/>
        </w:rPr>
      </w:pPr>
      <w:r>
        <w:rPr>
          <w:rFonts w:hint="eastAsia" w:ascii="仿宋_GB2312" w:hAnsi="仿宋_GB2312" w:eastAsia="仿宋_GB2312" w:cs="仿宋_GB2312"/>
        </w:rPr>
        <w:t>4.3.2.5供应商在响应文件中提供虚假材料的；</w:t>
      </w:r>
    </w:p>
    <w:p w14:paraId="242B882B">
      <w:pPr>
        <w:pStyle w:val="117"/>
        <w:ind w:firstLine="480"/>
        <w:rPr>
          <w:rFonts w:hint="eastAsia" w:ascii="仿宋_GB2312" w:hAnsi="仿宋_GB2312" w:eastAsia="仿宋_GB2312" w:cs="仿宋_GB2312"/>
        </w:rPr>
      </w:pPr>
      <w:r>
        <w:rPr>
          <w:rFonts w:hint="eastAsia" w:ascii="仿宋_GB2312" w:hAnsi="仿宋_GB2312" w:eastAsia="仿宋_GB2312" w:cs="仿宋_GB2312"/>
        </w:rPr>
        <w:t>4.3.2.6投标人在投标过程中被查实有串标、围标、陪标等违规违纪行为的；</w:t>
      </w:r>
    </w:p>
    <w:p w14:paraId="7F4D2B53">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_GB2312" w:hAnsi="仿宋_GB2312" w:eastAsia="仿宋_GB2312" w:cs="仿宋_GB2312"/>
        </w:rPr>
      </w:pPr>
      <w:r>
        <w:rPr>
          <w:rFonts w:hint="eastAsia" w:ascii="仿宋_GB2312" w:hAnsi="仿宋_GB2312" w:eastAsia="仿宋_GB2312" w:cs="仿宋_GB2312"/>
        </w:rPr>
        <w:t>4.4投标报名截止时间</w:t>
      </w:r>
    </w:p>
    <w:p w14:paraId="594D00AE">
      <w:pPr>
        <w:pStyle w:val="117"/>
        <w:ind w:firstLine="480"/>
        <w:rPr>
          <w:rFonts w:hint="eastAsia" w:ascii="仿宋_GB2312" w:hAnsi="仿宋_GB2312" w:eastAsia="仿宋_GB2312" w:cs="仿宋_GB2312"/>
        </w:rPr>
      </w:pPr>
      <w:r>
        <w:rPr>
          <w:rFonts w:hint="eastAsia" w:ascii="仿宋_GB2312" w:hAnsi="仿宋_GB2312" w:eastAsia="仿宋_GB2312" w:cs="仿宋_GB2312"/>
        </w:rPr>
        <w:t>报名方式：见《投标须知前附表》2.3。</w:t>
      </w:r>
    </w:p>
    <w:p w14:paraId="735E2217">
      <w:pPr>
        <w:pStyle w:val="117"/>
        <w:ind w:firstLine="480"/>
        <w:rPr>
          <w:rFonts w:hint="eastAsia" w:ascii="仿宋_GB2312" w:hAnsi="仿宋_GB2312" w:eastAsia="仿宋_GB2312" w:cs="仿宋_GB2312"/>
        </w:rPr>
      </w:pPr>
      <w:r>
        <w:rPr>
          <w:rFonts w:hint="eastAsia" w:ascii="仿宋_GB2312" w:hAnsi="仿宋_GB2312" w:eastAsia="仿宋_GB2312" w:cs="仿宋_GB2312"/>
        </w:rPr>
        <w:t>报名提交资料：</w:t>
      </w:r>
      <w:r>
        <w:rPr>
          <w:rFonts w:hint="eastAsia" w:ascii="仿宋_GB2312" w:hAnsi="仿宋_GB2312" w:eastAsia="仿宋_GB2312" w:cs="仿宋_GB2312"/>
          <w:highlight w:val="yellow"/>
        </w:rPr>
        <w:t>均为盖章电子扫描版，用“公司名称+文件名称”命名</w:t>
      </w:r>
      <w:r>
        <w:rPr>
          <w:rFonts w:hint="eastAsia" w:ascii="仿宋_GB2312" w:hAnsi="仿宋_GB2312" w:eastAsia="仿宋_GB2312" w:cs="仿宋_GB2312"/>
        </w:rPr>
        <w:t>。</w:t>
      </w:r>
    </w:p>
    <w:p w14:paraId="4F040FCC">
      <w:pPr>
        <w:numPr>
          <w:ilvl w:val="0"/>
          <w:numId w:val="4"/>
        </w:num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如果是授权委托人投标，</w:t>
      </w:r>
      <w:r>
        <w:rPr>
          <w:rFonts w:hint="eastAsia" w:ascii="仿宋_GB2312" w:hAnsi="仿宋_GB2312" w:eastAsia="仿宋_GB2312" w:cs="仿宋_GB2312"/>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如果是法人参加投标</w:t>
      </w:r>
      <w:r>
        <w:rPr>
          <w:rFonts w:hint="eastAsia" w:ascii="仿宋_GB2312" w:hAnsi="仿宋_GB2312" w:eastAsia="仿宋_GB2312" w:cs="仿宋_GB2312"/>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5.开标时间</w:t>
      </w:r>
    </w:p>
    <w:p w14:paraId="326C6419">
      <w:pPr>
        <w:keepNext/>
        <w:keepLines/>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6.开标方式</w:t>
      </w:r>
    </w:p>
    <w:p w14:paraId="44C29A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highlight w:val="yellow"/>
        </w:rPr>
        <w:t>原则上来现场参与开标。</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具体以实际通知为准</w:t>
      </w:r>
      <w:r>
        <w:rPr>
          <w:rFonts w:hint="eastAsia" w:ascii="宋体" w:hAnsi="宋体" w:eastAsia="宋体" w:cs="宋体"/>
          <w:color w:val="000000"/>
          <w:sz w:val="24"/>
          <w:szCs w:val="24"/>
          <w:highlight w:val="yellow"/>
          <w:lang w:eastAsia="zh-CN"/>
        </w:rPr>
        <w:t>）</w:t>
      </w:r>
    </w:p>
    <w:p w14:paraId="1773B432">
      <w:pPr>
        <w:pStyle w:val="4"/>
        <w:rPr>
          <w:rFonts w:hint="eastAsia" w:ascii="仿宋_GB2312" w:hAnsi="仿宋_GB2312" w:eastAsia="仿宋_GB2312" w:cs="仿宋_GB2312"/>
          <w:sz w:val="36"/>
          <w:szCs w:val="36"/>
        </w:rPr>
      </w:pPr>
      <w:bookmarkStart w:id="19" w:name="_Toc33266914"/>
      <w:bookmarkStart w:id="20" w:name="_Toc33266950"/>
      <w:bookmarkStart w:id="21" w:name="_Toc33267001"/>
      <w:bookmarkStart w:id="22" w:name="_Toc30534"/>
      <w:bookmarkStart w:id="23" w:name="_Toc33285487"/>
      <w:bookmarkStart w:id="24" w:name="_Toc33265653"/>
      <w:bookmarkStart w:id="25" w:name="_Toc33266627"/>
      <w:bookmarkStart w:id="26" w:name="_Toc33265752"/>
      <w:r>
        <w:rPr>
          <w:rFonts w:hint="eastAsia" w:ascii="仿宋_GB2312" w:hAnsi="仿宋_GB2312" w:eastAsia="仿宋_GB2312" w:cs="仿宋_GB2312"/>
          <w:sz w:val="36"/>
          <w:szCs w:val="36"/>
        </w:rPr>
        <w:t>六、评价原则</w:t>
      </w:r>
      <w:bookmarkEnd w:id="19"/>
      <w:bookmarkEnd w:id="20"/>
      <w:bookmarkEnd w:id="21"/>
      <w:bookmarkEnd w:id="22"/>
      <w:bookmarkEnd w:id="23"/>
      <w:bookmarkEnd w:id="24"/>
      <w:bookmarkEnd w:id="25"/>
      <w:bookmarkEnd w:id="26"/>
      <w:bookmarkStart w:id="27" w:name="_Toc395116633"/>
    </w:p>
    <w:bookmarkEnd w:id="27"/>
    <w:p w14:paraId="00D65947">
      <w:pPr>
        <w:adjustRightInd w:val="0"/>
        <w:snapToGrid w:val="0"/>
        <w:spacing w:line="360" w:lineRule="auto"/>
        <w:ind w:firstLine="480" w:firstLineChars="200"/>
        <w:rPr>
          <w:rFonts w:hint="eastAsia" w:ascii="仿宋_GB2312" w:hAnsi="仿宋_GB2312" w:eastAsia="仿宋_GB2312" w:cs="仿宋_GB2312"/>
          <w:sz w:val="24"/>
          <w:szCs w:val="24"/>
          <w:highlight w:val="green"/>
        </w:rPr>
      </w:pPr>
      <w:bookmarkStart w:id="28" w:name="_Toc33266951"/>
      <w:bookmarkStart w:id="29" w:name="_Toc33265654"/>
      <w:bookmarkStart w:id="30" w:name="_Toc33266628"/>
      <w:bookmarkStart w:id="31" w:name="_Toc33265753"/>
      <w:bookmarkStart w:id="32" w:name="_Toc33285489"/>
      <w:bookmarkStart w:id="33" w:name="_Toc33267002"/>
      <w:bookmarkStart w:id="34" w:name="_Toc33266915"/>
      <w:bookmarkStart w:id="35" w:name="_Toc395116634"/>
      <w:r>
        <w:rPr>
          <w:rFonts w:hint="eastAsia" w:ascii="仿宋_GB2312" w:hAnsi="仿宋_GB2312" w:eastAsia="仿宋_GB2312" w:cs="仿宋_GB2312"/>
          <w:sz w:val="24"/>
          <w:szCs w:val="24"/>
          <w:highlight w:val="green"/>
        </w:rPr>
        <w:t>本次招标采用技术标入围后，原则上综合评标法（详见附件14.评分标准）确定中标结果。本着公平、公正、公开的原则，在满足技术要求的前提下，选择综合评分最高确定中标人，对未中标单位不做任何解释。</w:t>
      </w:r>
    </w:p>
    <w:p w14:paraId="1AA777ED">
      <w:pPr>
        <w:adjustRightInd w:val="0"/>
        <w:snapToGrid w:val="0"/>
        <w:spacing w:line="360" w:lineRule="auto"/>
        <w:ind w:firstLine="480" w:firstLineChars="200"/>
        <w:rPr>
          <w:rFonts w:hint="eastAsia" w:ascii="仿宋_GB2312" w:hAnsi="仿宋_GB2312" w:eastAsia="仿宋_GB2312" w:cs="仿宋_GB2312"/>
          <w:sz w:val="24"/>
          <w:szCs w:val="24"/>
          <w:highlight w:val="green"/>
        </w:rPr>
      </w:pPr>
      <w:r>
        <w:rPr>
          <w:rFonts w:hint="eastAsia" w:ascii="仿宋_GB2312" w:hAnsi="仿宋_GB2312" w:eastAsia="仿宋_GB2312" w:cs="仿宋_GB2312"/>
          <w:sz w:val="24"/>
          <w:szCs w:val="24"/>
          <w:highlight w:val="green"/>
        </w:rPr>
        <w:t>商务条款相应确认→价格澄清→商务标评审；评审期间产生的商务价格澄清均由投标人在重汽e采通平台限时内完成提交；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bookmarkEnd w:id="28"/>
    <w:bookmarkEnd w:id="29"/>
    <w:bookmarkEnd w:id="30"/>
    <w:bookmarkEnd w:id="31"/>
    <w:bookmarkEnd w:id="32"/>
    <w:bookmarkEnd w:id="33"/>
    <w:bookmarkEnd w:id="34"/>
    <w:bookmarkEnd w:id="35"/>
    <w:p w14:paraId="4D26F970">
      <w:pPr>
        <w:pageBreakBefore w:val="0"/>
        <w:kinsoku/>
        <w:wordWrap/>
        <w:overflowPunct/>
        <w:topLinePunct w:val="0"/>
        <w:autoSpaceDE/>
        <w:autoSpaceDN/>
        <w:bidi w:val="0"/>
        <w:spacing w:line="360" w:lineRule="auto"/>
        <w:ind w:firstLine="480" w:firstLineChars="200"/>
        <w:rPr>
          <w:rFonts w:ascii="Calibri" w:hAnsi="Calibri" w:eastAsia="宋体" w:cs="Times New Roman"/>
          <w:color w:val="000000"/>
          <w:sz w:val="24"/>
          <w:szCs w:val="24"/>
        </w:rPr>
      </w:pPr>
      <w:bookmarkStart w:id="36" w:name="_Toc28416"/>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color w:val="000000"/>
          <w:sz w:val="24"/>
          <w:szCs w:val="24"/>
          <w:lang w:val="en-US" w:eastAsia="zh-CN"/>
        </w:rPr>
        <w:t>的</w:t>
      </w:r>
      <w:r>
        <w:rPr>
          <w:rFonts w:hint="eastAsia" w:ascii="宋体" w:hAnsi="宋体" w:eastAsia="宋体" w:cs="宋体"/>
          <w:color w:val="000000"/>
          <w:sz w:val="24"/>
          <w:szCs w:val="24"/>
        </w:rPr>
        <w:t>，则本次评标作废</w:t>
      </w:r>
      <w:r>
        <w:rPr>
          <w:rFonts w:hint="eastAsia" w:ascii="宋体" w:hAnsi="宋体" w:eastAsia="宋体" w:cs="宋体"/>
          <w:color w:val="000000"/>
          <w:sz w:val="24"/>
          <w:szCs w:val="24"/>
          <w:lang w:val="en-US" w:eastAsia="zh-CN"/>
        </w:rPr>
        <w:t>或</w:t>
      </w:r>
      <w:r>
        <w:rPr>
          <w:rFonts w:hint="eastAsia" w:ascii="宋体" w:hAnsi="宋体" w:eastAsia="宋体" w:cs="宋体"/>
          <w:color w:val="000000"/>
          <w:kern w:val="2"/>
          <w:sz w:val="24"/>
          <w:szCs w:val="24"/>
          <w:lang w:val="en-US" w:eastAsia="zh-CN"/>
        </w:rPr>
        <w:t>变更意向中标人</w:t>
      </w:r>
      <w:r>
        <w:rPr>
          <w:rFonts w:hint="eastAsia" w:ascii="宋体" w:hAnsi="宋体" w:eastAsia="宋体" w:cs="宋体"/>
          <w:color w:val="000000"/>
          <w:sz w:val="24"/>
          <w:szCs w:val="24"/>
          <w:lang w:eastAsia="zh-CN"/>
        </w:rPr>
        <w:t>。</w:t>
      </w:r>
    </w:p>
    <w:p w14:paraId="564CEDAB">
      <w:pPr>
        <w:pStyle w:val="4"/>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七、合同签订</w:t>
      </w:r>
      <w:bookmarkEnd w:id="36"/>
    </w:p>
    <w:p w14:paraId="4C6A240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5.合同以双方最终签署的版本为准。</w:t>
      </w:r>
    </w:p>
    <w:p w14:paraId="6301B6B7">
      <w:pPr>
        <w:pStyle w:val="4"/>
        <w:rPr>
          <w:rFonts w:hint="eastAsia" w:ascii="仿宋_GB2312" w:hAnsi="仿宋_GB2312" w:eastAsia="仿宋_GB2312" w:cs="仿宋_GB2312"/>
          <w:sz w:val="36"/>
          <w:szCs w:val="36"/>
        </w:rPr>
      </w:pPr>
      <w:bookmarkStart w:id="37" w:name="_Toc15650"/>
      <w:r>
        <w:rPr>
          <w:rFonts w:hint="eastAsia" w:ascii="仿宋_GB2312" w:hAnsi="仿宋_GB2312" w:eastAsia="仿宋_GB2312" w:cs="仿宋_GB2312"/>
          <w:sz w:val="36"/>
          <w:szCs w:val="36"/>
        </w:rPr>
        <w:t>八、废标及终止招标</w:t>
      </w:r>
      <w:bookmarkEnd w:id="37"/>
    </w:p>
    <w:p w14:paraId="7AA0D434">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（2）投标人在报价有效期内撤回投标；</w:t>
      </w:r>
    </w:p>
    <w:p w14:paraId="23586921">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（4）投标人以任何方式诋毁其他投标人；</w:t>
      </w:r>
    </w:p>
    <w:p w14:paraId="4519EA90">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（5）投标人串通投标；</w:t>
      </w:r>
    </w:p>
    <w:p w14:paraId="69F5A129">
      <w:pPr>
        <w:pStyle w:val="22"/>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（6）投标人被举报、检举，并经招标人查实无误的；</w:t>
      </w:r>
    </w:p>
    <w:p w14:paraId="6DB6412F">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（7）以他人名义投标或者以其他方式弄虚作假，骗取中标的；</w:t>
      </w:r>
    </w:p>
    <w:p w14:paraId="537C6395">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（8）投标人负责人为同一人或者存在控股、管理关系的不同单位；</w:t>
      </w:r>
    </w:p>
    <w:p w14:paraId="5AD1A875">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（9）有效投标不足三家；</w:t>
      </w:r>
    </w:p>
    <w:p w14:paraId="68B0E73D">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（10）未按要求填报商务报价资料，对招标开展造成较大影响；</w:t>
      </w:r>
    </w:p>
    <w:p w14:paraId="029AE952">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r>
        <w:rPr>
          <w:rFonts w:hint="eastAsia" w:ascii="仿宋_GB2312" w:hAnsi="仿宋_GB2312" w:eastAsia="仿宋_GB2312" w:cs="仿宋_GB2312"/>
          <w:sz w:val="24"/>
          <w:szCs w:val="24"/>
        </w:rPr>
        <w:t>1）未按照招标人规定的时间内在中国重汽e采通完成投标的；</w:t>
      </w:r>
    </w:p>
    <w:p w14:paraId="68D6A7AC">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（12）不同投标人的投标文件异常一致；</w:t>
      </w:r>
    </w:p>
    <w:p w14:paraId="3100248E">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（13）投标报价呈规律性差异的；</w:t>
      </w:r>
    </w:p>
    <w:p w14:paraId="433276E2">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（14）投标人报价均超过投标限价的；</w:t>
      </w:r>
    </w:p>
    <w:p w14:paraId="54A7386D">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（15）法律、法规规定的其他情况。</w:t>
      </w:r>
    </w:p>
    <w:p w14:paraId="664F2143">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2.出现下列情形之一，招标人有权否决所有投标人的投标，并终止招标。</w:t>
      </w:r>
    </w:p>
    <w:p w14:paraId="22EF68E6">
      <w:pPr>
        <w:spacing w:line="360" w:lineRule="auto"/>
        <w:ind w:right="2" w:firstLine="480" w:firstLineChars="200"/>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（1）符合条件的投标人或者对招标文件做实质响应的投标人不足三家的；</w:t>
      </w:r>
    </w:p>
    <w:p w14:paraId="1F0EB4F4">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（2）出现影响采购公正的违法、违规行为的；</w:t>
      </w:r>
    </w:p>
    <w:p w14:paraId="2C3C3ADF">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（3）评标委员会经评审，认为所有投标都不符合招标文件要求的；</w:t>
      </w:r>
    </w:p>
    <w:p w14:paraId="6093818C">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（4）因重大变故，采购任务取消的</w:t>
      </w:r>
      <w:bookmarkStart w:id="38" w:name="OLE_LINK28"/>
      <w:bookmarkStart w:id="39" w:name="OLE_LINK29"/>
      <w:bookmarkStart w:id="40" w:name="OLE_LINK27"/>
      <w:bookmarkStart w:id="41" w:name="OLE_LINK26"/>
      <w:bookmarkStart w:id="42" w:name="OLE_LINK25"/>
      <w:r>
        <w:rPr>
          <w:rFonts w:hint="eastAsia" w:ascii="仿宋_GB2312" w:hAnsi="仿宋_GB2312" w:eastAsia="仿宋_GB2312" w:cs="仿宋_GB2312"/>
          <w:bCs/>
          <w:sz w:val="24"/>
          <w:szCs w:val="24"/>
        </w:rPr>
        <w:t>；</w:t>
      </w:r>
      <w:bookmarkEnd w:id="38"/>
      <w:bookmarkEnd w:id="39"/>
      <w:bookmarkEnd w:id="40"/>
      <w:bookmarkEnd w:id="41"/>
      <w:bookmarkEnd w:id="42"/>
    </w:p>
    <w:p w14:paraId="648F6C45">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（5）投标人承诺同意由于招标人公司政策变化引起的随时终止项目的要求并承担由此带来的一切损失；</w:t>
      </w:r>
    </w:p>
    <w:p w14:paraId="4E067452">
      <w:pPr>
        <w:pStyle w:val="22"/>
        <w:spacing w:line="360"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（6）招标人认为其他应终止招标的情形。</w:t>
      </w:r>
    </w:p>
    <w:p w14:paraId="4AD0A6EA">
      <w:pPr>
        <w:spacing w:line="360" w:lineRule="auto"/>
        <w:ind w:right="2"/>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4"/>
        <w:rPr>
          <w:rFonts w:hint="eastAsia" w:ascii="仿宋_GB2312" w:hAnsi="仿宋_GB2312" w:eastAsia="仿宋_GB2312" w:cs="仿宋_GB2312"/>
          <w:sz w:val="36"/>
          <w:szCs w:val="36"/>
        </w:rPr>
      </w:pPr>
      <w:bookmarkStart w:id="43" w:name="_Toc14012"/>
      <w:r>
        <w:rPr>
          <w:rFonts w:hint="eastAsia" w:ascii="仿宋_GB2312" w:hAnsi="仿宋_GB2312" w:eastAsia="仿宋_GB2312" w:cs="仿宋_GB2312"/>
          <w:sz w:val="36"/>
          <w:szCs w:val="36"/>
        </w:rPr>
        <w:t>九、本次招标最终解释权归中国重汽集团济南动力有限公司。</w:t>
      </w:r>
      <w:bookmarkEnd w:id="43"/>
    </w:p>
    <w:p w14:paraId="7FDCBEEE">
      <w:pPr>
        <w:pStyle w:val="22"/>
        <w:spacing w:line="360" w:lineRule="auto"/>
        <w:jc w:val="center"/>
        <w:rPr>
          <w:rFonts w:hint="eastAsia" w:ascii="仿宋_GB2312" w:hAnsi="仿宋_GB2312" w:eastAsia="仿宋_GB2312" w:cs="仿宋_GB2312"/>
          <w:b/>
          <w:bCs/>
          <w:kern w:val="44"/>
          <w:sz w:val="24"/>
          <w:szCs w:val="24"/>
        </w:rPr>
        <w:sectPr>
          <w:footerReference r:id="rId7" w:type="default"/>
          <w:pgSz w:w="11907" w:h="16840"/>
          <w:pgMar w:top="1304" w:right="1418" w:bottom="1304" w:left="1418" w:header="724" w:footer="851" w:gutter="0"/>
          <w:cols w:space="720" w:num="1"/>
          <w:docGrid w:linePitch="290" w:charSpace="-3931"/>
        </w:sectPr>
      </w:pPr>
    </w:p>
    <w:p w14:paraId="3F4B4EEC">
      <w:pPr>
        <w:pStyle w:val="2"/>
        <w:rPr>
          <w:rFonts w:hint="eastAsia" w:ascii="仿宋_GB2312" w:hAnsi="仿宋_GB2312" w:eastAsia="仿宋_GB2312" w:cs="仿宋_GB2312"/>
          <w:sz w:val="44"/>
        </w:rPr>
      </w:pPr>
      <w:bookmarkStart w:id="44" w:name="_Toc31869"/>
      <w:bookmarkStart w:id="45" w:name="_Toc2363"/>
      <w:bookmarkStart w:id="46" w:name="_Toc21022"/>
      <w:bookmarkStart w:id="47" w:name="_Toc762"/>
      <w:bookmarkStart w:id="48" w:name="_Toc13479"/>
      <w:bookmarkStart w:id="49" w:name="_Toc13002"/>
      <w:r>
        <w:rPr>
          <w:rFonts w:hint="eastAsia" w:ascii="仿宋_GB2312" w:hAnsi="仿宋_GB2312" w:eastAsia="仿宋_GB2312" w:cs="仿宋_GB2312"/>
          <w:sz w:val="44"/>
        </w:rPr>
        <w:t>第三部分 投标文件编制</w:t>
      </w:r>
      <w:bookmarkEnd w:id="44"/>
      <w:bookmarkEnd w:id="45"/>
      <w:bookmarkEnd w:id="46"/>
      <w:bookmarkEnd w:id="47"/>
      <w:bookmarkEnd w:id="48"/>
      <w:bookmarkEnd w:id="49"/>
    </w:p>
    <w:p w14:paraId="59BD3B9E">
      <w:pPr>
        <w:pStyle w:val="4"/>
        <w:rPr>
          <w:rFonts w:hint="eastAsia" w:ascii="仿宋_GB2312" w:hAnsi="仿宋_GB2312" w:eastAsia="仿宋_GB2312" w:cs="仿宋_GB2312"/>
          <w:sz w:val="36"/>
          <w:szCs w:val="36"/>
        </w:rPr>
      </w:pPr>
      <w:bookmarkStart w:id="50" w:name="_Toc2771"/>
      <w:r>
        <w:rPr>
          <w:rFonts w:hint="eastAsia" w:ascii="仿宋_GB2312" w:hAnsi="仿宋_GB2312" w:eastAsia="仿宋_GB2312" w:cs="仿宋_GB2312"/>
          <w:sz w:val="36"/>
          <w:szCs w:val="36"/>
        </w:rPr>
        <w:t>一、投标文件的编制</w:t>
      </w:r>
      <w:bookmarkEnd w:id="50"/>
    </w:p>
    <w:p w14:paraId="04BD0A2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2.投标文件和与投标有关的所有文件均应使用中文。</w:t>
      </w:r>
    </w:p>
    <w:p w14:paraId="47AC909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3.除投标文件的技术规格中另有规定外，投标文件中所使用的计量单位应为中华人民共和国法定计量单位。</w:t>
      </w:r>
    </w:p>
    <w:p w14:paraId="17399894">
      <w:pPr>
        <w:pStyle w:val="4"/>
        <w:rPr>
          <w:rFonts w:hint="eastAsia" w:ascii="仿宋_GB2312" w:hAnsi="仿宋_GB2312" w:eastAsia="仿宋_GB2312" w:cs="仿宋_GB2312"/>
          <w:sz w:val="36"/>
          <w:szCs w:val="36"/>
        </w:rPr>
      </w:pPr>
      <w:bookmarkStart w:id="51" w:name="_Toc5592"/>
      <w:r>
        <w:rPr>
          <w:rFonts w:hint="eastAsia" w:ascii="仿宋_GB2312" w:hAnsi="仿宋_GB2312" w:eastAsia="仿宋_GB2312" w:cs="仿宋_GB2312"/>
          <w:sz w:val="36"/>
          <w:szCs w:val="36"/>
        </w:rPr>
        <w:t>二、投标文件资料</w:t>
      </w:r>
      <w:bookmarkEnd w:id="51"/>
    </w:p>
    <w:p w14:paraId="4767EB1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1.投标人所投标设备详细技术资料清单，在标书中列示说明；</w:t>
      </w:r>
    </w:p>
    <w:p w14:paraId="383A1E0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B、售后服务机构或网点（名称、地址、联系人、电话）。</w:t>
      </w:r>
    </w:p>
    <w:p w14:paraId="140C58D5">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D、日常维护保养及故障排除措施保证。</w:t>
      </w:r>
    </w:p>
    <w:p w14:paraId="54973A6D">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3.投标人关于包装、运输、检验、交付、安装、调试、培训等方案，均需在投标文件中列示说明。</w:t>
      </w:r>
    </w:p>
    <w:p w14:paraId="43893C99">
      <w:pPr>
        <w:pStyle w:val="4"/>
        <w:rPr>
          <w:rFonts w:hint="eastAsia" w:ascii="仿宋_GB2312" w:hAnsi="仿宋_GB2312" w:eastAsia="仿宋_GB2312" w:cs="仿宋_GB2312"/>
          <w:sz w:val="36"/>
          <w:szCs w:val="36"/>
        </w:rPr>
      </w:pPr>
      <w:bookmarkStart w:id="52" w:name="_Toc5199"/>
      <w:r>
        <w:rPr>
          <w:rFonts w:hint="eastAsia" w:ascii="仿宋_GB2312" w:hAnsi="仿宋_GB2312" w:eastAsia="仿宋_GB2312" w:cs="仿宋_GB2312"/>
          <w:sz w:val="36"/>
          <w:szCs w:val="36"/>
        </w:rPr>
        <w:t>三、投标文件的组成</w:t>
      </w:r>
      <w:bookmarkEnd w:id="52"/>
    </w:p>
    <w:p w14:paraId="0145979A">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sz w:val="24"/>
          <w:szCs w:val="24"/>
        </w:rPr>
        <w:t>本项目投标文件为</w:t>
      </w:r>
      <w:r>
        <w:rPr>
          <w:rFonts w:hint="eastAsia" w:ascii="仿宋_GB2312" w:hAnsi="仿宋_GB2312" w:eastAsia="仿宋_GB2312" w:cs="仿宋_GB2312"/>
          <w:b/>
          <w:sz w:val="24"/>
          <w:szCs w:val="24"/>
        </w:rPr>
        <w:t>电子版</w:t>
      </w:r>
      <w:r>
        <w:rPr>
          <w:rFonts w:hint="eastAsia" w:ascii="仿宋_GB2312" w:hAnsi="仿宋_GB2312" w:eastAsia="仿宋_GB2312" w:cs="仿宋_GB2312"/>
          <w:bCs/>
          <w:sz w:val="24"/>
          <w:szCs w:val="24"/>
        </w:rPr>
        <w:t>投标文件（</w:t>
      </w:r>
      <w:r>
        <w:rPr>
          <w:rFonts w:hint="eastAsia" w:ascii="仿宋_GB2312" w:hAnsi="仿宋_GB2312" w:eastAsia="仿宋_GB2312" w:cs="仿宋_GB2312"/>
          <w:bCs/>
          <w:sz w:val="24"/>
          <w:szCs w:val="24"/>
          <w:highlight w:val="yellow"/>
        </w:rPr>
        <w:t>电子版投标文件为纸质盖章版的扫描件或加盖电子章，不盖章无效</w:t>
      </w:r>
      <w:r>
        <w:rPr>
          <w:rFonts w:hint="eastAsia" w:ascii="仿宋_GB2312" w:hAnsi="仿宋_GB2312" w:eastAsia="仿宋_GB2312" w:cs="仿宋_GB2312"/>
          <w:bCs/>
          <w:sz w:val="24"/>
          <w:szCs w:val="24"/>
        </w:rPr>
        <w:t>），均由</w:t>
      </w:r>
      <w:r>
        <w:rPr>
          <w:rFonts w:hint="eastAsia" w:ascii="仿宋_GB2312" w:hAnsi="仿宋_GB2312" w:eastAsia="仿宋_GB2312" w:cs="仿宋_GB2312"/>
          <w:b/>
          <w:sz w:val="24"/>
          <w:szCs w:val="24"/>
        </w:rPr>
        <w:t>《投标文件（资质标）》、《投标文件（技术标）》、《投标文件（商务标）》（开标一览表）</w:t>
      </w:r>
      <w:r>
        <w:rPr>
          <w:rFonts w:hint="eastAsia" w:ascii="仿宋_GB2312" w:hAnsi="仿宋_GB2312" w:eastAsia="仿宋_GB2312" w:cs="仿宋_GB2312"/>
          <w:bCs/>
          <w:sz w:val="24"/>
          <w:szCs w:val="24"/>
        </w:rPr>
        <w:t>文件组成，共计3</w:t>
      </w:r>
      <w:r>
        <w:rPr>
          <w:rFonts w:hint="eastAsia" w:ascii="仿宋_GB2312" w:hAnsi="仿宋_GB2312" w:eastAsia="仿宋_GB2312" w:cs="仿宋_GB2312"/>
          <w:bCs/>
          <w:color w:val="000000"/>
          <w:sz w:val="24"/>
          <w:szCs w:val="24"/>
        </w:rPr>
        <w:t>个文件。</w:t>
      </w:r>
    </w:p>
    <w:p w14:paraId="5FC29700">
      <w:pPr>
        <w:spacing w:line="360" w:lineRule="auto"/>
        <w:ind w:firstLine="482"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rPr>
        <w:t>投标文件的份数要求及投递方式</w:t>
      </w:r>
      <w:r>
        <w:rPr>
          <w:rFonts w:hint="eastAsia" w:ascii="仿宋_GB2312" w:hAnsi="仿宋_GB2312" w:eastAsia="仿宋_GB2312" w:cs="仿宋_GB2312"/>
          <w:bCs/>
          <w:color w:val="000000"/>
          <w:sz w:val="24"/>
          <w:szCs w:val="24"/>
        </w:rPr>
        <w:t>，见《投标须知前附表》第3条。</w:t>
      </w:r>
    </w:p>
    <w:p w14:paraId="153F60D2">
      <w:pPr>
        <w:spacing w:line="360" w:lineRule="auto"/>
        <w:ind w:firstLine="480" w:firstLineChars="200"/>
        <w:rPr>
          <w:rFonts w:hint="eastAsia" w:ascii="仿宋_GB2312" w:hAnsi="仿宋_GB2312" w:eastAsia="仿宋_GB2312" w:cs="仿宋_GB2312"/>
          <w:bCs/>
          <w:color w:val="000000"/>
          <w:sz w:val="24"/>
          <w:szCs w:val="24"/>
        </w:rPr>
        <w:sectPr>
          <w:headerReference r:id="rId8" w:type="default"/>
          <w:footerReference r:id="rId9"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详见附件格式1—13，其余未尽事宜请按各单位习惯制定即可。</w:t>
      </w:r>
    </w:p>
    <w:p w14:paraId="7B70F231">
      <w:pPr>
        <w:spacing w:line="360" w:lineRule="auto"/>
        <w:ind w:firstLine="482"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b/>
          <w:bCs/>
          <w:sz w:val="24"/>
          <w:szCs w:val="24"/>
        </w:rPr>
        <w:t>1.《投标文件（资质标）》包括</w:t>
      </w:r>
      <w:r>
        <w:rPr>
          <w:rFonts w:hint="eastAsia" w:ascii="仿宋_GB2312" w:hAnsi="仿宋_GB2312" w:eastAsia="仿宋_GB2312" w:cs="仿宋_GB2312"/>
          <w:color w:val="000000"/>
          <w:sz w:val="24"/>
          <w:szCs w:val="24"/>
        </w:rPr>
        <w:t>：</w:t>
      </w:r>
    </w:p>
    <w:p w14:paraId="0D2FDD2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1.1营业执照副本复印件（需加盖公章）；</w:t>
      </w:r>
    </w:p>
    <w:p w14:paraId="7FB05A8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1.2投标函（附件1）；</w:t>
      </w:r>
    </w:p>
    <w:p w14:paraId="699E4DE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1.3法定代表人授权书（附件2）；法定代表人参加投标的，提供法人身份证明文件即可；被授权人参加投标的，需提供法定代表人授权委托书</w:t>
      </w:r>
      <w:r>
        <w:rPr>
          <w:rFonts w:hint="eastAsia" w:ascii="仿宋_GB2312" w:hAnsi="仿宋_GB2312" w:eastAsia="仿宋_GB2312" w:cs="仿宋_GB2312"/>
          <w:b/>
          <w:color w:val="000000"/>
          <w:sz w:val="24"/>
          <w:szCs w:val="24"/>
        </w:rPr>
        <w:t>（含法人身份证和被授权人身份证正反面复印件）和</w:t>
      </w:r>
      <w:r>
        <w:rPr>
          <w:rFonts w:hint="eastAsia" w:ascii="仿宋_GB2312" w:hAnsi="仿宋_GB2312" w:eastAsia="仿宋_GB2312" w:cs="仿宋_GB2312"/>
          <w:sz w:val="24"/>
          <w:szCs w:val="24"/>
          <w:highlight w:val="yellow"/>
        </w:rPr>
        <w:t>被授权人</w:t>
      </w:r>
      <w:r>
        <w:rPr>
          <w:rFonts w:hint="eastAsia" w:ascii="仿宋_GB2312" w:hAnsi="仿宋_GB2312" w:eastAsia="仿宋_GB2312" w:cs="仿宋_GB2312"/>
          <w:kern w:val="0"/>
          <w:sz w:val="24"/>
          <w:szCs w:val="24"/>
          <w:highlight w:val="yellow"/>
          <w:lang w:bidi="en-US"/>
        </w:rPr>
        <w:t>近6个月及以上在授权单位的社保缴纳证明</w:t>
      </w:r>
      <w:r>
        <w:rPr>
          <w:rFonts w:hint="eastAsia" w:ascii="仿宋_GB2312" w:hAnsi="仿宋_GB2312" w:eastAsia="仿宋_GB2312" w:cs="仿宋_GB2312"/>
          <w:b/>
          <w:color w:val="000000"/>
          <w:sz w:val="24"/>
          <w:szCs w:val="24"/>
        </w:rPr>
        <w:t>；</w:t>
      </w:r>
    </w:p>
    <w:p w14:paraId="57C4C80A">
      <w:pPr>
        <w:spacing w:line="360" w:lineRule="auto"/>
        <w:ind w:firstLine="480" w:firstLineChars="200"/>
        <w:rPr>
          <w:rFonts w:hint="eastAsia" w:ascii="仿宋_GB2312" w:hAnsi="仿宋_GB2312" w:eastAsia="仿宋_GB2312" w:cs="仿宋_GB2312"/>
          <w:b/>
          <w:color w:val="000000"/>
          <w:sz w:val="24"/>
          <w:szCs w:val="24"/>
          <w:highlight w:val="yellow"/>
        </w:rPr>
      </w:pPr>
      <w:r>
        <w:rPr>
          <w:rFonts w:hint="eastAsia" w:ascii="仿宋_GB2312" w:hAnsi="仿宋_GB2312" w:eastAsia="仿宋_GB2312" w:cs="仿宋_GB2312"/>
          <w:color w:val="000000"/>
          <w:sz w:val="24"/>
          <w:szCs w:val="24"/>
        </w:rPr>
        <w:t>1.4拟投标人应提</w:t>
      </w:r>
      <w:r>
        <w:rPr>
          <w:rFonts w:hint="eastAsia" w:ascii="仿宋_GB2312" w:hAnsi="仿宋_GB2312" w:eastAsia="仿宋_GB2312" w:cs="仿宋_GB2312"/>
          <w:color w:val="000000"/>
          <w:sz w:val="24"/>
          <w:szCs w:val="24"/>
          <w:highlight w:val="none"/>
        </w:rPr>
        <w:t>供2022年1月</w:t>
      </w:r>
      <w:r>
        <w:rPr>
          <w:rFonts w:hint="eastAsia" w:ascii="仿宋_GB2312" w:hAnsi="仿宋_GB2312" w:eastAsia="仿宋_GB2312" w:cs="仿宋_GB2312"/>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_GB2312" w:hAnsi="仿宋_GB2312" w:eastAsia="仿宋_GB2312" w:cs="仿宋_GB2312"/>
          <w:b/>
          <w:color w:val="000000"/>
          <w:sz w:val="24"/>
          <w:szCs w:val="24"/>
        </w:rPr>
        <w:t>；</w:t>
      </w:r>
    </w:p>
    <w:p w14:paraId="14CF3C4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1.6投标人在国家企业信用信息公示系统中无与本项目有关的行政处罚、经营异常和失信信息的声明；</w:t>
      </w:r>
      <w:r>
        <w:rPr>
          <w:rFonts w:hint="eastAsia" w:ascii="仿宋_GB2312" w:hAnsi="仿宋_GB2312" w:eastAsia="仿宋_GB2312" w:cs="仿宋_GB2312"/>
          <w:color w:val="000000"/>
          <w:sz w:val="24"/>
          <w:szCs w:val="24"/>
          <w:highlight w:val="yellow"/>
        </w:rPr>
        <w:t>（附投标当日系统内相关截图）</w:t>
      </w:r>
    </w:p>
    <w:p w14:paraId="68679F30">
      <w:pPr>
        <w:spacing w:line="360" w:lineRule="auto"/>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sz w:val="24"/>
          <w:szCs w:val="24"/>
        </w:rPr>
        <w:t>1.7</w:t>
      </w:r>
      <w:r>
        <w:rPr>
          <w:rFonts w:hint="eastAsia" w:ascii="仿宋_GB2312" w:hAnsi="仿宋_GB2312" w:eastAsia="仿宋_GB2312" w:cs="仿宋_GB2312"/>
          <w:sz w:val="24"/>
          <w:szCs w:val="24"/>
        </w:rPr>
        <w:t>企业对外担保说明</w:t>
      </w:r>
      <w:r>
        <w:rPr>
          <w:rFonts w:hint="eastAsia" w:ascii="仿宋_GB2312" w:hAnsi="仿宋_GB2312" w:eastAsia="仿宋_GB2312" w:cs="仿宋_GB2312"/>
          <w:sz w:val="24"/>
          <w:szCs w:val="24"/>
          <w:highlight w:val="yellow"/>
        </w:rPr>
        <w:t>（写明贵单位对外有无对外担保和质押业务，需加盖公章）</w:t>
      </w:r>
      <w:r>
        <w:rPr>
          <w:rFonts w:hint="eastAsia" w:ascii="仿宋_GB2312" w:hAnsi="仿宋_GB2312" w:eastAsia="仿宋_GB2312" w:cs="仿宋_GB2312"/>
          <w:color w:val="000000"/>
          <w:sz w:val="24"/>
          <w:szCs w:val="24"/>
        </w:rPr>
        <w:t>；</w:t>
      </w:r>
    </w:p>
    <w:p w14:paraId="17363AF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1.8企业信用证明材料</w:t>
      </w:r>
      <w:r>
        <w:rPr>
          <w:rFonts w:hint="eastAsia" w:ascii="仿宋_GB2312" w:hAnsi="仿宋_GB2312" w:eastAsia="仿宋_GB2312" w:cs="仿宋_GB2312"/>
          <w:color w:val="000000"/>
          <w:sz w:val="24"/>
          <w:szCs w:val="24"/>
          <w:highlight w:val="yellow"/>
        </w:rPr>
        <w:t>（征信报告）</w:t>
      </w:r>
      <w:r>
        <w:rPr>
          <w:rFonts w:hint="eastAsia" w:ascii="仿宋_GB2312" w:hAnsi="仿宋_GB2312" w:eastAsia="仿宋_GB2312" w:cs="仿宋_GB2312"/>
          <w:color w:val="000000"/>
          <w:sz w:val="24"/>
          <w:szCs w:val="24"/>
        </w:rPr>
        <w:t>；</w:t>
      </w:r>
    </w:p>
    <w:p w14:paraId="21FA0A1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1.9企业最近半年的完税证明，并附</w:t>
      </w:r>
      <w:r>
        <w:rPr>
          <w:rFonts w:hint="eastAsia" w:ascii="仿宋_GB2312" w:hAnsi="仿宋_GB2312" w:eastAsia="仿宋_GB2312" w:cs="仿宋_GB2312"/>
          <w:sz w:val="24"/>
          <w:szCs w:val="24"/>
        </w:rPr>
        <w:t>年度纳税信用评价信息（可从电子税务局查询截图，需加盖公章）</w:t>
      </w:r>
      <w:r>
        <w:rPr>
          <w:rFonts w:hint="eastAsia" w:ascii="仿宋_GB2312" w:hAnsi="仿宋_GB2312" w:eastAsia="仿宋_GB2312" w:cs="仿宋_GB2312"/>
          <w:color w:val="000000"/>
          <w:sz w:val="24"/>
          <w:szCs w:val="24"/>
        </w:rPr>
        <w:t>；</w:t>
      </w:r>
    </w:p>
    <w:p w14:paraId="433C4319">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1.10保密承诺函（附件4）；</w:t>
      </w:r>
    </w:p>
    <w:p w14:paraId="3B89D7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1.11 </w:t>
      </w:r>
      <w:r>
        <w:rPr>
          <w:rFonts w:hint="eastAsia" w:ascii="仿宋_GB2312" w:hAnsi="仿宋_GB2312" w:eastAsia="仿宋_GB2312" w:cs="仿宋_GB2312"/>
          <w:color w:val="000000"/>
          <w:sz w:val="24"/>
          <w:szCs w:val="24"/>
          <w:highlight w:val="none"/>
        </w:rPr>
        <w:t>202</w:t>
      </w: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年1月1日至</w:t>
      </w:r>
      <w:r>
        <w:rPr>
          <w:rFonts w:hint="eastAsia" w:ascii="仿宋_GB2312" w:hAnsi="仿宋_GB2312" w:eastAsia="仿宋_GB2312" w:cs="仿宋_GB2312"/>
          <w:color w:val="000000"/>
          <w:sz w:val="24"/>
          <w:szCs w:val="24"/>
        </w:rPr>
        <w:t>今，企业近三年同类项目业绩证明，</w:t>
      </w:r>
      <w:r>
        <w:rPr>
          <w:rFonts w:hint="eastAsia" w:ascii="仿宋_GB2312" w:hAnsi="仿宋_GB2312" w:eastAsia="仿宋_GB2312" w:cs="仿宋_GB2312"/>
          <w:sz w:val="24"/>
          <w:szCs w:val="24"/>
          <w:highlight w:val="yellow"/>
        </w:rPr>
        <w:t>须提供</w:t>
      </w:r>
      <w:r>
        <w:rPr>
          <w:rFonts w:hint="eastAsia" w:ascii="仿宋_GB2312" w:hAnsi="仿宋_GB2312" w:eastAsia="仿宋_GB2312" w:cs="仿宋_GB2312"/>
          <w:b/>
          <w:bCs/>
          <w:color w:val="000000"/>
          <w:kern w:val="0"/>
          <w:sz w:val="24"/>
          <w:szCs w:val="24"/>
          <w:highlight w:val="yellow"/>
        </w:rPr>
        <w:t>用户清单</w:t>
      </w:r>
      <w:r>
        <w:rPr>
          <w:rFonts w:hint="eastAsia" w:ascii="仿宋_GB2312" w:hAnsi="仿宋_GB2312" w:eastAsia="仿宋_GB2312" w:cs="仿宋_GB2312"/>
          <w:sz w:val="24"/>
          <w:szCs w:val="24"/>
          <w:highlight w:val="yellow"/>
        </w:rPr>
        <w:t>、采购合同复印件</w:t>
      </w:r>
      <w:r>
        <w:rPr>
          <w:rFonts w:hint="eastAsia" w:ascii="仿宋_GB2312" w:hAnsi="仿宋_GB2312" w:eastAsia="仿宋_GB2312" w:cs="仿宋_GB2312"/>
          <w:color w:val="000000"/>
          <w:sz w:val="24"/>
          <w:szCs w:val="24"/>
        </w:rPr>
        <w:t>；</w:t>
      </w:r>
    </w:p>
    <w:p w14:paraId="3E1D0BA3">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1.12投标保证金缴纳凭证，同时</w:t>
      </w:r>
      <w:r>
        <w:rPr>
          <w:rFonts w:hint="eastAsia" w:ascii="仿宋_GB2312" w:hAnsi="仿宋_GB2312" w:eastAsia="仿宋_GB2312" w:cs="仿宋_GB2312"/>
          <w:color w:val="000000"/>
          <w:sz w:val="24"/>
          <w:szCs w:val="24"/>
          <w:highlight w:val="yellow"/>
        </w:rPr>
        <w:t>正文描述付款账号、户名、开户行名称、开户行行号、保证金金额</w:t>
      </w:r>
      <w:r>
        <w:rPr>
          <w:rFonts w:hint="eastAsia" w:ascii="仿宋_GB2312" w:hAnsi="仿宋_GB2312" w:eastAsia="仿宋_GB2312" w:cs="仿宋_GB2312"/>
          <w:color w:val="000000"/>
          <w:sz w:val="24"/>
          <w:szCs w:val="24"/>
        </w:rPr>
        <w:t>。</w:t>
      </w:r>
    </w:p>
    <w:p w14:paraId="5E2A857F">
      <w:pPr>
        <w:spacing w:line="360" w:lineRule="auto"/>
        <w:ind w:firstLine="482" w:firstLineChars="200"/>
        <w:rPr>
          <w:rFonts w:hint="eastAsia" w:ascii="仿宋_GB2312" w:hAnsi="仿宋_GB2312" w:eastAsia="仿宋_GB2312" w:cs="仿宋_GB2312"/>
          <w:b/>
          <w:bCs/>
          <w:sz w:val="24"/>
          <w:szCs w:val="24"/>
        </w:rPr>
      </w:pPr>
      <w:bookmarkStart w:id="53" w:name="_Toc212369515"/>
      <w:r>
        <w:rPr>
          <w:rFonts w:hint="eastAsia" w:ascii="仿宋_GB2312" w:hAnsi="仿宋_GB2312" w:eastAsia="仿宋_GB2312" w:cs="仿宋_GB2312"/>
          <w:b/>
          <w:bCs/>
          <w:sz w:val="24"/>
          <w:szCs w:val="24"/>
        </w:rPr>
        <w:t>2.</w:t>
      </w:r>
      <w:r>
        <w:rPr>
          <w:rFonts w:hint="eastAsia" w:ascii="仿宋_GB2312" w:hAnsi="仿宋_GB2312" w:eastAsia="仿宋_GB2312" w:cs="仿宋_GB2312"/>
          <w:b/>
          <w:sz w:val="24"/>
          <w:szCs w:val="24"/>
        </w:rPr>
        <w:t>《投标文件（技术标）》</w:t>
      </w:r>
      <w:r>
        <w:rPr>
          <w:rFonts w:hint="eastAsia" w:ascii="仿宋_GB2312" w:hAnsi="仿宋_GB2312" w:eastAsia="仿宋_GB2312" w:cs="仿宋_GB2312"/>
          <w:b/>
          <w:bCs/>
          <w:sz w:val="24"/>
          <w:szCs w:val="24"/>
        </w:rPr>
        <w:t>：</w:t>
      </w:r>
      <w:bookmarkEnd w:id="53"/>
    </w:p>
    <w:p w14:paraId="6842CAA4">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2.1技术规格偏离表（附件5-1），</w:t>
      </w:r>
      <w:r>
        <w:rPr>
          <w:rFonts w:hint="eastAsia" w:ascii="仿宋_GB2312" w:hAnsi="仿宋_GB2312" w:eastAsia="仿宋_GB2312" w:cs="仿宋_GB2312"/>
          <w:b/>
          <w:color w:val="000000"/>
          <w:sz w:val="24"/>
          <w:szCs w:val="24"/>
        </w:rPr>
        <w:t>必须先进行两列要求一一对照，不允许直接写无偏离；</w:t>
      </w:r>
    </w:p>
    <w:p w14:paraId="25CBCA3D">
      <w:pPr>
        <w:spacing w:line="360" w:lineRule="auto"/>
        <w:ind w:firstLine="480" w:firstLineChars="200"/>
        <w:rPr>
          <w:rFonts w:hint="eastAsia" w:ascii="仿宋_GB2312" w:hAnsi="仿宋_GB2312" w:eastAsia="仿宋_GB2312" w:cs="仿宋_GB2312"/>
          <w:b/>
          <w:color w:val="000000"/>
          <w:sz w:val="24"/>
          <w:szCs w:val="24"/>
          <w:highlight w:val="yellow"/>
        </w:rPr>
      </w:pPr>
      <w:r>
        <w:rPr>
          <w:rFonts w:hint="eastAsia" w:ascii="仿宋_GB2312" w:hAnsi="仿宋_GB2312" w:eastAsia="仿宋_GB2312" w:cs="仿宋_GB2312"/>
          <w:bCs/>
          <w:color w:val="000000"/>
          <w:sz w:val="24"/>
          <w:szCs w:val="24"/>
        </w:rPr>
        <w:t>2.2</w:t>
      </w:r>
      <w:r>
        <w:rPr>
          <w:rFonts w:hint="eastAsia" w:ascii="仿宋_GB2312" w:hAnsi="仿宋_GB2312" w:eastAsia="仿宋_GB2312" w:cs="仿宋_GB2312"/>
          <w:color w:val="000000"/>
          <w:sz w:val="24"/>
          <w:szCs w:val="24"/>
          <w:highlight w:val="yellow"/>
        </w:rPr>
        <w:t>设备分项配置表（附件5-2），列明项目设备分项配置规格型号、品牌等信息（要求分项明细与附表9-1完全对应），但</w:t>
      </w:r>
      <w:r>
        <w:rPr>
          <w:rFonts w:hint="eastAsia" w:ascii="仿宋_GB2312" w:hAnsi="仿宋_GB2312" w:eastAsia="仿宋_GB2312" w:cs="仿宋_GB2312"/>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2.3提供202</w:t>
      </w: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年1月1日以来同类产品的制造销售业绩（附件6，用户名单、联系方式），并附合同复印件。该同类项目业绩一览表必</w:t>
      </w:r>
      <w:r>
        <w:rPr>
          <w:rFonts w:hint="eastAsia" w:ascii="仿宋_GB2312" w:hAnsi="仿宋_GB2312" w:eastAsia="仿宋_GB2312" w:cs="仿宋_GB2312"/>
          <w:b/>
          <w:bCs/>
          <w:color w:val="000000"/>
          <w:sz w:val="24"/>
          <w:szCs w:val="24"/>
        </w:rPr>
        <w:t>须如实填写，应全尽全</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b/>
          <w:bCs/>
          <w:color w:val="000000"/>
          <w:sz w:val="24"/>
          <w:szCs w:val="24"/>
        </w:rPr>
        <w:t>一览表最终的所有业绩合同总额汇总必填</w:t>
      </w:r>
      <w:r>
        <w:rPr>
          <w:rFonts w:hint="eastAsia" w:ascii="仿宋_GB2312" w:hAnsi="仿宋_GB2312" w:eastAsia="仿宋_GB2312" w:cs="仿宋_GB2312"/>
          <w:color w:val="000000"/>
          <w:sz w:val="24"/>
          <w:szCs w:val="24"/>
        </w:rPr>
        <w:t>，数据将影响现场评标专家组对投标单位的业绩考评；</w:t>
      </w:r>
    </w:p>
    <w:p w14:paraId="7A60DF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2.4供货期及保证措施；</w:t>
      </w:r>
    </w:p>
    <w:p w14:paraId="29A2FBB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2.5产品的技术服务和售后服务内容及措施；</w:t>
      </w:r>
    </w:p>
    <w:p w14:paraId="4696D18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2.6交货进度及计划；</w:t>
      </w:r>
    </w:p>
    <w:p w14:paraId="576F21EF">
      <w:pPr>
        <w:spacing w:line="360" w:lineRule="auto"/>
        <w:ind w:firstLine="480" w:firstLineChars="200"/>
        <w:rPr>
          <w:rFonts w:hint="eastAsia" w:ascii="仿宋_GB2312" w:hAnsi="仿宋_GB2312" w:eastAsia="仿宋_GB2312" w:cs="仿宋_GB2312"/>
          <w:color w:val="000000"/>
          <w:sz w:val="24"/>
          <w:szCs w:val="24"/>
        </w:rPr>
      </w:pPr>
      <w:bookmarkStart w:id="54" w:name="_Toc536542319"/>
      <w:r>
        <w:rPr>
          <w:rFonts w:hint="eastAsia" w:ascii="仿宋_GB2312" w:hAnsi="仿宋_GB2312" w:eastAsia="仿宋_GB2312" w:cs="仿宋_GB2312"/>
          <w:color w:val="000000"/>
          <w:sz w:val="24"/>
          <w:szCs w:val="24"/>
        </w:rPr>
        <w:t>2.7投标产品技术支持材料</w:t>
      </w:r>
      <w:bookmarkEnd w:id="54"/>
      <w:r>
        <w:rPr>
          <w:rFonts w:hint="eastAsia" w:ascii="仿宋_GB2312" w:hAnsi="仿宋_GB2312" w:eastAsia="仿宋_GB2312" w:cs="仿宋_GB2312"/>
          <w:color w:val="000000"/>
          <w:sz w:val="24"/>
          <w:szCs w:val="24"/>
        </w:rPr>
        <w:t>；</w:t>
      </w:r>
    </w:p>
    <w:p w14:paraId="03126610">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2.8设备质量承诺函（附件7）；</w:t>
      </w:r>
    </w:p>
    <w:p w14:paraId="01336F0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2.9投标人需提交的其它资料。</w:t>
      </w:r>
    </w:p>
    <w:p w14:paraId="070985E7">
      <w:pPr>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3.</w:t>
      </w:r>
      <w:r>
        <w:rPr>
          <w:rFonts w:hint="eastAsia" w:ascii="仿宋_GB2312" w:hAnsi="仿宋_GB2312" w:eastAsia="仿宋_GB2312" w:cs="仿宋_GB2312"/>
          <w:b/>
          <w:sz w:val="24"/>
          <w:szCs w:val="24"/>
        </w:rPr>
        <w:t>《投标文件（商务标）》（开标一览表）</w:t>
      </w:r>
      <w:r>
        <w:rPr>
          <w:rFonts w:hint="eastAsia" w:ascii="仿宋_GB2312" w:hAnsi="仿宋_GB2312" w:eastAsia="仿宋_GB2312" w:cs="仿宋_GB2312"/>
          <w:b/>
          <w:bCs/>
          <w:sz w:val="24"/>
          <w:szCs w:val="24"/>
        </w:rPr>
        <w:t>：</w:t>
      </w:r>
    </w:p>
    <w:p w14:paraId="293BA8E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3.1开标一览表（附件8）；</w:t>
      </w:r>
    </w:p>
    <w:p w14:paraId="217DB48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3.2投标报价明细表（附件9-1至9-5）</w:t>
      </w:r>
      <w:r>
        <w:rPr>
          <w:rFonts w:hint="eastAsia" w:ascii="仿宋_GB2312" w:hAnsi="仿宋_GB2312" w:eastAsia="仿宋_GB2312" w:cs="仿宋_GB2312"/>
          <w:b/>
          <w:color w:val="000000"/>
          <w:sz w:val="24"/>
          <w:szCs w:val="24"/>
        </w:rPr>
        <w:t>；</w:t>
      </w:r>
    </w:p>
    <w:p w14:paraId="3100C0D4">
      <w:pPr>
        <w:spacing w:line="360" w:lineRule="auto"/>
        <w:ind w:firstLine="480" w:firstLineChars="20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3.3商务条款偏离表（附件10）</w:t>
      </w:r>
      <w:bookmarkStart w:id="55" w:name="OLE_LINK18"/>
      <w:bookmarkStart w:id="56" w:name="OLE_LINK19"/>
      <w:r>
        <w:rPr>
          <w:rFonts w:hint="eastAsia" w:ascii="仿宋_GB2312" w:hAnsi="仿宋_GB2312" w:eastAsia="仿宋_GB2312" w:cs="仿宋_GB2312"/>
          <w:color w:val="000000"/>
          <w:sz w:val="24"/>
          <w:szCs w:val="24"/>
          <w:highlight w:val="green"/>
          <w:lang w:val="en-US" w:eastAsia="zh-CN"/>
        </w:rPr>
        <w:t>付款方式及比例不允许偏离</w:t>
      </w:r>
      <w:r>
        <w:rPr>
          <w:rFonts w:hint="eastAsia" w:ascii="仿宋_GB2312" w:hAnsi="仿宋_GB2312" w:eastAsia="仿宋_GB2312" w:cs="仿宋_GB2312"/>
          <w:b/>
          <w:color w:val="000000"/>
          <w:sz w:val="24"/>
          <w:szCs w:val="24"/>
        </w:rPr>
        <w:t>；</w:t>
      </w:r>
      <w:bookmarkEnd w:id="55"/>
      <w:bookmarkEnd w:id="56"/>
      <w:r>
        <w:rPr>
          <w:rFonts w:hint="eastAsia" w:ascii="仿宋_GB2312" w:hAnsi="仿宋_GB2312" w:eastAsia="仿宋_GB2312" w:cs="仿宋_GB2312"/>
          <w:color w:val="000000"/>
          <w:sz w:val="24"/>
          <w:szCs w:val="24"/>
        </w:rPr>
        <w:t xml:space="preserve"> </w:t>
      </w:r>
    </w:p>
    <w:p w14:paraId="5E0C108D">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3.4投标人承诺（附件11）</w:t>
      </w:r>
      <w:r>
        <w:rPr>
          <w:rFonts w:hint="eastAsia" w:ascii="仿宋_GB2312" w:hAnsi="仿宋_GB2312" w:eastAsia="仿宋_GB2312" w:cs="仿宋_GB2312"/>
          <w:b/>
          <w:color w:val="000000"/>
          <w:sz w:val="24"/>
          <w:szCs w:val="24"/>
        </w:rPr>
        <w:t>；</w:t>
      </w:r>
    </w:p>
    <w:p w14:paraId="67B4C7B8">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3.5服务承诺函（附件12），</w:t>
      </w:r>
      <w:r>
        <w:rPr>
          <w:rFonts w:hint="eastAsia" w:ascii="仿宋_GB2312" w:hAnsi="仿宋_GB2312" w:eastAsia="仿宋_GB2312" w:cs="仿宋_GB2312"/>
          <w:b/>
          <w:color w:val="000000"/>
          <w:sz w:val="24"/>
          <w:szCs w:val="24"/>
        </w:rPr>
        <w:t>需写明质保期以外服务费用情况</w:t>
      </w:r>
      <w:r>
        <w:rPr>
          <w:rFonts w:hint="eastAsia" w:ascii="仿宋_GB2312" w:hAnsi="仿宋_GB2312" w:eastAsia="仿宋_GB2312" w:cs="仿宋_GB2312"/>
          <w:color w:val="000000"/>
          <w:sz w:val="24"/>
          <w:szCs w:val="24"/>
        </w:rPr>
        <w:t>；</w:t>
      </w:r>
    </w:p>
    <w:p w14:paraId="38B152C9">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3.6按招标文件投标人须知和技术规格书中要求提供的有关文件。</w:t>
      </w:r>
    </w:p>
    <w:p w14:paraId="752921E5">
      <w:pPr>
        <w:pStyle w:val="4"/>
        <w:rPr>
          <w:rFonts w:hint="eastAsia" w:ascii="仿宋_GB2312" w:hAnsi="仿宋_GB2312" w:eastAsia="仿宋_GB2312" w:cs="仿宋_GB2312"/>
          <w:sz w:val="36"/>
          <w:szCs w:val="36"/>
        </w:rPr>
      </w:pPr>
      <w:bookmarkStart w:id="57" w:name="_Toc15748"/>
      <w:r>
        <w:rPr>
          <w:rFonts w:hint="eastAsia" w:ascii="仿宋_GB2312" w:hAnsi="仿宋_GB2312" w:eastAsia="仿宋_GB2312" w:cs="仿宋_GB2312"/>
          <w:sz w:val="36"/>
          <w:szCs w:val="36"/>
        </w:rPr>
        <w:t>四、投标文件格式</w:t>
      </w:r>
      <w:bookmarkEnd w:id="57"/>
    </w:p>
    <w:p w14:paraId="1F222E2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详见第六部分投标文件附件格式1—13，其余未尽事宜请按各单位习惯制定即可。</w:t>
      </w:r>
    </w:p>
    <w:p w14:paraId="24C877FC">
      <w:pPr>
        <w:spacing w:line="360" w:lineRule="auto"/>
        <w:ind w:firstLine="480" w:firstLineChars="200"/>
        <w:rPr>
          <w:rFonts w:hint="eastAsia" w:ascii="仿宋_GB2312" w:hAnsi="仿宋_GB2312" w:eastAsia="仿宋_GB2312" w:cs="仿宋_GB2312"/>
          <w:color w:val="000000"/>
          <w:sz w:val="24"/>
          <w:szCs w:val="24"/>
        </w:rPr>
      </w:pPr>
    </w:p>
    <w:p w14:paraId="32590795">
      <w:pPr>
        <w:pStyle w:val="22"/>
        <w:jc w:val="center"/>
        <w:rPr>
          <w:rFonts w:hint="eastAsia" w:ascii="仿宋_GB2312" w:hAnsi="仿宋_GB2312" w:eastAsia="仿宋_GB2312" w:cs="仿宋_GB2312"/>
          <w:b/>
          <w:bCs/>
          <w:kern w:val="44"/>
          <w:sz w:val="36"/>
          <w:szCs w:val="44"/>
        </w:rPr>
      </w:pPr>
    </w:p>
    <w:p w14:paraId="352D7DC1">
      <w:pPr>
        <w:pStyle w:val="22"/>
        <w:jc w:val="center"/>
        <w:rPr>
          <w:rFonts w:hint="eastAsia" w:ascii="仿宋_GB2312" w:hAnsi="仿宋_GB2312" w:eastAsia="仿宋_GB2312" w:cs="仿宋_GB2312"/>
          <w:b/>
          <w:bCs/>
          <w:kern w:val="44"/>
          <w:sz w:val="36"/>
          <w:szCs w:val="44"/>
        </w:rPr>
      </w:pPr>
    </w:p>
    <w:p w14:paraId="53A40971">
      <w:pPr>
        <w:pStyle w:val="22"/>
        <w:jc w:val="center"/>
        <w:rPr>
          <w:rFonts w:hint="eastAsia" w:ascii="仿宋_GB2312" w:hAnsi="仿宋_GB2312" w:eastAsia="仿宋_GB2312" w:cs="仿宋_GB2312"/>
          <w:b/>
          <w:bCs/>
          <w:kern w:val="44"/>
          <w:sz w:val="36"/>
          <w:szCs w:val="44"/>
        </w:rPr>
      </w:pPr>
    </w:p>
    <w:p w14:paraId="003FADB3">
      <w:pPr>
        <w:pStyle w:val="22"/>
        <w:jc w:val="center"/>
        <w:rPr>
          <w:rFonts w:hint="eastAsia" w:ascii="仿宋_GB2312" w:hAnsi="仿宋_GB2312" w:eastAsia="仿宋_GB2312" w:cs="仿宋_GB2312"/>
          <w:b/>
          <w:bCs/>
          <w:kern w:val="44"/>
          <w:sz w:val="36"/>
          <w:szCs w:val="44"/>
        </w:rPr>
      </w:pPr>
    </w:p>
    <w:p w14:paraId="5B0E452A">
      <w:pPr>
        <w:pStyle w:val="22"/>
        <w:jc w:val="center"/>
        <w:rPr>
          <w:rFonts w:hint="eastAsia" w:ascii="仿宋_GB2312" w:hAnsi="仿宋_GB2312" w:eastAsia="仿宋_GB2312" w:cs="仿宋_GB2312"/>
          <w:b/>
          <w:bCs/>
          <w:kern w:val="44"/>
          <w:sz w:val="36"/>
          <w:szCs w:val="44"/>
        </w:rPr>
      </w:pPr>
    </w:p>
    <w:p w14:paraId="241C224B">
      <w:pPr>
        <w:pStyle w:val="22"/>
        <w:jc w:val="center"/>
        <w:rPr>
          <w:rFonts w:hint="eastAsia" w:ascii="仿宋_GB2312" w:hAnsi="仿宋_GB2312" w:eastAsia="仿宋_GB2312" w:cs="仿宋_GB2312"/>
          <w:b/>
          <w:bCs/>
          <w:kern w:val="44"/>
          <w:sz w:val="36"/>
          <w:szCs w:val="44"/>
        </w:rPr>
      </w:pPr>
    </w:p>
    <w:p w14:paraId="1F11FEA3">
      <w:pPr>
        <w:pStyle w:val="22"/>
        <w:jc w:val="center"/>
        <w:rPr>
          <w:rFonts w:hint="eastAsia" w:ascii="仿宋_GB2312" w:hAnsi="仿宋_GB2312" w:eastAsia="仿宋_GB2312" w:cs="仿宋_GB2312"/>
          <w:b/>
          <w:bCs/>
          <w:kern w:val="44"/>
          <w:sz w:val="36"/>
          <w:szCs w:val="44"/>
        </w:rPr>
      </w:pPr>
    </w:p>
    <w:p w14:paraId="5BB21D02">
      <w:pPr>
        <w:pStyle w:val="22"/>
        <w:jc w:val="center"/>
        <w:rPr>
          <w:rFonts w:hint="eastAsia" w:ascii="仿宋_GB2312" w:hAnsi="仿宋_GB2312" w:eastAsia="仿宋_GB2312" w:cs="仿宋_GB2312"/>
          <w:b/>
          <w:bCs/>
          <w:kern w:val="44"/>
          <w:sz w:val="36"/>
          <w:szCs w:val="44"/>
        </w:rPr>
      </w:pPr>
    </w:p>
    <w:p w14:paraId="267A3056">
      <w:pPr>
        <w:bidi w:val="0"/>
        <w:rPr>
          <w:rFonts w:hint="eastAsia"/>
        </w:rPr>
      </w:pPr>
      <w:bookmarkStart w:id="58" w:name="_Toc6346"/>
      <w:bookmarkStart w:id="59" w:name="_Toc4029"/>
      <w:bookmarkStart w:id="60" w:name="_Toc20467"/>
      <w:bookmarkStart w:id="61" w:name="_Toc30738"/>
      <w:bookmarkStart w:id="62" w:name="_Toc12552"/>
      <w:bookmarkStart w:id="63" w:name="_Toc6957"/>
      <w:bookmarkStart w:id="64" w:name="_Toc7511"/>
      <w:bookmarkStart w:id="65" w:name="_Toc24964"/>
      <w:bookmarkStart w:id="66" w:name="_Toc28236"/>
      <w:bookmarkStart w:id="67" w:name="_Toc24913"/>
      <w:bookmarkStart w:id="68" w:name="_Toc133783966"/>
      <w:bookmarkStart w:id="69" w:name="_Toc12563"/>
      <w:bookmarkStart w:id="70" w:name="_Toc13988"/>
      <w:bookmarkStart w:id="71" w:name="_Toc11355"/>
      <w:bookmarkStart w:id="72" w:name="_Toc32378"/>
      <w:bookmarkStart w:id="73" w:name="_Toc7110"/>
      <w:bookmarkStart w:id="74" w:name="_Toc12714"/>
      <w:bookmarkStart w:id="75" w:name="_Toc1884"/>
      <w:bookmarkStart w:id="76" w:name="_Toc4194"/>
      <w:bookmarkStart w:id="77" w:name="_Toc20272"/>
      <w:bookmarkStart w:id="78" w:name="_Toc3372"/>
      <w:bookmarkStart w:id="79" w:name="_Toc3565"/>
      <w:bookmarkStart w:id="80" w:name="_Toc19672"/>
      <w:bookmarkStart w:id="81" w:name="_Toc8202"/>
      <w:bookmarkStart w:id="82" w:name="_Toc8032"/>
      <w:bookmarkStart w:id="83" w:name="_Toc22649"/>
      <w:bookmarkStart w:id="84" w:name="_Toc18606"/>
      <w:bookmarkStart w:id="85" w:name="_Toc13605"/>
      <w:bookmarkStart w:id="86" w:name="_Toc18805"/>
      <w:bookmarkStart w:id="87" w:name="_Toc4483"/>
      <w:bookmarkStart w:id="88" w:name="_Toc13555"/>
      <w:bookmarkStart w:id="89" w:name="_Toc14517"/>
      <w:bookmarkStart w:id="90" w:name="_Toc21497"/>
      <w:bookmarkStart w:id="91" w:name="_Toc23870"/>
      <w:bookmarkStart w:id="92" w:name="_Toc4532"/>
      <w:bookmarkStart w:id="93" w:name="_Toc13562"/>
      <w:bookmarkStart w:id="94" w:name="_Toc16358"/>
      <w:bookmarkStart w:id="95" w:name="_Toc18182"/>
    </w:p>
    <w:p w14:paraId="5228C0D2">
      <w:pPr>
        <w:pStyle w:val="2"/>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宋体" w:eastAsia="黑体"/>
          <w:sz w:val="44"/>
          <w:szCs w:val="44"/>
          <w:highlight w:val="none"/>
        </w:rPr>
      </w:pPr>
      <w:bookmarkStart w:id="96" w:name="_Toc10008"/>
      <w:r>
        <w:rPr>
          <w:rFonts w:hint="eastAsia" w:ascii="仿宋_GB2312" w:hAnsi="仿宋_GB2312" w:eastAsia="仿宋_GB2312" w:cs="仿宋_GB2312"/>
          <w:sz w:val="44"/>
          <w:highlight w:val="green"/>
        </w:rPr>
        <w:t>技术标书</w:t>
      </w:r>
      <w:bookmarkEnd w:id="96"/>
    </w:p>
    <w:p w14:paraId="74AC610D">
      <w:pPr>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ascii="黑体" w:hAnsi="宋体" w:eastAsia="黑体"/>
          <w:sz w:val="44"/>
          <w:szCs w:val="44"/>
        </w:rPr>
      </w:pPr>
      <w:r>
        <w:rPr>
          <w:rFonts w:hint="eastAsia" w:ascii="黑体" w:hAnsi="宋体" w:eastAsia="黑体"/>
          <w:sz w:val="44"/>
          <w:szCs w:val="44"/>
        </w:rPr>
        <w:t>项目名称：电机装配及测试装置</w:t>
      </w:r>
    </w:p>
    <w:p w14:paraId="0088D5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黑体" w:hAnsi="宋体" w:eastAsia="黑体"/>
          <w:color w:val="000000"/>
          <w:sz w:val="72"/>
          <w:szCs w:val="72"/>
        </w:rPr>
      </w:pPr>
    </w:p>
    <w:p w14:paraId="292B9FDA">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技</w:t>
      </w:r>
    </w:p>
    <w:p w14:paraId="18254216">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术</w:t>
      </w:r>
    </w:p>
    <w:p w14:paraId="3D7EBC91">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标</w:t>
      </w:r>
    </w:p>
    <w:p w14:paraId="399DE740">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书</w:t>
      </w:r>
    </w:p>
    <w:p w14:paraId="3C89E7EF">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rPr>
      </w:pPr>
    </w:p>
    <w:p w14:paraId="28C914A1">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Theme="minorEastAsia"/>
          <w:b w:val="0"/>
          <w:bCs/>
          <w:sz w:val="32"/>
          <w:szCs w:val="32"/>
          <w:lang w:val="en-US" w:eastAsia="zh-CN"/>
        </w:rPr>
      </w:pPr>
      <w:r>
        <w:rPr>
          <w:rFonts w:hint="eastAsia"/>
          <w:b/>
          <w:sz w:val="32"/>
          <w:szCs w:val="32"/>
        </w:rPr>
        <w:t>编      制</w:t>
      </w:r>
      <w:r>
        <w:rPr>
          <w:rFonts w:hint="eastAsia"/>
          <w:b/>
          <w:sz w:val="32"/>
          <w:szCs w:val="32"/>
          <w:lang w:eastAsia="zh-CN"/>
        </w:rPr>
        <w:t>：</w:t>
      </w:r>
      <w:r>
        <w:rPr>
          <w:rFonts w:hint="eastAsia"/>
          <w:b w:val="0"/>
          <w:bCs/>
          <w:sz w:val="32"/>
          <w:szCs w:val="32"/>
          <w:lang w:val="en-US" w:eastAsia="zh-CN"/>
        </w:rPr>
        <w:t>周子恒</w:t>
      </w:r>
    </w:p>
    <w:p w14:paraId="76A662F9">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Theme="minorEastAsia"/>
          <w:b/>
          <w:sz w:val="32"/>
          <w:szCs w:val="32"/>
          <w:lang w:val="en-US" w:eastAsia="zh-CN"/>
        </w:rPr>
      </w:pPr>
      <w:r>
        <w:rPr>
          <w:rFonts w:hint="eastAsia"/>
          <w:b/>
          <w:sz w:val="32"/>
          <w:szCs w:val="32"/>
          <w:lang w:val="en-US" w:eastAsia="zh-CN"/>
        </w:rPr>
        <w:t xml:space="preserve">        </w:t>
      </w:r>
      <w:r>
        <w:rPr>
          <w:rFonts w:hint="eastAsia"/>
          <w:b/>
          <w:sz w:val="32"/>
          <w:szCs w:val="32"/>
        </w:rPr>
        <w:t>校      对：</w:t>
      </w:r>
      <w:r>
        <w:rPr>
          <w:rFonts w:hint="eastAsia"/>
          <w:bCs/>
          <w:sz w:val="32"/>
          <w:szCs w:val="32"/>
          <w:lang w:val="en-US" w:eastAsia="zh-CN"/>
        </w:rPr>
        <w:t>崔毅刚</w:t>
      </w:r>
      <w:r>
        <w:rPr>
          <w:rFonts w:hint="eastAsia"/>
          <w:bCs/>
          <w:sz w:val="32"/>
          <w:szCs w:val="32"/>
          <w:lang w:eastAsia="zh-CN"/>
        </w:rPr>
        <w:t>、</w:t>
      </w:r>
      <w:r>
        <w:rPr>
          <w:rFonts w:hint="eastAsia"/>
          <w:bCs/>
          <w:sz w:val="32"/>
          <w:szCs w:val="32"/>
          <w:lang w:val="en-US" w:eastAsia="zh-CN"/>
        </w:rPr>
        <w:t>贾寿珂</w:t>
      </w:r>
    </w:p>
    <w:p w14:paraId="60C5FFE6">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Cs/>
          <w:sz w:val="32"/>
          <w:szCs w:val="32"/>
        </w:rPr>
      </w:pPr>
      <w:r>
        <w:rPr>
          <w:rFonts w:hint="eastAsia"/>
          <w:b/>
          <w:sz w:val="32"/>
          <w:szCs w:val="32"/>
        </w:rPr>
        <w:t>会      签：</w:t>
      </w:r>
      <w:r>
        <w:rPr>
          <w:rFonts w:hint="eastAsia"/>
          <w:bCs/>
          <w:sz w:val="32"/>
          <w:szCs w:val="32"/>
        </w:rPr>
        <w:t>王华平</w:t>
      </w:r>
    </w:p>
    <w:p w14:paraId="40EDC46A">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Cs/>
          <w:sz w:val="32"/>
          <w:szCs w:val="32"/>
        </w:rPr>
      </w:pPr>
      <w:r>
        <w:rPr>
          <w:rFonts w:hint="eastAsia"/>
          <w:b/>
          <w:sz w:val="32"/>
          <w:szCs w:val="32"/>
        </w:rPr>
        <w:t>审      核：</w:t>
      </w:r>
      <w:r>
        <w:rPr>
          <w:rFonts w:hint="eastAsia"/>
          <w:bCs/>
          <w:sz w:val="32"/>
          <w:szCs w:val="32"/>
        </w:rPr>
        <w:t>庄福河</w:t>
      </w:r>
    </w:p>
    <w:p w14:paraId="627ECC91">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rPr>
      </w:pPr>
      <w:r>
        <w:rPr>
          <w:rFonts w:hint="eastAsia"/>
          <w:b/>
          <w:sz w:val="32"/>
          <w:szCs w:val="32"/>
        </w:rPr>
        <w:t>批      准：</w:t>
      </w:r>
      <w:r>
        <w:rPr>
          <w:rFonts w:hint="eastAsia"/>
          <w:bCs/>
          <w:sz w:val="32"/>
          <w:szCs w:val="32"/>
        </w:rPr>
        <w:t>李成伍</w:t>
      </w:r>
    </w:p>
    <w:p w14:paraId="5010E65D">
      <w:pPr>
        <w:pStyle w:val="29"/>
        <w:rPr>
          <w:rFonts w:hint="eastAsia"/>
        </w:rPr>
      </w:pPr>
    </w:p>
    <w:p w14:paraId="6FC83D9C">
      <w:pPr>
        <w:ind w:left="0" w:leftChars="0" w:firstLine="0" w:firstLineChars="0"/>
        <w:rPr>
          <w:rFonts w:hint="eastAsia"/>
        </w:rPr>
      </w:pPr>
    </w:p>
    <w:p w14:paraId="065ED886">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26A5FDB5">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Calibri" w:hAnsi="Calibri"/>
          <w:color w:val="000000"/>
          <w:sz w:val="28"/>
          <w:szCs w:val="28"/>
        </w:rPr>
        <w:t>1</w:t>
      </w:r>
      <w:r>
        <w:rPr>
          <w:rFonts w:hint="eastAsia" w:ascii="Calibri" w:hAnsi="Calibri"/>
          <w:color w:val="000000"/>
          <w:sz w:val="28"/>
          <w:szCs w:val="28"/>
          <w:lang w:val="en-US" w:eastAsia="zh-CN"/>
        </w:rPr>
        <w:t>0</w:t>
      </w:r>
      <w:r>
        <w:rPr>
          <w:rFonts w:hint="eastAsia" w:ascii="Calibri" w:hAnsi="Calibri"/>
          <w:color w:val="000000"/>
          <w:sz w:val="28"/>
          <w:szCs w:val="28"/>
        </w:rPr>
        <w:t>月</w:t>
      </w:r>
    </w:p>
    <w:p w14:paraId="1B63D7C9">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4EBDE23B">
      <w:pPr>
        <w:ind w:firstLine="880"/>
        <w:rPr>
          <w:rFonts w:hint="eastAsia" w:ascii="黑体" w:hAnsi="宋体" w:eastAsia="黑体"/>
          <w:sz w:val="44"/>
          <w:szCs w:val="44"/>
        </w:rPr>
      </w:pPr>
    </w:p>
    <w:p w14:paraId="6B0E2DD3">
      <w:pPr>
        <w:spacing w:line="480" w:lineRule="exact"/>
        <w:jc w:val="center"/>
        <w:rPr>
          <w:rFonts w:hint="eastAsia" w:ascii="宋体" w:hAnsi="宋体"/>
          <w:sz w:val="40"/>
          <w:szCs w:val="40"/>
        </w:rPr>
      </w:pPr>
      <w:r>
        <w:rPr>
          <w:rFonts w:hint="eastAsia" w:ascii="黑体" w:hAnsi="宋体" w:eastAsia="黑体"/>
          <w:sz w:val="40"/>
          <w:szCs w:val="40"/>
        </w:rPr>
        <w:t>目        录</w:t>
      </w:r>
    </w:p>
    <w:p w14:paraId="625F0BE3">
      <w:pPr>
        <w:spacing w:line="480" w:lineRule="exact"/>
        <w:rPr>
          <w:rFonts w:hint="eastAsia" w:ascii="宋体" w:hAnsi="宋体"/>
        </w:rPr>
      </w:pPr>
    </w:p>
    <w:p w14:paraId="62910A0E">
      <w:pPr>
        <w:pStyle w:val="29"/>
        <w:tabs>
          <w:tab w:val="right" w:leader="dot" w:pos="8787"/>
        </w:tabs>
        <w:spacing w:line="480" w:lineRule="auto"/>
        <w:rPr>
          <w:sz w:val="28"/>
          <w:szCs w:val="28"/>
        </w:rPr>
      </w:pPr>
      <w:r>
        <w:rPr>
          <w:rFonts w:hint="eastAsia" w:ascii="宋体" w:hAnsi="宋体"/>
          <w:sz w:val="24"/>
          <w:szCs w:val="24"/>
        </w:rPr>
        <w:fldChar w:fldCharType="begin"/>
      </w:r>
      <w:r>
        <w:rPr>
          <w:rFonts w:hint="eastAsia" w:ascii="宋体" w:hAnsi="宋体"/>
          <w:sz w:val="24"/>
          <w:szCs w:val="24"/>
        </w:rPr>
        <w:instrText xml:space="preserve"> TOC \o "1-2" \h \z \u </w:instrText>
      </w:r>
      <w:r>
        <w:rPr>
          <w:rFonts w:hint="eastAsia" w:ascii="宋体" w:hAnsi="宋体"/>
          <w:sz w:val="24"/>
          <w:szCs w:val="24"/>
        </w:rPr>
        <w:fldChar w:fldCharType="separate"/>
      </w:r>
      <w:r>
        <w:rPr>
          <w:rFonts w:hint="eastAsia" w:ascii="宋体" w:hAnsi="宋体"/>
          <w:sz w:val="28"/>
          <w:szCs w:val="28"/>
        </w:rPr>
        <w:fldChar w:fldCharType="begin"/>
      </w:r>
      <w:r>
        <w:rPr>
          <w:rFonts w:hint="eastAsia" w:ascii="宋体" w:hAnsi="宋体"/>
          <w:sz w:val="28"/>
          <w:szCs w:val="28"/>
        </w:rPr>
        <w:instrText xml:space="preserve"> HYPERLINK \l _Toc2567 </w:instrText>
      </w:r>
      <w:r>
        <w:rPr>
          <w:rFonts w:hint="eastAsia" w:ascii="宋体" w:hAnsi="宋体"/>
          <w:sz w:val="28"/>
          <w:szCs w:val="28"/>
        </w:rPr>
        <w:fldChar w:fldCharType="separate"/>
      </w:r>
      <w:r>
        <w:rPr>
          <w:rFonts w:hint="eastAsia" w:ascii="黑体" w:eastAsia="黑体"/>
          <w:sz w:val="28"/>
          <w:szCs w:val="40"/>
        </w:rPr>
        <w:t>第一章  采购货物概况</w:t>
      </w:r>
      <w:r>
        <w:rPr>
          <w:sz w:val="28"/>
          <w:szCs w:val="28"/>
        </w:rPr>
        <w:tab/>
      </w:r>
      <w:r>
        <w:rPr>
          <w:sz w:val="28"/>
          <w:szCs w:val="28"/>
        </w:rPr>
        <w:fldChar w:fldCharType="begin"/>
      </w:r>
      <w:r>
        <w:rPr>
          <w:sz w:val="28"/>
          <w:szCs w:val="28"/>
        </w:rPr>
        <w:instrText xml:space="preserve"> PAGEREF _Toc2567 </w:instrText>
      </w:r>
      <w:r>
        <w:rPr>
          <w:sz w:val="28"/>
          <w:szCs w:val="28"/>
        </w:rPr>
        <w:fldChar w:fldCharType="separate"/>
      </w:r>
      <w:r>
        <w:rPr>
          <w:sz w:val="28"/>
          <w:szCs w:val="28"/>
        </w:rPr>
        <w:t>1</w:t>
      </w:r>
      <w:r>
        <w:rPr>
          <w:sz w:val="28"/>
          <w:szCs w:val="28"/>
        </w:rPr>
        <w:fldChar w:fldCharType="end"/>
      </w:r>
      <w:r>
        <w:rPr>
          <w:rFonts w:hint="eastAsia" w:ascii="宋体" w:hAnsi="宋体"/>
          <w:sz w:val="28"/>
          <w:szCs w:val="28"/>
        </w:rPr>
        <w:fldChar w:fldCharType="end"/>
      </w:r>
    </w:p>
    <w:p w14:paraId="61CB6501">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_Toc32262 </w:instrText>
      </w:r>
      <w:r>
        <w:rPr>
          <w:rFonts w:hint="eastAsia" w:ascii="宋体" w:hAnsi="宋体"/>
          <w:sz w:val="28"/>
          <w:szCs w:val="28"/>
        </w:rPr>
        <w:fldChar w:fldCharType="separate"/>
      </w:r>
      <w:r>
        <w:rPr>
          <w:rFonts w:hint="eastAsia" w:ascii="黑体" w:eastAsia="黑体"/>
          <w:sz w:val="28"/>
          <w:szCs w:val="40"/>
        </w:rPr>
        <w:t>第二章  技术要求</w:t>
      </w:r>
      <w:r>
        <w:rPr>
          <w:sz w:val="28"/>
          <w:szCs w:val="28"/>
        </w:rPr>
        <w:tab/>
      </w:r>
      <w:r>
        <w:rPr>
          <w:sz w:val="28"/>
          <w:szCs w:val="28"/>
        </w:rPr>
        <w:fldChar w:fldCharType="begin"/>
      </w:r>
      <w:r>
        <w:rPr>
          <w:sz w:val="28"/>
          <w:szCs w:val="28"/>
        </w:rPr>
        <w:instrText xml:space="preserve"> PAGEREF _Toc32262 </w:instrText>
      </w:r>
      <w:r>
        <w:rPr>
          <w:sz w:val="28"/>
          <w:szCs w:val="28"/>
        </w:rPr>
        <w:fldChar w:fldCharType="separate"/>
      </w:r>
      <w:r>
        <w:rPr>
          <w:sz w:val="28"/>
          <w:szCs w:val="28"/>
        </w:rPr>
        <w:t>3</w:t>
      </w:r>
      <w:r>
        <w:rPr>
          <w:sz w:val="28"/>
          <w:szCs w:val="28"/>
        </w:rPr>
        <w:fldChar w:fldCharType="end"/>
      </w:r>
      <w:r>
        <w:rPr>
          <w:rFonts w:hint="eastAsia" w:ascii="宋体" w:hAnsi="宋体"/>
          <w:sz w:val="28"/>
          <w:szCs w:val="28"/>
        </w:rPr>
        <w:fldChar w:fldCharType="end"/>
      </w:r>
    </w:p>
    <w:p w14:paraId="5966FF52">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_Toc10963 </w:instrText>
      </w:r>
      <w:r>
        <w:rPr>
          <w:rFonts w:hint="eastAsia" w:ascii="宋体" w:hAnsi="宋体"/>
          <w:sz w:val="28"/>
          <w:szCs w:val="28"/>
        </w:rPr>
        <w:fldChar w:fldCharType="separate"/>
      </w:r>
      <w:r>
        <w:rPr>
          <w:rFonts w:hint="eastAsia" w:ascii="黑体" w:eastAsia="黑体"/>
          <w:sz w:val="28"/>
          <w:szCs w:val="40"/>
        </w:rPr>
        <w:t>第三章  供货范围及供货方式</w:t>
      </w:r>
      <w:r>
        <w:rPr>
          <w:sz w:val="28"/>
          <w:szCs w:val="28"/>
        </w:rPr>
        <w:tab/>
      </w:r>
      <w:r>
        <w:rPr>
          <w:sz w:val="28"/>
          <w:szCs w:val="28"/>
        </w:rPr>
        <w:fldChar w:fldCharType="begin"/>
      </w:r>
      <w:r>
        <w:rPr>
          <w:sz w:val="28"/>
          <w:szCs w:val="28"/>
        </w:rPr>
        <w:instrText xml:space="preserve"> PAGEREF _Toc10963 </w:instrText>
      </w:r>
      <w:r>
        <w:rPr>
          <w:sz w:val="28"/>
          <w:szCs w:val="28"/>
        </w:rPr>
        <w:fldChar w:fldCharType="separate"/>
      </w:r>
      <w:r>
        <w:rPr>
          <w:sz w:val="28"/>
          <w:szCs w:val="28"/>
        </w:rPr>
        <w:t>11</w:t>
      </w:r>
      <w:r>
        <w:rPr>
          <w:sz w:val="28"/>
          <w:szCs w:val="28"/>
        </w:rPr>
        <w:fldChar w:fldCharType="end"/>
      </w:r>
      <w:r>
        <w:rPr>
          <w:rFonts w:hint="eastAsia" w:ascii="宋体" w:hAnsi="宋体"/>
          <w:sz w:val="28"/>
          <w:szCs w:val="28"/>
        </w:rPr>
        <w:fldChar w:fldCharType="end"/>
      </w:r>
    </w:p>
    <w:p w14:paraId="5B87F285">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_Toc30960 </w:instrText>
      </w:r>
      <w:r>
        <w:rPr>
          <w:rFonts w:hint="eastAsia" w:ascii="宋体" w:hAnsi="宋体"/>
          <w:sz w:val="28"/>
          <w:szCs w:val="28"/>
        </w:rPr>
        <w:fldChar w:fldCharType="separate"/>
      </w:r>
      <w:r>
        <w:rPr>
          <w:rFonts w:hint="eastAsia" w:ascii="黑体" w:eastAsia="黑体"/>
          <w:sz w:val="28"/>
          <w:szCs w:val="40"/>
        </w:rPr>
        <w:t>第四章  售中售后服务</w:t>
      </w:r>
      <w:r>
        <w:rPr>
          <w:sz w:val="28"/>
          <w:szCs w:val="28"/>
        </w:rPr>
        <w:tab/>
      </w:r>
      <w:r>
        <w:rPr>
          <w:sz w:val="28"/>
          <w:szCs w:val="28"/>
        </w:rPr>
        <w:fldChar w:fldCharType="begin"/>
      </w:r>
      <w:r>
        <w:rPr>
          <w:sz w:val="28"/>
          <w:szCs w:val="28"/>
        </w:rPr>
        <w:instrText xml:space="preserve"> PAGEREF _Toc30960 </w:instrText>
      </w:r>
      <w:r>
        <w:rPr>
          <w:sz w:val="28"/>
          <w:szCs w:val="28"/>
        </w:rPr>
        <w:fldChar w:fldCharType="separate"/>
      </w:r>
      <w:r>
        <w:rPr>
          <w:sz w:val="28"/>
          <w:szCs w:val="28"/>
        </w:rPr>
        <w:t>15</w:t>
      </w:r>
      <w:r>
        <w:rPr>
          <w:sz w:val="28"/>
          <w:szCs w:val="28"/>
        </w:rPr>
        <w:fldChar w:fldCharType="end"/>
      </w:r>
      <w:r>
        <w:rPr>
          <w:rFonts w:hint="eastAsia" w:ascii="宋体" w:hAnsi="宋体"/>
          <w:sz w:val="28"/>
          <w:szCs w:val="28"/>
        </w:rPr>
        <w:fldChar w:fldCharType="end"/>
      </w:r>
    </w:p>
    <w:p w14:paraId="14A54812">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_Toc21539 </w:instrText>
      </w:r>
      <w:r>
        <w:rPr>
          <w:rFonts w:hint="eastAsia" w:ascii="宋体" w:hAnsi="宋体"/>
          <w:sz w:val="28"/>
          <w:szCs w:val="28"/>
        </w:rPr>
        <w:fldChar w:fldCharType="separate"/>
      </w:r>
      <w:r>
        <w:rPr>
          <w:rFonts w:hint="eastAsia" w:ascii="黑体" w:eastAsia="黑体"/>
          <w:sz w:val="28"/>
          <w:szCs w:val="40"/>
        </w:rPr>
        <w:t>第五章  预验收和终验收</w:t>
      </w:r>
      <w:r>
        <w:rPr>
          <w:sz w:val="28"/>
          <w:szCs w:val="28"/>
        </w:rPr>
        <w:tab/>
      </w:r>
      <w:r>
        <w:rPr>
          <w:sz w:val="28"/>
          <w:szCs w:val="28"/>
        </w:rPr>
        <w:fldChar w:fldCharType="begin"/>
      </w:r>
      <w:r>
        <w:rPr>
          <w:sz w:val="28"/>
          <w:szCs w:val="28"/>
        </w:rPr>
        <w:instrText xml:space="preserve"> PAGEREF _Toc21539 </w:instrText>
      </w:r>
      <w:r>
        <w:rPr>
          <w:sz w:val="28"/>
          <w:szCs w:val="28"/>
        </w:rPr>
        <w:fldChar w:fldCharType="separate"/>
      </w:r>
      <w:r>
        <w:rPr>
          <w:sz w:val="28"/>
          <w:szCs w:val="28"/>
        </w:rPr>
        <w:t>18</w:t>
      </w:r>
      <w:r>
        <w:rPr>
          <w:sz w:val="28"/>
          <w:szCs w:val="28"/>
        </w:rPr>
        <w:fldChar w:fldCharType="end"/>
      </w:r>
      <w:r>
        <w:rPr>
          <w:rFonts w:hint="eastAsia" w:ascii="宋体" w:hAnsi="宋体"/>
          <w:sz w:val="28"/>
          <w:szCs w:val="28"/>
        </w:rPr>
        <w:fldChar w:fldCharType="end"/>
      </w:r>
    </w:p>
    <w:p w14:paraId="1ED6FCCE">
      <w:pPr>
        <w:pStyle w:val="29"/>
        <w:tabs>
          <w:tab w:val="right" w:leader="dot" w:pos="8787"/>
        </w:tabs>
        <w:spacing w:line="480" w:lineRule="auto"/>
        <w:rPr>
          <w:rFonts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HYPERLINK \l _Toc12996 </w:instrText>
      </w:r>
      <w:r>
        <w:rPr>
          <w:rFonts w:hint="eastAsia" w:ascii="宋体" w:hAnsi="宋体"/>
          <w:sz w:val="28"/>
          <w:szCs w:val="28"/>
        </w:rPr>
        <w:fldChar w:fldCharType="separate"/>
      </w:r>
      <w:r>
        <w:rPr>
          <w:rFonts w:hint="eastAsia" w:ascii="黑体" w:hAnsi="黑体" w:eastAsia="黑体" w:cs="黑体"/>
          <w:sz w:val="28"/>
          <w:szCs w:val="28"/>
        </w:rPr>
        <w:t>第六章  投标技术档一般要求</w:t>
      </w:r>
      <w:r>
        <w:rPr>
          <w:sz w:val="28"/>
          <w:szCs w:val="28"/>
        </w:rPr>
        <w:tab/>
      </w:r>
      <w:r>
        <w:rPr>
          <w:rFonts w:hint="eastAsia" w:ascii="宋体" w:hAnsi="宋体"/>
          <w:sz w:val="28"/>
          <w:szCs w:val="28"/>
        </w:rPr>
        <w:fldChar w:fldCharType="end"/>
      </w:r>
      <w:r>
        <w:rPr>
          <w:rFonts w:hint="eastAsia"/>
          <w:sz w:val="28"/>
          <w:szCs w:val="28"/>
        </w:rPr>
        <w:t>21</w:t>
      </w:r>
    </w:p>
    <w:p w14:paraId="0635E120">
      <w:pPr>
        <w:pStyle w:val="29"/>
        <w:tabs>
          <w:tab w:val="right" w:leader="dot" w:pos="8787"/>
        </w:tabs>
        <w:spacing w:line="480" w:lineRule="auto"/>
      </w:pPr>
      <w:r>
        <w:rPr>
          <w:rFonts w:hint="eastAsia" w:ascii="宋体" w:hAnsi="宋体"/>
          <w:sz w:val="28"/>
          <w:szCs w:val="28"/>
        </w:rPr>
        <w:fldChar w:fldCharType="begin"/>
      </w:r>
      <w:r>
        <w:rPr>
          <w:rFonts w:hint="eastAsia" w:ascii="宋体" w:hAnsi="宋体"/>
          <w:sz w:val="28"/>
          <w:szCs w:val="28"/>
        </w:rPr>
        <w:instrText xml:space="preserve"> HYPERLINK \l _Toc31849 </w:instrText>
      </w:r>
      <w:r>
        <w:rPr>
          <w:rFonts w:hint="eastAsia" w:ascii="宋体" w:hAnsi="宋体"/>
          <w:sz w:val="28"/>
          <w:szCs w:val="28"/>
        </w:rPr>
        <w:fldChar w:fldCharType="separate"/>
      </w:r>
      <w:r>
        <w:rPr>
          <w:rFonts w:hint="eastAsia" w:ascii="黑体" w:eastAsia="黑体"/>
          <w:sz w:val="28"/>
          <w:szCs w:val="40"/>
        </w:rPr>
        <w:t>第七章  其它要求及说明</w:t>
      </w:r>
      <w:r>
        <w:rPr>
          <w:sz w:val="28"/>
          <w:szCs w:val="28"/>
        </w:rPr>
        <w:tab/>
      </w:r>
      <w:r>
        <w:rPr>
          <w:sz w:val="28"/>
          <w:szCs w:val="28"/>
        </w:rPr>
        <w:fldChar w:fldCharType="begin"/>
      </w:r>
      <w:r>
        <w:rPr>
          <w:sz w:val="28"/>
          <w:szCs w:val="28"/>
        </w:rPr>
        <w:instrText xml:space="preserve"> PAGEREF _Toc31849 </w:instrText>
      </w:r>
      <w:r>
        <w:rPr>
          <w:sz w:val="28"/>
          <w:szCs w:val="28"/>
        </w:rPr>
        <w:fldChar w:fldCharType="separate"/>
      </w:r>
      <w:r>
        <w:rPr>
          <w:sz w:val="28"/>
          <w:szCs w:val="28"/>
        </w:rPr>
        <w:t>23</w:t>
      </w:r>
      <w:r>
        <w:rPr>
          <w:sz w:val="28"/>
          <w:szCs w:val="28"/>
        </w:rPr>
        <w:fldChar w:fldCharType="end"/>
      </w:r>
      <w:r>
        <w:rPr>
          <w:rFonts w:hint="eastAsia" w:ascii="宋体" w:hAnsi="宋体"/>
          <w:sz w:val="28"/>
          <w:szCs w:val="28"/>
        </w:rPr>
        <w:fldChar w:fldCharType="end"/>
      </w:r>
    </w:p>
    <w:p w14:paraId="2A701CD3">
      <w:pPr>
        <w:spacing w:line="480" w:lineRule="auto"/>
        <w:rPr>
          <w:rFonts w:hint="eastAsia" w:ascii="宋体" w:hAnsi="宋体"/>
        </w:rPr>
      </w:pPr>
      <w:r>
        <w:rPr>
          <w:rFonts w:hint="eastAsia" w:ascii="宋体" w:hAnsi="宋体"/>
        </w:rPr>
        <w:fldChar w:fldCharType="end"/>
      </w:r>
    </w:p>
    <w:p w14:paraId="09591257">
      <w:pPr>
        <w:spacing w:line="480" w:lineRule="exact"/>
        <w:ind w:firstLine="840" w:firstLineChars="400"/>
        <w:rPr>
          <w:rFonts w:hint="eastAsia" w:ascii="黑体" w:hAnsi="宋体" w:eastAsia="黑体"/>
        </w:rPr>
      </w:pPr>
    </w:p>
    <w:p w14:paraId="15A048B5">
      <w:pPr>
        <w:spacing w:line="480" w:lineRule="exact"/>
        <w:ind w:firstLine="840" w:firstLineChars="400"/>
        <w:rPr>
          <w:rFonts w:hint="eastAsia" w:ascii="黑体" w:hAnsi="宋体" w:eastAsia="黑体"/>
        </w:rPr>
      </w:pPr>
    </w:p>
    <w:p w14:paraId="7B08EFD0">
      <w:pPr>
        <w:spacing w:line="480" w:lineRule="exact"/>
        <w:ind w:firstLine="840" w:firstLineChars="400"/>
        <w:rPr>
          <w:rFonts w:ascii="黑体" w:hAnsi="宋体" w:eastAsia="黑体"/>
        </w:rPr>
        <w:sectPr>
          <w:headerReference r:id="rId10" w:type="default"/>
          <w:footerReference r:id="rId11" w:type="default"/>
          <w:pgSz w:w="11906" w:h="16838"/>
          <w:pgMar w:top="1417" w:right="1134" w:bottom="1134" w:left="1134" w:header="567" w:footer="680" w:gutter="0"/>
          <w:pgNumType w:start="1"/>
          <w:cols w:space="720" w:num="1"/>
          <w:docGrid w:type="lines" w:linePitch="312" w:charSpace="0"/>
        </w:sectPr>
      </w:pPr>
    </w:p>
    <w:p w14:paraId="459AA3D6">
      <w:pPr>
        <w:pStyle w:val="2"/>
        <w:spacing w:before="120" w:after="120" w:line="480" w:lineRule="exact"/>
        <w:jc w:val="center"/>
        <w:rPr>
          <w:rFonts w:hint="eastAsia" w:ascii="黑体" w:eastAsia="黑体"/>
          <w:b w:val="0"/>
          <w:sz w:val="32"/>
          <w:szCs w:val="32"/>
        </w:rPr>
      </w:pPr>
      <w:bookmarkStart w:id="97" w:name="_Toc2567"/>
      <w:bookmarkStart w:id="98" w:name="_Toc2894"/>
      <w:bookmarkStart w:id="99" w:name="_Toc1271"/>
      <w:bookmarkStart w:id="100" w:name="_Toc28854"/>
      <w:bookmarkStart w:id="101" w:name="_Toc137705865"/>
      <w:r>
        <w:rPr>
          <w:rFonts w:hint="eastAsia" w:ascii="黑体" w:eastAsia="黑体"/>
          <w:b w:val="0"/>
          <w:sz w:val="32"/>
          <w:szCs w:val="32"/>
        </w:rPr>
        <w:t>第一章  采购货物概况</w:t>
      </w:r>
      <w:bookmarkEnd w:id="97"/>
      <w:bookmarkEnd w:id="98"/>
      <w:bookmarkEnd w:id="99"/>
      <w:bookmarkEnd w:id="100"/>
      <w:bookmarkEnd w:id="101"/>
    </w:p>
    <w:p w14:paraId="1255EBDB">
      <w:pPr>
        <w:pStyle w:val="4"/>
        <w:spacing w:before="120" w:after="120" w:line="480" w:lineRule="exact"/>
        <w:jc w:val="center"/>
        <w:rPr>
          <w:rFonts w:hint="eastAsia"/>
          <w:b w:val="0"/>
        </w:rPr>
      </w:pPr>
      <w:bookmarkStart w:id="102" w:name="_Toc137705866"/>
      <w:bookmarkStart w:id="103" w:name="_Toc9247"/>
      <w:bookmarkStart w:id="104" w:name="_Toc13953"/>
      <w:bookmarkStart w:id="105" w:name="_Toc13530"/>
      <w:bookmarkStart w:id="106" w:name="_Toc24900"/>
      <w:r>
        <w:rPr>
          <w:rFonts w:hint="eastAsia"/>
          <w:b w:val="0"/>
        </w:rPr>
        <w:t>第一节  使用环境</w:t>
      </w:r>
      <w:bookmarkEnd w:id="102"/>
      <w:bookmarkEnd w:id="103"/>
      <w:bookmarkEnd w:id="104"/>
      <w:bookmarkEnd w:id="105"/>
      <w:bookmarkEnd w:id="106"/>
    </w:p>
    <w:p w14:paraId="05052F65">
      <w:pPr>
        <w:spacing w:line="480" w:lineRule="exact"/>
        <w:ind w:firstLine="420" w:firstLineChars="200"/>
        <w:rPr>
          <w:rFonts w:hint="eastAsia" w:ascii="黑体" w:hAnsi="宋体" w:eastAsia="黑体"/>
          <w:u w:val="single"/>
          <w:shd w:val="pct10" w:color="auto" w:fill="FFFFFF"/>
        </w:rPr>
      </w:pPr>
      <w:r>
        <w:rPr>
          <w:rFonts w:hint="eastAsia" w:ascii="黑体" w:hAnsi="宋体" w:eastAsia="黑体"/>
        </w:rPr>
        <w:t>一、项目名称：</w:t>
      </w:r>
      <w:r>
        <w:rPr>
          <w:rFonts w:hint="eastAsia" w:ascii="黑体" w:hAnsi="宋体" w:eastAsia="黑体"/>
          <w:u w:val="single"/>
          <w:shd w:val="pct10" w:color="auto" w:fill="FFFFFF"/>
        </w:rPr>
        <w:t xml:space="preserve"> 电机装配及测试装置</w:t>
      </w:r>
      <w:r>
        <w:rPr>
          <w:rFonts w:hint="eastAsia" w:ascii="宋体" w:hAnsi="宋体"/>
          <w:u w:val="single"/>
          <w:shd w:val="pct10" w:color="auto" w:fill="FFFFFF"/>
        </w:rPr>
        <w:t xml:space="preserve"> </w:t>
      </w:r>
    </w:p>
    <w:p w14:paraId="310076AA">
      <w:pPr>
        <w:spacing w:line="480" w:lineRule="exact"/>
        <w:ind w:firstLine="420" w:firstLineChars="200"/>
        <w:rPr>
          <w:rFonts w:hint="eastAsia" w:ascii="宋体" w:hAnsi="宋体"/>
        </w:rPr>
      </w:pPr>
      <w:r>
        <w:rPr>
          <w:rFonts w:hint="eastAsia" w:ascii="黑体" w:hAnsi="宋体" w:eastAsia="黑体"/>
        </w:rPr>
        <w:t>二、建设地点：</w:t>
      </w:r>
      <w:r>
        <w:rPr>
          <w:rFonts w:hint="eastAsia" w:ascii="宋体" w:hAnsi="宋体"/>
          <w:u w:val="single"/>
          <w:shd w:val="pct10" w:color="auto" w:fill="FFFFFF"/>
        </w:rPr>
        <w:t xml:space="preserve"> 章丘市圣井镇重汽工业园 </w:t>
      </w:r>
    </w:p>
    <w:p w14:paraId="280277CB">
      <w:pPr>
        <w:spacing w:line="480" w:lineRule="exact"/>
        <w:ind w:firstLine="420" w:firstLineChars="200"/>
        <w:rPr>
          <w:rFonts w:hint="eastAsia" w:ascii="宋体" w:hAnsi="宋体"/>
          <w:u w:val="single"/>
          <w:shd w:val="pct10" w:color="auto" w:fill="FFFFFF"/>
        </w:rPr>
      </w:pPr>
      <w:r>
        <w:rPr>
          <w:rFonts w:hint="eastAsia" w:ascii="黑体" w:hAnsi="宋体" w:eastAsia="黑体"/>
        </w:rPr>
        <w:t>三、使用地点：</w:t>
      </w:r>
      <w:r>
        <w:rPr>
          <w:rFonts w:hint="eastAsia" w:ascii="宋体" w:hAnsi="宋体"/>
          <w:u w:val="single"/>
          <w:shd w:val="pct10" w:color="auto" w:fill="FFFFFF"/>
        </w:rPr>
        <w:t xml:space="preserve"> 中国重汽集团济南发动机厂 </w:t>
      </w:r>
    </w:p>
    <w:p w14:paraId="52FA04D1">
      <w:pPr>
        <w:spacing w:line="480" w:lineRule="exact"/>
        <w:ind w:firstLine="420" w:firstLineChars="200"/>
        <w:rPr>
          <w:rFonts w:hint="eastAsia" w:ascii="宋体" w:hAnsi="宋体"/>
        </w:rPr>
      </w:pPr>
      <w:r>
        <w:rPr>
          <w:rFonts w:hint="eastAsia" w:ascii="黑体" w:hAnsi="宋体" w:eastAsia="黑体"/>
        </w:rPr>
        <w:t>四、工作制度：</w:t>
      </w:r>
      <w:r>
        <w:rPr>
          <w:rFonts w:hint="eastAsia" w:ascii="宋体" w:hAnsi="宋体"/>
        </w:rPr>
        <w:t>全年工作250天、</w:t>
      </w:r>
      <w:r>
        <w:rPr>
          <w:rFonts w:hint="eastAsia" w:ascii="宋体" w:hAnsi="宋体"/>
          <w:u w:val="single"/>
          <w:shd w:val="pct10" w:color="auto" w:fill="FFFFFF"/>
        </w:rPr>
        <w:t xml:space="preserve"> 3 </w:t>
      </w:r>
      <w:r>
        <w:rPr>
          <w:rFonts w:hint="eastAsia" w:ascii="宋体" w:hAnsi="宋体"/>
        </w:rPr>
        <w:t>班制、设备年时基数</w:t>
      </w:r>
      <w:r>
        <w:rPr>
          <w:rFonts w:hint="eastAsia" w:ascii="宋体" w:hAnsi="宋体"/>
          <w:u w:val="single"/>
          <w:shd w:val="pct10" w:color="auto" w:fill="FFFFFF"/>
        </w:rPr>
        <w:t xml:space="preserve"> 5000 </w:t>
      </w:r>
      <w:r>
        <w:rPr>
          <w:rFonts w:hint="eastAsia" w:ascii="宋体" w:hAnsi="宋体"/>
        </w:rPr>
        <w:t>小时</w:t>
      </w:r>
    </w:p>
    <w:p w14:paraId="2CCC3491">
      <w:pPr>
        <w:spacing w:line="480" w:lineRule="exact"/>
        <w:ind w:firstLine="420" w:firstLineChars="200"/>
        <w:rPr>
          <w:rFonts w:hint="eastAsia" w:ascii="黑体" w:hAnsi="宋体" w:eastAsia="黑体"/>
        </w:rPr>
      </w:pPr>
      <w:r>
        <w:rPr>
          <w:rFonts w:hint="eastAsia" w:ascii="黑体" w:hAnsi="宋体" w:eastAsia="黑体"/>
        </w:rPr>
        <w:t>五、使用地点区域自然环境：</w:t>
      </w:r>
    </w:p>
    <w:p w14:paraId="2C90745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1、海拨高度：1000m以下</w:t>
      </w:r>
    </w:p>
    <w:p w14:paraId="04BBFC9F">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2、环境温度：室外极端最低温度-19.7℃、极端最高温度42℃，昼夜最大温差25℃；室内温度5～40℃。</w:t>
      </w:r>
    </w:p>
    <w:p w14:paraId="3FDE8E6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3、相对湿度：年平均59%，最大95%、最小15%。</w:t>
      </w:r>
    </w:p>
    <w:p w14:paraId="7E10E1EA">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4、降雨量：日最大降雨量300mm、时最大降雨量100mm。</w:t>
      </w:r>
    </w:p>
    <w:p w14:paraId="3E5E8C1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5、最大风速：33.3m/s。</w:t>
      </w:r>
    </w:p>
    <w:p w14:paraId="190273C0">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6、最大积雪厚度：200mm。</w:t>
      </w:r>
    </w:p>
    <w:p w14:paraId="1AD769C1">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7、最大冻土深度：450mm。</w:t>
      </w:r>
    </w:p>
    <w:p w14:paraId="59DBF170">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8、地震设防裂度：七度。</w:t>
      </w:r>
    </w:p>
    <w:p w14:paraId="7198CA91">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9、混凝土基础：C35混凝土，地面厚度300mm，承重是3T/㎡</w:t>
      </w:r>
    </w:p>
    <w:p w14:paraId="76AF0749">
      <w:pPr>
        <w:spacing w:line="480" w:lineRule="exact"/>
        <w:ind w:firstLine="420" w:firstLineChars="200"/>
        <w:rPr>
          <w:rFonts w:hint="eastAsia" w:ascii="宋体" w:hAnsi="宋体"/>
        </w:rPr>
      </w:pPr>
      <w:r>
        <w:rPr>
          <w:rFonts w:hint="eastAsia" w:ascii="黑体" w:hAnsi="宋体" w:eastAsia="黑体"/>
        </w:rPr>
        <w:t>六、能源环境：</w:t>
      </w:r>
    </w:p>
    <w:p w14:paraId="3E860737">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宋体" w:hAnsi="宋体"/>
        </w:rPr>
        <w:t>1</w:t>
      </w:r>
      <w:r>
        <w:rPr>
          <w:rFonts w:hint="eastAsia" w:ascii="Times New Roman" w:hAnsi="Times New Roman" w:eastAsia="宋体" w:cs="Times New Roman"/>
          <w:sz w:val="21"/>
          <w:szCs w:val="21"/>
          <w:highlight w:val="none"/>
        </w:rPr>
        <w:t>、电力：中国制式，供电电压</w:t>
      </w:r>
      <w:r>
        <w:rPr>
          <w:rFonts w:ascii="Times New Roman" w:hAnsi="Times New Roman" w:eastAsia="宋体" w:cs="Times New Roman"/>
          <w:sz w:val="21"/>
          <w:szCs w:val="21"/>
          <w:highlight w:val="none"/>
        </w:rPr>
        <w:t>380V</w:t>
      </w:r>
      <w:r>
        <w:rPr>
          <w:rFonts w:hint="eastAsia" w:ascii="Times New Roman" w:hAnsi="Times New Roman" w:eastAsia="宋体" w:cs="Times New Roman"/>
          <w:sz w:val="21"/>
          <w:szCs w:val="21"/>
          <w:highlight w:val="none"/>
        </w:rPr>
        <w:t>±</w:t>
      </w:r>
      <w:r>
        <w:rPr>
          <w:rFonts w:ascii="Times New Roman" w:hAnsi="Times New Roman" w:eastAsia="宋体" w:cs="Times New Roman"/>
          <w:sz w:val="21"/>
          <w:szCs w:val="21"/>
          <w:highlight w:val="none"/>
        </w:rPr>
        <w:t>1</w:t>
      </w:r>
      <w:r>
        <w:rPr>
          <w:rFonts w:hint="eastAsia" w:ascii="Times New Roman" w:hAnsi="Times New Roman" w:eastAsia="宋体" w:cs="Times New Roman"/>
          <w:sz w:val="21"/>
          <w:szCs w:val="21"/>
          <w:highlight w:val="none"/>
        </w:rPr>
        <w:t>5</w:t>
      </w:r>
      <w:r>
        <w:rPr>
          <w:rFonts w:ascii="Times New Roman" w:hAnsi="Times New Roman" w:eastAsia="宋体" w:cs="Times New Roman"/>
          <w:sz w:val="21"/>
          <w:szCs w:val="21"/>
          <w:highlight w:val="none"/>
        </w:rPr>
        <w:t>%</w:t>
      </w:r>
      <w:r>
        <w:rPr>
          <w:rFonts w:hint="eastAsia" w:ascii="Times New Roman" w:hAnsi="Times New Roman" w:eastAsia="宋体" w:cs="Times New Roman"/>
          <w:sz w:val="21"/>
          <w:szCs w:val="21"/>
          <w:highlight w:val="none"/>
        </w:rPr>
        <w:t>/220V±</w:t>
      </w:r>
      <w:r>
        <w:rPr>
          <w:rFonts w:ascii="Times New Roman" w:hAnsi="Times New Roman" w:eastAsia="宋体" w:cs="Times New Roman"/>
          <w:sz w:val="21"/>
          <w:szCs w:val="21"/>
          <w:highlight w:val="none"/>
        </w:rPr>
        <w:t>1</w:t>
      </w:r>
      <w:r>
        <w:rPr>
          <w:rFonts w:hint="eastAsia" w:ascii="Times New Roman" w:hAnsi="Times New Roman" w:eastAsia="宋体" w:cs="Times New Roman"/>
          <w:sz w:val="21"/>
          <w:szCs w:val="21"/>
          <w:highlight w:val="none"/>
        </w:rPr>
        <w:t>5</w:t>
      </w:r>
      <w:r>
        <w:rPr>
          <w:rFonts w:ascii="Times New Roman" w:hAnsi="Times New Roman" w:eastAsia="宋体" w:cs="Times New Roman"/>
          <w:sz w:val="21"/>
          <w:szCs w:val="21"/>
          <w:highlight w:val="none"/>
        </w:rPr>
        <w:t>%</w:t>
      </w:r>
      <w:r>
        <w:rPr>
          <w:rFonts w:hint="eastAsia" w:ascii="Times New Roman" w:hAnsi="Times New Roman" w:eastAsia="宋体" w:cs="Times New Roman"/>
          <w:sz w:val="21"/>
          <w:szCs w:val="21"/>
          <w:highlight w:val="none"/>
        </w:rPr>
        <w:t>，供电频率</w:t>
      </w:r>
      <w:r>
        <w:rPr>
          <w:rFonts w:ascii="Times New Roman" w:hAnsi="Times New Roman" w:eastAsia="宋体" w:cs="Times New Roman"/>
          <w:sz w:val="21"/>
          <w:szCs w:val="21"/>
          <w:highlight w:val="none"/>
        </w:rPr>
        <w:t>50Hz</w:t>
      </w:r>
      <w:r>
        <w:rPr>
          <w:rFonts w:hint="eastAsia" w:ascii="Times New Roman" w:hAnsi="Times New Roman" w:eastAsia="宋体" w:cs="Times New Roman"/>
          <w:sz w:val="21"/>
          <w:szCs w:val="21"/>
          <w:highlight w:val="none"/>
        </w:rPr>
        <w:t>±</w:t>
      </w:r>
      <w:r>
        <w:rPr>
          <w:rFonts w:ascii="Times New Roman" w:hAnsi="Times New Roman" w:eastAsia="宋体" w:cs="Times New Roman"/>
          <w:sz w:val="21"/>
          <w:szCs w:val="21"/>
          <w:highlight w:val="none"/>
        </w:rPr>
        <w:t>2%</w:t>
      </w:r>
      <w:r>
        <w:rPr>
          <w:rFonts w:hint="eastAsia" w:ascii="Times New Roman" w:hAnsi="Times New Roman" w:eastAsia="宋体" w:cs="Times New Roman"/>
          <w:sz w:val="21"/>
          <w:szCs w:val="21"/>
          <w:highlight w:val="none"/>
        </w:rPr>
        <w:t>。</w:t>
      </w:r>
    </w:p>
    <w:p w14:paraId="7398E06B">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2、压缩空气：自备空压机自产压缩空气，</w:t>
      </w:r>
      <w:r>
        <w:rPr>
          <w:rFonts w:ascii="Times New Roman" w:hAnsi="Times New Roman" w:eastAsia="宋体" w:cs="Times New Roman"/>
          <w:sz w:val="21"/>
          <w:szCs w:val="21"/>
          <w:highlight w:val="none"/>
        </w:rPr>
        <w:t>0.</w:t>
      </w:r>
      <w:r>
        <w:rPr>
          <w:rFonts w:hint="eastAsia" w:ascii="Times New Roman" w:hAnsi="Times New Roman" w:eastAsia="宋体" w:cs="Times New Roman"/>
          <w:sz w:val="21"/>
          <w:szCs w:val="21"/>
          <w:highlight w:val="none"/>
        </w:rPr>
        <w:t>4～0.6</w:t>
      </w:r>
      <w:r>
        <w:rPr>
          <w:rFonts w:ascii="Times New Roman" w:hAnsi="Times New Roman" w:eastAsia="宋体" w:cs="Times New Roman"/>
          <w:sz w:val="21"/>
          <w:szCs w:val="21"/>
          <w:highlight w:val="none"/>
        </w:rPr>
        <w:t>M</w:t>
      </w:r>
      <w:r>
        <w:rPr>
          <w:rFonts w:hint="eastAsia" w:ascii="Times New Roman" w:hAnsi="Times New Roman" w:eastAsia="宋体" w:cs="Times New Roman"/>
          <w:sz w:val="21"/>
          <w:szCs w:val="21"/>
          <w:highlight w:val="none"/>
        </w:rPr>
        <w:t>P</w:t>
      </w:r>
      <w:r>
        <w:rPr>
          <w:rFonts w:ascii="Times New Roman" w:hAnsi="Times New Roman" w:eastAsia="宋体" w:cs="Times New Roman"/>
          <w:sz w:val="21"/>
          <w:szCs w:val="21"/>
          <w:highlight w:val="none"/>
        </w:rPr>
        <w:t>a</w:t>
      </w:r>
      <w:r>
        <w:rPr>
          <w:rFonts w:hint="eastAsia" w:ascii="Times New Roman" w:hAnsi="Times New Roman" w:eastAsia="宋体" w:cs="Times New Roman"/>
          <w:sz w:val="21"/>
          <w:szCs w:val="21"/>
          <w:highlight w:val="none"/>
        </w:rPr>
        <w:t>。</w:t>
      </w:r>
    </w:p>
    <w:p w14:paraId="41CE9397">
      <w:pPr>
        <w:spacing w:line="480" w:lineRule="exact"/>
        <w:ind w:firstLine="420" w:firstLineChars="200"/>
        <w:rPr>
          <w:rFonts w:hint="eastAsia" w:ascii="宋体" w:hAnsi="宋体"/>
        </w:rPr>
      </w:pPr>
    </w:p>
    <w:p w14:paraId="081C0B24">
      <w:pPr>
        <w:pStyle w:val="29"/>
        <w:rPr>
          <w:rFonts w:hint="eastAsia"/>
        </w:rPr>
      </w:pPr>
    </w:p>
    <w:p w14:paraId="462210CD">
      <w:pPr>
        <w:pStyle w:val="4"/>
        <w:spacing w:before="120" w:after="120" w:line="360" w:lineRule="auto"/>
        <w:jc w:val="center"/>
        <w:rPr>
          <w:rFonts w:hint="eastAsia"/>
          <w:b w:val="0"/>
        </w:rPr>
      </w:pPr>
      <w:bookmarkStart w:id="107" w:name="_Toc27088"/>
      <w:bookmarkStart w:id="108" w:name="_Toc13018"/>
      <w:bookmarkStart w:id="109" w:name="_Toc137705867"/>
      <w:bookmarkStart w:id="110" w:name="_Toc19068"/>
      <w:bookmarkStart w:id="111" w:name="_Toc9838"/>
      <w:r>
        <w:rPr>
          <w:rFonts w:hint="eastAsia"/>
          <w:b w:val="0"/>
        </w:rPr>
        <w:br w:type="page"/>
      </w:r>
      <w:r>
        <w:rPr>
          <w:rFonts w:hint="eastAsia"/>
          <w:b w:val="0"/>
        </w:rPr>
        <w:t>第二节  采购货物概况</w:t>
      </w:r>
      <w:bookmarkEnd w:id="107"/>
      <w:bookmarkEnd w:id="108"/>
      <w:bookmarkEnd w:id="109"/>
      <w:bookmarkEnd w:id="110"/>
      <w:bookmarkEnd w:id="111"/>
    </w:p>
    <w:p w14:paraId="0FD994B7">
      <w:pPr>
        <w:spacing w:line="360" w:lineRule="auto"/>
        <w:ind w:firstLine="420" w:firstLineChars="200"/>
        <w:rPr>
          <w:rFonts w:hint="eastAsia" w:ascii="宋体" w:hAnsi="宋体"/>
        </w:rPr>
      </w:pPr>
      <w:r>
        <w:rPr>
          <w:rFonts w:hint="eastAsia" w:ascii="黑体" w:hAnsi="宋体" w:eastAsia="黑体"/>
        </w:rPr>
        <w:t>一、货物名称：</w:t>
      </w:r>
      <w:r>
        <w:rPr>
          <w:rFonts w:hint="eastAsia" w:ascii="黑体" w:hAnsi="宋体" w:eastAsia="黑体"/>
          <w:u w:val="single"/>
        </w:rPr>
        <w:t xml:space="preserve">  </w:t>
      </w:r>
      <w:r>
        <w:rPr>
          <w:rFonts w:hint="eastAsia" w:eastAsia="黑体"/>
          <w:u w:val="single"/>
          <w:lang w:val="en-US" w:eastAsia="zh-CN"/>
        </w:rPr>
        <w:t>电机</w:t>
      </w:r>
      <w:r>
        <w:rPr>
          <w:rFonts w:hint="eastAsia"/>
          <w:u w:val="single"/>
        </w:rPr>
        <w:t xml:space="preserve">试制装置 </w:t>
      </w:r>
      <w:r>
        <w:rPr>
          <w:rFonts w:hint="eastAsia" w:ascii="宋体" w:hAnsi="宋体"/>
        </w:rPr>
        <w:t>（详见下表）</w:t>
      </w:r>
    </w:p>
    <w:p w14:paraId="77F0D746">
      <w:pPr>
        <w:spacing w:line="360" w:lineRule="auto"/>
        <w:ind w:firstLine="420" w:firstLineChars="200"/>
        <w:rPr>
          <w:rFonts w:hint="eastAsia" w:ascii="宋体" w:hAnsi="宋体"/>
        </w:rPr>
      </w:pPr>
      <w:r>
        <w:rPr>
          <w:rFonts w:hint="eastAsia" w:ascii="黑体" w:hAnsi="宋体" w:eastAsia="黑体"/>
        </w:rPr>
        <w:t>二、货物数量：</w:t>
      </w:r>
      <w:r>
        <w:rPr>
          <w:rFonts w:hint="eastAsia"/>
          <w:u w:val="single"/>
        </w:rPr>
        <w:t xml:space="preserve">  </w:t>
      </w:r>
      <w:r>
        <w:rPr>
          <w:rFonts w:hint="eastAsia"/>
          <w:u w:val="single"/>
          <w:lang w:val="en-US" w:eastAsia="zh-CN"/>
        </w:rPr>
        <w:t>5</w:t>
      </w:r>
      <w:r>
        <w:rPr>
          <w:rFonts w:hint="eastAsia"/>
          <w:u w:val="single"/>
        </w:rPr>
        <w:t xml:space="preserve">套  </w:t>
      </w:r>
      <w:r>
        <w:rPr>
          <w:rFonts w:hint="eastAsia" w:ascii="宋体" w:hAnsi="宋体"/>
        </w:rPr>
        <w:t>（详见下表）</w:t>
      </w:r>
    </w:p>
    <w:p w14:paraId="27B647EE">
      <w:pPr>
        <w:spacing w:line="360" w:lineRule="auto"/>
        <w:ind w:firstLine="420" w:firstLineChars="200"/>
        <w:rPr>
          <w:rFonts w:hint="eastAsia" w:ascii="宋体" w:hAnsi="宋体"/>
        </w:rPr>
      </w:pPr>
      <w:r>
        <w:rPr>
          <w:rFonts w:hint="eastAsia" w:ascii="黑体" w:hAnsi="宋体" w:eastAsia="黑体"/>
        </w:rPr>
        <w:t>三、分投分中：</w:t>
      </w:r>
      <w:r>
        <w:rPr>
          <w:rFonts w:hint="eastAsia" w:ascii="宋体" w:hAnsi="宋体" w:cs="宋体"/>
        </w:rPr>
        <w:t>不允许</w:t>
      </w:r>
      <w:r>
        <w:rPr>
          <w:rFonts w:hint="eastAsia" w:ascii="宋体" w:hAnsi="宋体"/>
        </w:rPr>
        <w:t>。</w:t>
      </w:r>
    </w:p>
    <w:p w14:paraId="0104578E">
      <w:pPr>
        <w:widowControl/>
        <w:jc w:val="center"/>
        <w:rPr>
          <w:rFonts w:ascii="宋体" w:hAnsi="宋体"/>
        </w:rPr>
      </w:pPr>
      <w:r>
        <w:rPr>
          <w:rFonts w:hint="eastAsia" w:ascii="宋体" w:hAnsi="宋体"/>
        </w:rPr>
        <w:t>采购货物主要构成一览表</w:t>
      </w:r>
    </w:p>
    <w:tbl>
      <w:tblPr>
        <w:tblStyle w:val="41"/>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72"/>
        <w:gridCol w:w="3152"/>
        <w:gridCol w:w="814"/>
        <w:gridCol w:w="2367"/>
        <w:gridCol w:w="1082"/>
        <w:gridCol w:w="914"/>
      </w:tblGrid>
      <w:tr w14:paraId="312B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424" w:type="pct"/>
            <w:noWrap w:val="0"/>
            <w:vAlign w:val="center"/>
          </w:tcPr>
          <w:p w14:paraId="2858E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序号</w:t>
            </w:r>
          </w:p>
        </w:tc>
        <w:tc>
          <w:tcPr>
            <w:tcW w:w="1731" w:type="pct"/>
            <w:noWrap w:val="0"/>
            <w:vAlign w:val="center"/>
          </w:tcPr>
          <w:p w14:paraId="73846B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设备名称</w:t>
            </w:r>
          </w:p>
        </w:tc>
        <w:tc>
          <w:tcPr>
            <w:tcW w:w="447" w:type="pct"/>
            <w:noWrap w:val="0"/>
            <w:vAlign w:val="center"/>
          </w:tcPr>
          <w:p w14:paraId="0FF21B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数量</w:t>
            </w:r>
          </w:p>
        </w:tc>
        <w:tc>
          <w:tcPr>
            <w:tcW w:w="1300" w:type="pct"/>
            <w:noWrap w:val="0"/>
            <w:vAlign w:val="center"/>
          </w:tcPr>
          <w:p w14:paraId="56ACEA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安装地点/服务对象</w:t>
            </w:r>
          </w:p>
        </w:tc>
        <w:tc>
          <w:tcPr>
            <w:tcW w:w="594" w:type="pct"/>
            <w:noWrap w:val="0"/>
            <w:vAlign w:val="center"/>
          </w:tcPr>
          <w:p w14:paraId="1408D9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供货方式</w:t>
            </w:r>
          </w:p>
        </w:tc>
        <w:tc>
          <w:tcPr>
            <w:tcW w:w="502" w:type="pct"/>
            <w:noWrap w:val="0"/>
            <w:vAlign w:val="center"/>
          </w:tcPr>
          <w:p w14:paraId="188BB3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备注</w:t>
            </w:r>
          </w:p>
        </w:tc>
      </w:tr>
      <w:tr w14:paraId="0EA5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40490B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1</w:t>
            </w:r>
          </w:p>
        </w:tc>
        <w:tc>
          <w:tcPr>
            <w:tcW w:w="1731" w:type="pct"/>
            <w:noWrap w:val="0"/>
            <w:vAlign w:val="center"/>
          </w:tcPr>
          <w:p w14:paraId="5B5A04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lang w:val="en-US" w:eastAsia="zh-CN"/>
              </w:rPr>
              <w:t>定子热套</w:t>
            </w:r>
            <w:r>
              <w:rPr>
                <w:rFonts w:hint="eastAsia" w:ascii="宋体" w:hAnsi="宋体" w:cs="宋体"/>
                <w:color w:val="000000"/>
              </w:rPr>
              <w:t>装置</w:t>
            </w:r>
          </w:p>
        </w:tc>
        <w:tc>
          <w:tcPr>
            <w:tcW w:w="447" w:type="pct"/>
            <w:noWrap w:val="0"/>
            <w:vAlign w:val="center"/>
          </w:tcPr>
          <w:p w14:paraId="0DB8F8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1套</w:t>
            </w:r>
          </w:p>
        </w:tc>
        <w:tc>
          <w:tcPr>
            <w:tcW w:w="1300" w:type="pct"/>
            <w:vMerge w:val="restart"/>
            <w:noWrap w:val="0"/>
            <w:vAlign w:val="center"/>
          </w:tcPr>
          <w:p w14:paraId="725A4E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济南发动机厂</w:t>
            </w:r>
          </w:p>
        </w:tc>
        <w:tc>
          <w:tcPr>
            <w:tcW w:w="594" w:type="pct"/>
            <w:vMerge w:val="restart"/>
            <w:noWrap w:val="0"/>
            <w:vAlign w:val="center"/>
          </w:tcPr>
          <w:p w14:paraId="0DD2C4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交钥匙</w:t>
            </w:r>
          </w:p>
        </w:tc>
        <w:tc>
          <w:tcPr>
            <w:tcW w:w="502" w:type="pct"/>
            <w:vMerge w:val="restart"/>
            <w:noWrap w:val="0"/>
            <w:vAlign w:val="center"/>
          </w:tcPr>
          <w:p w14:paraId="0F6B00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w:t>
            </w:r>
          </w:p>
        </w:tc>
      </w:tr>
      <w:tr w14:paraId="20CD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4A9ED6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2</w:t>
            </w:r>
          </w:p>
        </w:tc>
        <w:tc>
          <w:tcPr>
            <w:tcW w:w="1731" w:type="pct"/>
            <w:noWrap w:val="0"/>
            <w:vAlign w:val="center"/>
          </w:tcPr>
          <w:p w14:paraId="319CE9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val="en-US" w:eastAsia="zh-CN" w:bidi="ar"/>
              </w:rPr>
              <w:t>定转子合装</w:t>
            </w:r>
            <w:r>
              <w:rPr>
                <w:rFonts w:hint="eastAsia" w:ascii="宋体" w:hAnsi="宋体" w:cs="宋体"/>
                <w:color w:val="000000"/>
                <w:kern w:val="0"/>
                <w:lang w:bidi="ar"/>
              </w:rPr>
              <w:t>装置</w:t>
            </w:r>
          </w:p>
        </w:tc>
        <w:tc>
          <w:tcPr>
            <w:tcW w:w="447" w:type="pct"/>
            <w:noWrap w:val="0"/>
            <w:vAlign w:val="center"/>
          </w:tcPr>
          <w:p w14:paraId="1EE274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bidi="ar"/>
              </w:rPr>
              <w:t>1套</w:t>
            </w:r>
          </w:p>
        </w:tc>
        <w:tc>
          <w:tcPr>
            <w:tcW w:w="1300" w:type="pct"/>
            <w:vMerge w:val="continue"/>
            <w:noWrap w:val="0"/>
            <w:vAlign w:val="center"/>
          </w:tcPr>
          <w:p w14:paraId="32878C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D47A8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2ECC64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6F56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643E98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3</w:t>
            </w:r>
          </w:p>
        </w:tc>
        <w:tc>
          <w:tcPr>
            <w:tcW w:w="1731" w:type="pct"/>
            <w:noWrap w:val="0"/>
            <w:vAlign w:val="center"/>
          </w:tcPr>
          <w:p w14:paraId="6E796B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eastAsiaTheme="minorEastAsia"/>
                <w:color w:val="000000"/>
                <w:kern w:val="0"/>
                <w:lang w:val="en-US" w:eastAsia="zh-CN" w:bidi="ar"/>
              </w:rPr>
            </w:pPr>
            <w:r>
              <w:rPr>
                <w:rFonts w:hint="eastAsia" w:ascii="宋体" w:hAnsi="宋体" w:cs="宋体"/>
                <w:color w:val="000000"/>
                <w:kern w:val="0"/>
                <w:lang w:val="en-US" w:eastAsia="zh-CN" w:bidi="ar"/>
              </w:rPr>
              <w:t>伺服压装装置</w:t>
            </w:r>
          </w:p>
        </w:tc>
        <w:tc>
          <w:tcPr>
            <w:tcW w:w="447" w:type="pct"/>
            <w:noWrap w:val="0"/>
            <w:vAlign w:val="center"/>
          </w:tcPr>
          <w:p w14:paraId="33EB23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bidi="ar"/>
              </w:rPr>
              <w:t>1套</w:t>
            </w:r>
          </w:p>
        </w:tc>
        <w:tc>
          <w:tcPr>
            <w:tcW w:w="1300" w:type="pct"/>
            <w:vMerge w:val="continue"/>
            <w:noWrap w:val="0"/>
            <w:vAlign w:val="center"/>
          </w:tcPr>
          <w:p w14:paraId="1CCF5C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3329F7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547A80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1A52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73859F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4</w:t>
            </w:r>
          </w:p>
        </w:tc>
        <w:tc>
          <w:tcPr>
            <w:tcW w:w="1731" w:type="pct"/>
            <w:noWrap w:val="0"/>
            <w:vAlign w:val="center"/>
          </w:tcPr>
          <w:p w14:paraId="612BC5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eastAsiaTheme="minorEastAsia"/>
                <w:color w:val="000000"/>
                <w:kern w:val="0"/>
                <w:lang w:val="en-US" w:eastAsia="zh-CN" w:bidi="ar"/>
              </w:rPr>
            </w:pPr>
            <w:r>
              <w:rPr>
                <w:rFonts w:hint="eastAsia" w:ascii="宋体" w:hAnsi="宋体" w:cs="宋体"/>
                <w:color w:val="000000"/>
                <w:kern w:val="0"/>
                <w:lang w:val="en-US" w:eastAsia="zh-CN" w:bidi="ar"/>
              </w:rPr>
              <w:t>旋变调零装置</w:t>
            </w:r>
          </w:p>
        </w:tc>
        <w:tc>
          <w:tcPr>
            <w:tcW w:w="447" w:type="pct"/>
            <w:noWrap w:val="0"/>
            <w:vAlign w:val="center"/>
          </w:tcPr>
          <w:p w14:paraId="587E6A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val="en-US" w:eastAsia="zh-CN" w:bidi="ar"/>
              </w:rPr>
              <w:t>1</w:t>
            </w:r>
            <w:r>
              <w:rPr>
                <w:rFonts w:hint="eastAsia" w:ascii="宋体" w:hAnsi="宋体" w:cs="宋体"/>
                <w:color w:val="000000"/>
                <w:kern w:val="0"/>
                <w:lang w:bidi="ar"/>
              </w:rPr>
              <w:t>套</w:t>
            </w:r>
          </w:p>
        </w:tc>
        <w:tc>
          <w:tcPr>
            <w:tcW w:w="1300" w:type="pct"/>
            <w:vMerge w:val="continue"/>
            <w:noWrap w:val="0"/>
            <w:vAlign w:val="center"/>
          </w:tcPr>
          <w:p w14:paraId="2B8350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23D32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2B0E44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6D42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1E621E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000000"/>
                <w:kern w:val="0"/>
                <w:lang w:val="en-US" w:eastAsia="zh-CN" w:bidi="ar"/>
              </w:rPr>
            </w:pPr>
            <w:r>
              <w:rPr>
                <w:rFonts w:hint="eastAsia" w:ascii="宋体" w:hAnsi="宋体" w:cs="宋体"/>
                <w:color w:val="000000"/>
                <w:kern w:val="0"/>
                <w:lang w:val="en-US" w:eastAsia="zh-CN" w:bidi="ar"/>
              </w:rPr>
              <w:t>5</w:t>
            </w:r>
          </w:p>
        </w:tc>
        <w:tc>
          <w:tcPr>
            <w:tcW w:w="1731" w:type="pct"/>
            <w:noWrap w:val="0"/>
            <w:vAlign w:val="center"/>
          </w:tcPr>
          <w:p w14:paraId="6C7000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000000"/>
                <w:kern w:val="0"/>
                <w:lang w:val="en-US" w:eastAsia="zh-CN" w:bidi="ar"/>
              </w:rPr>
            </w:pPr>
            <w:r>
              <w:rPr>
                <w:rFonts w:hint="eastAsia" w:ascii="宋体" w:hAnsi="宋体" w:cs="宋体"/>
                <w:color w:val="000000"/>
                <w:kern w:val="0"/>
                <w:lang w:val="en-US" w:eastAsia="zh-CN" w:bidi="ar"/>
              </w:rPr>
              <w:t>电机综合测试</w:t>
            </w:r>
            <w:r>
              <w:rPr>
                <w:rFonts w:hint="eastAsia" w:ascii="宋体" w:hAnsi="宋体" w:cs="宋体"/>
                <w:color w:val="000000"/>
                <w:kern w:val="0"/>
                <w:lang w:bidi="ar"/>
              </w:rPr>
              <w:t>装置</w:t>
            </w:r>
          </w:p>
        </w:tc>
        <w:tc>
          <w:tcPr>
            <w:tcW w:w="447" w:type="pct"/>
            <w:noWrap w:val="0"/>
            <w:vAlign w:val="center"/>
          </w:tcPr>
          <w:p w14:paraId="515C07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val="en-US" w:eastAsia="zh-CN" w:bidi="ar"/>
              </w:rPr>
            </w:pPr>
            <w:r>
              <w:rPr>
                <w:rFonts w:hint="eastAsia" w:ascii="宋体" w:hAnsi="宋体" w:cs="宋体"/>
                <w:color w:val="000000"/>
                <w:kern w:val="0"/>
                <w:lang w:val="en-US" w:eastAsia="zh-CN" w:bidi="ar"/>
              </w:rPr>
              <w:t>1</w:t>
            </w:r>
            <w:r>
              <w:rPr>
                <w:rFonts w:hint="eastAsia" w:ascii="宋体" w:hAnsi="宋体" w:cs="宋体"/>
                <w:color w:val="000000"/>
                <w:kern w:val="0"/>
                <w:lang w:bidi="ar"/>
              </w:rPr>
              <w:t>套</w:t>
            </w:r>
          </w:p>
        </w:tc>
        <w:tc>
          <w:tcPr>
            <w:tcW w:w="1300" w:type="pct"/>
            <w:vMerge w:val="continue"/>
            <w:noWrap w:val="0"/>
            <w:vAlign w:val="center"/>
          </w:tcPr>
          <w:p w14:paraId="142C38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F3E1A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577CFE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bl>
    <w:p w14:paraId="3739146C">
      <w:pPr>
        <w:spacing w:line="480" w:lineRule="exact"/>
        <w:ind w:firstLine="420" w:firstLineChars="200"/>
      </w:pPr>
      <w:r>
        <w:t>备注：</w:t>
      </w:r>
      <w:bookmarkStart w:id="112" w:name="_Toc137705868"/>
    </w:p>
    <w:p w14:paraId="5DA406B0">
      <w:pPr>
        <w:ind w:firstLine="420" w:firstLineChars="200"/>
      </w:pPr>
      <w: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6E6F906">
      <w:pPr>
        <w:ind w:firstLine="420" w:firstLineChars="200"/>
      </w:pPr>
      <w:r>
        <w:t>②本表“供货方式”指：交钥匙方式——包括设计、制造、运输、</w:t>
      </w:r>
      <w:r>
        <w:rPr>
          <w:rFonts w:hint="eastAsia" w:ascii="宋体" w:hAnsi="宋体"/>
          <w:color w:val="000000"/>
        </w:rPr>
        <w:t>定点卸货、</w:t>
      </w:r>
      <w:r>
        <w:t>安装、调试和验收直到交付使用以及培训等。</w:t>
      </w:r>
    </w:p>
    <w:p w14:paraId="498688F6">
      <w:pPr>
        <w:pStyle w:val="29"/>
        <w:rPr>
          <w:sz w:val="24"/>
          <w:szCs w:val="24"/>
        </w:rPr>
      </w:pPr>
    </w:p>
    <w:p w14:paraId="4B9BA46B"/>
    <w:p w14:paraId="7EA17719">
      <w:pPr>
        <w:pStyle w:val="2"/>
        <w:shd w:val="clear" w:color="auto" w:fill="auto"/>
        <w:spacing w:before="120" w:after="120" w:line="578" w:lineRule="auto"/>
        <w:ind w:firstLine="0" w:firstLineChars="0"/>
        <w:jc w:val="center"/>
        <w:rPr>
          <w:rFonts w:hint="eastAsia" w:ascii="黑体" w:hAnsi="Times New Roman" w:eastAsia="黑体" w:cs="Times New Roman"/>
          <w:sz w:val="24"/>
          <w:szCs w:val="24"/>
          <w:highlight w:val="none"/>
        </w:rPr>
      </w:pPr>
      <w:bookmarkStart w:id="113" w:name="_Toc17328"/>
      <w:bookmarkStart w:id="114" w:name="_Toc32262"/>
      <w:r>
        <w:rPr>
          <w:rFonts w:hint="eastAsia" w:ascii="黑体" w:eastAsia="黑体"/>
          <w:sz w:val="32"/>
          <w:szCs w:val="32"/>
        </w:rPr>
        <w:br w:type="page"/>
      </w:r>
      <w:r>
        <w:rPr>
          <w:rFonts w:hint="eastAsia" w:ascii="黑体" w:hAnsi="Times New Roman" w:eastAsia="黑体" w:cs="Times New Roman"/>
          <w:sz w:val="24"/>
          <w:szCs w:val="24"/>
          <w:highlight w:val="none"/>
        </w:rPr>
        <w:t>第二章  技术要求</w:t>
      </w:r>
      <w:bookmarkEnd w:id="112"/>
      <w:bookmarkEnd w:id="113"/>
      <w:bookmarkEnd w:id="114"/>
    </w:p>
    <w:p w14:paraId="36AD83D0">
      <w:pPr>
        <w:spacing w:line="480" w:lineRule="exact"/>
        <w:rPr>
          <w:rFonts w:hint="eastAsia" w:ascii="黑体" w:hAnsi="宋体" w:eastAsia="黑体"/>
          <w:b/>
          <w:bCs/>
          <w:sz w:val="28"/>
          <w:szCs w:val="28"/>
        </w:rPr>
      </w:pPr>
      <w:r>
        <w:rPr>
          <w:rFonts w:hint="eastAsia" w:ascii="黑体" w:hAnsi="宋体" w:eastAsia="黑体"/>
          <w:b/>
          <w:bCs/>
          <w:sz w:val="28"/>
          <w:szCs w:val="28"/>
        </w:rPr>
        <w:t>一、特别提示</w:t>
      </w:r>
    </w:p>
    <w:p w14:paraId="3CDFEFE1">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1.本章技术要求，仅对功能、设计、结构、性能、安装和试验检验等方面，提出了最低和一般性的技术要求，并未对一切技术细节作出规定。</w:t>
      </w:r>
    </w:p>
    <w:p w14:paraId="3921C8AB">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2.本技术要求所使用的标准、规范等，如与投标人所执行的标准、规范不一致时，应按高于本技术要求所列的标准、规范执行。</w:t>
      </w:r>
    </w:p>
    <w:p w14:paraId="1436A8E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3.投标人认为所供货物必需由招标人配备、解决或提供的其它要求，如设备基础隔振和减振设施、软化水、洁净气源等，均应在投标文件“技术偏离”中予以充分说明。</w:t>
      </w:r>
    </w:p>
    <w:p w14:paraId="6C5ED07D">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人应根据招投标货物具体要求，提出对厂房、设备基础（或安装平台）、公用设施、消防、环保等超出招标文件、投标文件、答疑文件、技术交流文件、技术协议书和合同等规定的、有特殊需要的解释、说明和要求。</w:t>
      </w:r>
    </w:p>
    <w:p w14:paraId="46CCF50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5.无论是否有技术偏离，投标人均应在投标文件“技术偏离”中明确作出有无说明。若有异议，不管是多么微小，投标人必须予以明确和详细的说明或澄清。</w:t>
      </w:r>
    </w:p>
    <w:p w14:paraId="1377B41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6.为避免投标人优势在招标评审时漏项，质保期超出本技术标书要求的，应当在投标文件“技术偏离”中特别注明。</w:t>
      </w:r>
    </w:p>
    <w:p w14:paraId="12B1943C">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7.投标文件中，针对“特别提示”条款所做的回应，将作为投标人能否中标的重要依据之一。</w:t>
      </w:r>
    </w:p>
    <w:p w14:paraId="208AE6FC">
      <w:pPr>
        <w:spacing w:line="480" w:lineRule="exact"/>
        <w:rPr>
          <w:rFonts w:hint="eastAsia" w:ascii="黑体" w:hAnsi="宋体" w:eastAsia="黑体"/>
          <w:b/>
          <w:bCs/>
          <w:sz w:val="28"/>
          <w:szCs w:val="28"/>
        </w:rPr>
      </w:pPr>
      <w:r>
        <w:rPr>
          <w:rFonts w:hint="eastAsia" w:ascii="黑体" w:hAnsi="宋体" w:eastAsia="黑体"/>
          <w:b/>
          <w:bCs/>
          <w:sz w:val="28"/>
          <w:szCs w:val="28"/>
        </w:rPr>
        <w:t>二、基本要求</w:t>
      </w:r>
    </w:p>
    <w:p w14:paraId="457384F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1.投标方负责本项目相关的备配件等的运输、卸车，现场调试时的电、气、设备的连接工作，招标方只负责提供接口。</w:t>
      </w:r>
    </w:p>
    <w:p w14:paraId="0320C9F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2.投标方应自行设计设备，并负责相关备配件的运输、安装、调试等工作，不得将本项目转包给其他单位，并对该设备改造项目的质量负责。</w:t>
      </w:r>
    </w:p>
    <w:p w14:paraId="1E50A02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3.投标方应注明主要零部件的型号、参数和生产厂家。</w:t>
      </w:r>
    </w:p>
    <w:p w14:paraId="66838BA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4.投标方所供的设备，必须符合中国最新版的法律、法规和相关标准、规范的要求，符合项目所在地政府有关特殊要求。</w:t>
      </w:r>
    </w:p>
    <w:p w14:paraId="106B8A35">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5.投标方所供设备涉及的专利权技术以及知识产权保护的其它技术等，应保证招标方不因此受到任何侵权指控以及实际损失。</w:t>
      </w:r>
    </w:p>
    <w:p w14:paraId="21B63897">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6.投标方应保证所供设备的先进性、可靠性、经济性和实用性，并为全新设备。</w:t>
      </w:r>
    </w:p>
    <w:p w14:paraId="542C4129">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7.投标方应满足招标方提出的各项技术要求，必要时应当免费提供技术承诺或担保。</w:t>
      </w:r>
    </w:p>
    <w:p w14:paraId="554B776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8.投标人应保证所供货物（或设备）为中国政府指定或规定的主管部门公布的非淘汰货物（或设备），并尽力提供中国政府指定或规定的主管部门认可的环保型和节能型货物（或设备）。</w:t>
      </w:r>
    </w:p>
    <w:p w14:paraId="652D288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9.投标方应保证所供设备的完整性和成套性，能保证设备的正常运行、使用。</w:t>
      </w:r>
    </w:p>
    <w:p w14:paraId="7DBEBE8C">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10.投标方应对招标方采购的设备所涉及的技术、产能等信息负有保密义务，招标方拥有追究投标方泄密责任的权利；如有需要，投标方应无条件签署保密协议。</w:t>
      </w:r>
    </w:p>
    <w:p w14:paraId="5C52B62F">
      <w:pPr>
        <w:spacing w:line="480" w:lineRule="exact"/>
        <w:rPr>
          <w:rFonts w:hint="eastAsia" w:ascii="黑体" w:hAnsi="宋体" w:eastAsia="黑体"/>
          <w:b/>
          <w:bCs/>
          <w:sz w:val="28"/>
          <w:szCs w:val="28"/>
        </w:rPr>
      </w:pPr>
      <w:r>
        <w:rPr>
          <w:rFonts w:hint="eastAsia" w:ascii="黑体" w:hAnsi="宋体" w:eastAsia="黑体"/>
          <w:b/>
          <w:bCs/>
          <w:sz w:val="28"/>
          <w:szCs w:val="28"/>
        </w:rPr>
        <w:t>三、执行标准</w:t>
      </w:r>
    </w:p>
    <w:p w14:paraId="16C8F91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1、招标方此处所列标准仅为涉及的主要标准，而且不保证其为最新版执行标准；投标方应当在投标文件中认真予以填写、补充和修改完善。</w:t>
      </w:r>
    </w:p>
    <w:p w14:paraId="390191B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2、投标方需要执行的标准，应当以所供设备通过招标方将来组织的最终验收之日开始执行的最新标准。</w:t>
      </w:r>
    </w:p>
    <w:p w14:paraId="156C7963">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标准执行。</w:t>
      </w:r>
    </w:p>
    <w:p w14:paraId="001BEFA3">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4、投标方应在合同签署之前，将所涉及的企业标准提供给招标方确认。</w:t>
      </w:r>
    </w:p>
    <w:p w14:paraId="0114E92D">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5、如果有采用国际标准的货物，其执行标准由投标方提供、招标方确认。</w:t>
      </w:r>
    </w:p>
    <w:p w14:paraId="3DBD7AD8">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6"/>
        <w:gridCol w:w="6517"/>
        <w:gridCol w:w="2029"/>
      </w:tblGrid>
      <w:tr w14:paraId="2E1B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738584A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序号</w:t>
            </w:r>
          </w:p>
        </w:tc>
        <w:tc>
          <w:tcPr>
            <w:tcW w:w="3571" w:type="pct"/>
            <w:noWrap w:val="0"/>
            <w:vAlign w:val="center"/>
          </w:tcPr>
          <w:p w14:paraId="5979808F">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标准名称</w:t>
            </w:r>
          </w:p>
        </w:tc>
        <w:tc>
          <w:tcPr>
            <w:tcW w:w="1112" w:type="pct"/>
            <w:noWrap w:val="0"/>
            <w:vAlign w:val="center"/>
          </w:tcPr>
          <w:p w14:paraId="35ADFDB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标准编号</w:t>
            </w:r>
          </w:p>
        </w:tc>
      </w:tr>
      <w:tr w14:paraId="6884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8A0FD6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1</w:t>
            </w:r>
          </w:p>
        </w:tc>
        <w:tc>
          <w:tcPr>
            <w:tcW w:w="3571" w:type="pct"/>
            <w:noWrap w:val="0"/>
            <w:vAlign w:val="center"/>
          </w:tcPr>
          <w:p w14:paraId="78E46830">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《机械安全防护装置固定式和活动式防护装置设计与制造一般要求》</w:t>
            </w:r>
          </w:p>
        </w:tc>
        <w:tc>
          <w:tcPr>
            <w:tcW w:w="1112" w:type="pct"/>
            <w:noWrap w:val="0"/>
            <w:vAlign w:val="center"/>
          </w:tcPr>
          <w:p w14:paraId="33178810">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eastAsiaTheme="minorEastAsia"/>
                <w:sz w:val="21"/>
                <w:szCs w:val="21"/>
                <w:lang w:eastAsia="zh-CN"/>
              </w:rPr>
            </w:pPr>
            <w:r>
              <w:rPr>
                <w:rFonts w:hint="eastAsia" w:ascii="宋体" w:hAnsi="宋体" w:cs="宋体"/>
                <w:sz w:val="21"/>
                <w:szCs w:val="21"/>
              </w:rPr>
              <w:t>GB/T8196-201</w:t>
            </w:r>
            <w:r>
              <w:rPr>
                <w:rFonts w:hint="eastAsia" w:ascii="宋体" w:hAnsi="宋体" w:cs="宋体"/>
                <w:sz w:val="21"/>
                <w:szCs w:val="21"/>
                <w:lang w:val="en-US" w:eastAsia="zh-CN"/>
              </w:rPr>
              <w:t>8</w:t>
            </w:r>
          </w:p>
        </w:tc>
      </w:tr>
      <w:tr w14:paraId="1A5B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3269C0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2</w:t>
            </w:r>
          </w:p>
        </w:tc>
        <w:tc>
          <w:tcPr>
            <w:tcW w:w="3571" w:type="pct"/>
            <w:noWrap w:val="0"/>
            <w:vAlign w:val="center"/>
          </w:tcPr>
          <w:p w14:paraId="38546FB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《机械电气安全机械电气设备第1部分:通用技术条件》</w:t>
            </w:r>
          </w:p>
        </w:tc>
        <w:tc>
          <w:tcPr>
            <w:tcW w:w="1112" w:type="pct"/>
            <w:noWrap w:val="0"/>
            <w:vAlign w:val="center"/>
          </w:tcPr>
          <w:p w14:paraId="7C828CC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 5226.1-2019</w:t>
            </w:r>
          </w:p>
        </w:tc>
      </w:tr>
      <w:tr w14:paraId="1D0D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90704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3</w:t>
            </w:r>
          </w:p>
        </w:tc>
        <w:tc>
          <w:tcPr>
            <w:tcW w:w="3571" w:type="pct"/>
            <w:noWrap w:val="0"/>
            <w:vAlign w:val="center"/>
          </w:tcPr>
          <w:p w14:paraId="22E3AD1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《电气设备安全设计导则》</w:t>
            </w:r>
          </w:p>
        </w:tc>
        <w:tc>
          <w:tcPr>
            <w:tcW w:w="1112" w:type="pct"/>
            <w:noWrap w:val="0"/>
            <w:vAlign w:val="center"/>
          </w:tcPr>
          <w:p w14:paraId="55CA132F">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 25295-2010</w:t>
            </w:r>
          </w:p>
        </w:tc>
      </w:tr>
      <w:tr w14:paraId="7C24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0EA89095">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4</w:t>
            </w:r>
          </w:p>
        </w:tc>
        <w:tc>
          <w:tcPr>
            <w:tcW w:w="3571" w:type="pct"/>
            <w:noWrap w:val="0"/>
            <w:vAlign w:val="center"/>
          </w:tcPr>
          <w:p w14:paraId="1753CC5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HYPERLINK "http://product.dangdang.com/1100236607.html" \t "_blank" </w:instrText>
            </w:r>
            <w:r>
              <w:rPr>
                <w:rFonts w:hint="eastAsia" w:ascii="宋体" w:hAnsi="宋体" w:cs="宋体"/>
                <w:sz w:val="21"/>
                <w:szCs w:val="21"/>
              </w:rPr>
              <w:fldChar w:fldCharType="separate"/>
            </w:r>
            <w:r>
              <w:rPr>
                <w:rFonts w:hint="eastAsia" w:ascii="宋体" w:hAnsi="宋体" w:cs="宋体"/>
                <w:sz w:val="21"/>
                <w:szCs w:val="21"/>
              </w:rPr>
              <w:t>机器的安全性 防止人体上下肢触及危险区的安全距离</w:t>
            </w:r>
            <w:r>
              <w:rPr>
                <w:rFonts w:hint="eastAsia" w:ascii="宋体" w:hAnsi="宋体" w:cs="宋体"/>
                <w:sz w:val="21"/>
                <w:szCs w:val="21"/>
              </w:rPr>
              <w:fldChar w:fldCharType="end"/>
            </w:r>
          </w:p>
        </w:tc>
        <w:tc>
          <w:tcPr>
            <w:tcW w:w="1112" w:type="pct"/>
            <w:noWrap w:val="0"/>
            <w:vAlign w:val="center"/>
          </w:tcPr>
          <w:p w14:paraId="2E84327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GB/T23821-2022</w:t>
            </w:r>
          </w:p>
        </w:tc>
      </w:tr>
      <w:tr w14:paraId="2428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01ED1A19">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5</w:t>
            </w:r>
          </w:p>
        </w:tc>
        <w:tc>
          <w:tcPr>
            <w:tcW w:w="3571" w:type="pct"/>
            <w:noWrap w:val="0"/>
            <w:vAlign w:val="center"/>
          </w:tcPr>
          <w:p w14:paraId="3540D49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中国重型汽车有限公司企业标准《设备设施颜色标识》</w:t>
            </w:r>
          </w:p>
        </w:tc>
        <w:tc>
          <w:tcPr>
            <w:tcW w:w="1112" w:type="pct"/>
            <w:noWrap w:val="0"/>
            <w:vAlign w:val="center"/>
          </w:tcPr>
          <w:p w14:paraId="4DDDC416">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Q/ZZ30070-2020</w:t>
            </w:r>
          </w:p>
        </w:tc>
      </w:tr>
      <w:tr w14:paraId="04DB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8EE1BE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6</w:t>
            </w:r>
          </w:p>
        </w:tc>
        <w:tc>
          <w:tcPr>
            <w:tcW w:w="3571" w:type="pct"/>
            <w:noWrap w:val="0"/>
            <w:vAlign w:val="center"/>
          </w:tcPr>
          <w:p w14:paraId="3A9BC598">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《机械电气安全机械电气设备第34部分：机床技术条件》</w:t>
            </w:r>
          </w:p>
        </w:tc>
        <w:tc>
          <w:tcPr>
            <w:tcW w:w="1112" w:type="pct"/>
            <w:noWrap w:val="0"/>
            <w:vAlign w:val="center"/>
          </w:tcPr>
          <w:p w14:paraId="4B89ABA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GB/T5226.34-2020</w:t>
            </w:r>
          </w:p>
        </w:tc>
      </w:tr>
      <w:tr w14:paraId="32B8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94B532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7</w:t>
            </w:r>
          </w:p>
        </w:tc>
        <w:tc>
          <w:tcPr>
            <w:tcW w:w="3571" w:type="pct"/>
            <w:noWrap w:val="0"/>
            <w:vAlign w:val="center"/>
          </w:tcPr>
          <w:p w14:paraId="3ED0950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《电线电缆识别标志方法》</w:t>
            </w:r>
          </w:p>
        </w:tc>
        <w:tc>
          <w:tcPr>
            <w:tcW w:w="1112" w:type="pct"/>
            <w:noWrap w:val="0"/>
            <w:vAlign w:val="center"/>
          </w:tcPr>
          <w:p w14:paraId="276D91D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GB/T6995-2008</w:t>
            </w:r>
          </w:p>
        </w:tc>
      </w:tr>
      <w:tr w14:paraId="29D5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2FF4A38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8</w:t>
            </w:r>
          </w:p>
        </w:tc>
        <w:tc>
          <w:tcPr>
            <w:tcW w:w="3571" w:type="pct"/>
            <w:noWrap w:val="0"/>
            <w:vAlign w:val="center"/>
          </w:tcPr>
          <w:p w14:paraId="0300837D">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《工业场所物理因素测量第8部分：噪声》</w:t>
            </w:r>
          </w:p>
        </w:tc>
        <w:tc>
          <w:tcPr>
            <w:tcW w:w="1112" w:type="pct"/>
            <w:noWrap w:val="0"/>
            <w:vAlign w:val="center"/>
          </w:tcPr>
          <w:p w14:paraId="07AFCAD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GB/T189.8-2007</w:t>
            </w:r>
          </w:p>
        </w:tc>
      </w:tr>
      <w:tr w14:paraId="58DA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A819EA6">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9</w:t>
            </w:r>
          </w:p>
        </w:tc>
        <w:tc>
          <w:tcPr>
            <w:tcW w:w="3571" w:type="pct"/>
            <w:noWrap w:val="0"/>
            <w:vAlign w:val="center"/>
          </w:tcPr>
          <w:p w14:paraId="2595A1B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《工业企业噪声控制设计规范》</w:t>
            </w:r>
          </w:p>
        </w:tc>
        <w:tc>
          <w:tcPr>
            <w:tcW w:w="1112" w:type="pct"/>
            <w:noWrap w:val="0"/>
            <w:vAlign w:val="center"/>
          </w:tcPr>
          <w:p w14:paraId="01DB6D5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GB/T50087-2013</w:t>
            </w:r>
          </w:p>
        </w:tc>
      </w:tr>
    </w:tbl>
    <w:p w14:paraId="56035BEE">
      <w:pPr>
        <w:spacing w:line="480" w:lineRule="exact"/>
        <w:rPr>
          <w:rFonts w:hint="eastAsia" w:ascii="黑体" w:hAnsi="黑体" w:eastAsia="黑体"/>
          <w:b/>
          <w:bCs/>
          <w:sz w:val="28"/>
          <w:szCs w:val="28"/>
        </w:rPr>
      </w:pPr>
      <w:r>
        <w:rPr>
          <w:rFonts w:hint="eastAsia" w:ascii="黑体" w:hAnsi="黑体" w:eastAsia="黑体"/>
          <w:b/>
          <w:bCs/>
          <w:sz w:val="28"/>
          <w:szCs w:val="28"/>
        </w:rPr>
        <w:t>四、技术规范和技术要求</w:t>
      </w:r>
    </w:p>
    <w:p w14:paraId="6A3910F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1、项目概况和现状：</w:t>
      </w:r>
    </w:p>
    <w:p w14:paraId="2174A08B">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该项目采购货物主要为满足</w:t>
      </w:r>
      <w:r>
        <w:rPr>
          <w:rFonts w:hint="eastAsia" w:ascii="宋体" w:hAnsi="宋体" w:eastAsia="宋体" w:cs="Times New Roman"/>
          <w:sz w:val="24"/>
          <w:szCs w:val="24"/>
          <w:highlight w:val="none"/>
          <w:lang w:val="en-US" w:eastAsia="zh-CN"/>
        </w:rPr>
        <w:t>电机样件</w:t>
      </w:r>
      <w:r>
        <w:rPr>
          <w:rFonts w:hint="eastAsia" w:ascii="宋体" w:hAnsi="宋体" w:eastAsia="宋体" w:cs="Times New Roman"/>
          <w:sz w:val="24"/>
          <w:szCs w:val="24"/>
          <w:highlight w:val="none"/>
        </w:rPr>
        <w:t>试制所需要的机组装配及测试等装置。</w:t>
      </w:r>
    </w:p>
    <w:p w14:paraId="088E1B21">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1.1 产品信息：</w:t>
      </w:r>
    </w:p>
    <w:p w14:paraId="4A7713DE">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名称：</w:t>
      </w:r>
      <w:r>
        <w:rPr>
          <w:rFonts w:hint="eastAsia" w:ascii="宋体" w:hAnsi="宋体" w:eastAsia="宋体" w:cs="Times New Roman"/>
          <w:sz w:val="24"/>
          <w:szCs w:val="24"/>
          <w:highlight w:val="none"/>
          <w:lang w:val="en-US" w:eastAsia="zh-CN"/>
        </w:rPr>
        <w:t>电驱桥电机</w:t>
      </w:r>
    </w:p>
    <w:p w14:paraId="1E8183F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尺寸：</w:t>
      </w:r>
      <w:r>
        <w:rPr>
          <w:rFonts w:hint="eastAsia" w:ascii="宋体" w:hAnsi="宋体" w:eastAsia="宋体" w:cs="Times New Roman"/>
          <w:sz w:val="24"/>
          <w:szCs w:val="24"/>
          <w:highlight w:val="none"/>
          <w:lang w:val="en-US" w:eastAsia="zh-CN"/>
        </w:rPr>
        <w:t>420</w:t>
      </w:r>
      <w:r>
        <w:rPr>
          <w:rFonts w:hint="eastAsia" w:ascii="宋体" w:hAnsi="宋体" w:eastAsia="宋体" w:cs="Times New Roman"/>
          <w:sz w:val="24"/>
          <w:szCs w:val="24"/>
          <w:highlight w:val="none"/>
        </w:rPr>
        <w:t>mm×</w:t>
      </w:r>
      <w:r>
        <w:rPr>
          <w:rFonts w:hint="eastAsia" w:ascii="宋体" w:hAnsi="宋体" w:eastAsia="宋体" w:cs="Times New Roman"/>
          <w:sz w:val="24"/>
          <w:szCs w:val="24"/>
          <w:highlight w:val="none"/>
          <w:lang w:val="en-US" w:eastAsia="zh-CN"/>
        </w:rPr>
        <w:t>290</w:t>
      </w:r>
      <w:r>
        <w:rPr>
          <w:rFonts w:hint="eastAsia" w:ascii="宋体" w:hAnsi="宋体" w:eastAsia="宋体" w:cs="Times New Roman"/>
          <w:sz w:val="24"/>
          <w:szCs w:val="24"/>
          <w:highlight w:val="none"/>
        </w:rPr>
        <w:t>mm×33</w:t>
      </w:r>
      <w:r>
        <w:rPr>
          <w:rFonts w:hint="eastAsia" w:ascii="宋体" w:hAnsi="宋体" w:eastAsia="宋体" w:cs="Times New Roman"/>
          <w:sz w:val="24"/>
          <w:szCs w:val="24"/>
          <w:highlight w:val="none"/>
          <w:lang w:val="en-US" w:eastAsia="zh-CN"/>
        </w:rPr>
        <w:t>0</w:t>
      </w:r>
      <w:r>
        <w:rPr>
          <w:rFonts w:hint="eastAsia" w:ascii="宋体" w:hAnsi="宋体" w:eastAsia="宋体" w:cs="Times New Roman"/>
          <w:sz w:val="24"/>
          <w:szCs w:val="24"/>
          <w:highlight w:val="none"/>
        </w:rPr>
        <w:t>mm</w:t>
      </w:r>
    </w:p>
    <w:p w14:paraId="6877ADAD">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持续功率165KW;</w:t>
      </w:r>
    </w:p>
    <w:p w14:paraId="11F80758">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峰值转速：18000rpm；</w:t>
      </w:r>
    </w:p>
    <w:p w14:paraId="00374282">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重量：约</w:t>
      </w:r>
      <w:r>
        <w:rPr>
          <w:rFonts w:hint="eastAsia" w:ascii="宋体" w:hAnsi="宋体" w:eastAsia="宋体" w:cs="Times New Roman"/>
          <w:sz w:val="24"/>
          <w:szCs w:val="24"/>
          <w:highlight w:val="none"/>
          <w:lang w:val="en-US" w:eastAsia="zh-CN"/>
        </w:rPr>
        <w:t>65</w:t>
      </w:r>
      <w:r>
        <w:rPr>
          <w:rFonts w:hint="eastAsia" w:ascii="宋体" w:hAnsi="宋体" w:eastAsia="宋体" w:cs="Times New Roman"/>
          <w:sz w:val="24"/>
          <w:szCs w:val="24"/>
          <w:highlight w:val="none"/>
        </w:rPr>
        <w:t>kg</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带油</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单电机53kg;</w:t>
      </w:r>
    </w:p>
    <w:p w14:paraId="350D10A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1.2 设备布局</w:t>
      </w:r>
    </w:p>
    <w:p w14:paraId="0798A1F7">
      <w:pPr>
        <w:shd w:val="clear" w:color="auto" w:fill="auto"/>
        <w:spacing w:line="480" w:lineRule="exact"/>
        <w:ind w:firstLine="480" w:firstLineChars="200"/>
        <w:rPr>
          <w:rFonts w:hint="eastAsia" w:ascii="宋体" w:hAnsi="宋体" w:cs="宋体"/>
        </w:rPr>
      </w:pPr>
      <w:r>
        <w:rPr>
          <w:rFonts w:hint="eastAsia" w:ascii="宋体" w:hAnsi="宋体" w:eastAsia="宋体" w:cs="Times New Roman"/>
          <w:sz w:val="24"/>
          <w:szCs w:val="24"/>
          <w:highlight w:val="none"/>
          <w:lang w:val="en-US" w:eastAsia="zh-CN"/>
        </w:rPr>
        <w:t>按要求布置在指定区域内。</w:t>
      </w:r>
    </w:p>
    <w:p w14:paraId="13A8257E">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2、详细技术要求</w:t>
      </w:r>
    </w:p>
    <w:p w14:paraId="751A0E9A">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水、电、气等均由投标方负责连接至招标方现场的接入点（涉及的管路、线缆等均由投标方负责）。</w:t>
      </w:r>
    </w:p>
    <w:p w14:paraId="52C2E3F4">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装置需预留兼容性接口，后续经过简单改造即可投入到自动产线进行正常生产；</w:t>
      </w:r>
    </w:p>
    <w:p w14:paraId="18EA0FAA">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投标方设计或预验收所需调试样件、气密测试仪以及需改造的伺服压机由招标方提供，以上所产生的运输费用由投标方负责。</w:t>
      </w:r>
    </w:p>
    <w:p w14:paraId="7144D36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2.1工艺流程</w:t>
      </w:r>
    </w:p>
    <w:p w14:paraId="50FF547E">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工艺流程可参考如下内容</w:t>
      </w:r>
    </w:p>
    <w:p w14:paraId="117C9D23">
      <w:pPr>
        <w:pStyle w:val="22"/>
        <w:numPr>
          <w:ilvl w:val="0"/>
          <w:numId w:val="0"/>
        </w:numPr>
        <w:spacing w:line="360" w:lineRule="auto"/>
        <w:ind w:leftChars="200"/>
        <w:rPr>
          <w:rFonts w:hint="default" w:hAnsi="宋体" w:cs="宋体"/>
          <w:b/>
          <w:bCs/>
          <w:sz w:val="24"/>
          <w:szCs w:val="24"/>
          <w:lang w:val="en-US" w:eastAsia="zh-CN"/>
        </w:rPr>
      </w:pPr>
      <w:r>
        <w:rPr>
          <w:rFonts w:hint="default" w:hAnsi="宋体" w:cs="宋体"/>
          <w:b/>
          <w:bCs/>
          <w:sz w:val="24"/>
          <w:szCs w:val="24"/>
          <w:lang w:val="en-US" w:eastAsia="zh-CN"/>
        </w:rPr>
        <w:drawing>
          <wp:inline distT="0" distB="0" distL="114300" distR="114300">
            <wp:extent cx="5753100" cy="2661285"/>
            <wp:effectExtent l="0" t="0" r="0" b="5715"/>
            <wp:docPr id="2" name="图片 2" descr="e5e6ca04f9868f93d68f01c0c1b69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5e6ca04f9868f93d68f01c0c1b69bed"/>
                    <pic:cNvPicPr>
                      <a:picLocks noChangeAspect="1"/>
                    </pic:cNvPicPr>
                  </pic:nvPicPr>
                  <pic:blipFill>
                    <a:blip r:embed="rId41"/>
                    <a:stretch>
                      <a:fillRect/>
                    </a:stretch>
                  </pic:blipFill>
                  <pic:spPr>
                    <a:xfrm>
                      <a:off x="0" y="0"/>
                      <a:ext cx="5753100" cy="2661285"/>
                    </a:xfrm>
                    <a:prstGeom prst="rect">
                      <a:avLst/>
                    </a:prstGeom>
                  </pic:spPr>
                </pic:pic>
              </a:graphicData>
            </a:graphic>
          </wp:inline>
        </w:drawing>
      </w:r>
    </w:p>
    <w:p w14:paraId="7CB5053D">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2.2设备执行描述</w:t>
      </w:r>
    </w:p>
    <w:p w14:paraId="797EB3A1">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配备相应工作台，便于装配操作；</w:t>
      </w:r>
    </w:p>
    <w:p w14:paraId="031702E1">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操作者站立作业，高度考虑人机工程，需满足人员装配便利性；</w:t>
      </w:r>
    </w:p>
    <w:p w14:paraId="5BCCD420">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操作工位需配备标准件、工具工装、辅料、工位器具、标准作业指导书等物品放置的工作台带工具挂板；</w:t>
      </w:r>
    </w:p>
    <w:p w14:paraId="3EEB2575">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设备工作功能描述按照下表执行：</w:t>
      </w:r>
    </w:p>
    <w:tbl>
      <w:tblPr>
        <w:tblStyle w:val="41"/>
        <w:tblW w:w="4997" w:type="pct"/>
        <w:jc w:val="center"/>
        <w:tblLayout w:type="autofit"/>
        <w:tblCellMar>
          <w:top w:w="0" w:type="dxa"/>
          <w:left w:w="23" w:type="dxa"/>
          <w:bottom w:w="0" w:type="dxa"/>
          <w:right w:w="23" w:type="dxa"/>
        </w:tblCellMar>
      </w:tblPr>
      <w:tblGrid>
        <w:gridCol w:w="2433"/>
        <w:gridCol w:w="5087"/>
        <w:gridCol w:w="1592"/>
      </w:tblGrid>
      <w:tr w14:paraId="78DE4E8B">
        <w:tblPrEx>
          <w:tblCellMar>
            <w:top w:w="0" w:type="dxa"/>
            <w:left w:w="23" w:type="dxa"/>
            <w:bottom w:w="0" w:type="dxa"/>
            <w:right w:w="23" w:type="dxa"/>
          </w:tblCellMar>
        </w:tblPrEx>
        <w:trPr>
          <w:trHeight w:val="20" w:hRule="atLeast"/>
          <w:jc w:val="center"/>
        </w:trPr>
        <w:tc>
          <w:tcPr>
            <w:tcW w:w="1335"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1A4B6AF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设备名称</w:t>
            </w:r>
          </w:p>
        </w:tc>
        <w:tc>
          <w:tcPr>
            <w:tcW w:w="2791"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47B627A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功能描述</w:t>
            </w:r>
          </w:p>
        </w:tc>
        <w:tc>
          <w:tcPr>
            <w:tcW w:w="873"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34A8D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装置/人工</w:t>
            </w:r>
          </w:p>
        </w:tc>
      </w:tr>
      <w:tr w14:paraId="27C164A8">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2E35B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C5EB7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上料</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BF050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736FCD40">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B804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F34A7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机壳预热</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3E2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3692D06B">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559B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7D9CF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定子入壳</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3A48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5D70BCE0">
        <w:tblPrEx>
          <w:tblCellMar>
            <w:top w:w="0" w:type="dxa"/>
            <w:left w:w="23" w:type="dxa"/>
            <w:bottom w:w="0" w:type="dxa"/>
            <w:right w:w="23" w:type="dxa"/>
          </w:tblCellMar>
        </w:tblPrEx>
        <w:trPr>
          <w:trHeight w:val="9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76986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1CC92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冷却</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EF08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07DB5934">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4E408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00EA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后端塑料导油板安装</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1C188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7C0D42ED">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right w:val="single" w:color="auto" w:sz="4" w:space="0"/>
            </w:tcBorders>
            <w:shd w:val="clear" w:color="auto" w:fill="FFFFFF"/>
            <w:noWrap w:val="0"/>
            <w:vAlign w:val="center"/>
          </w:tcPr>
          <w:p w14:paraId="60FB1A0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伺服压装装置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3C2CF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压装转子前轴承</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1696F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装置</w:t>
            </w:r>
          </w:p>
        </w:tc>
      </w:tr>
      <w:tr w14:paraId="09BDFB91">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082E5B9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8D9C1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压装转子后端轴承及旋变转子</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87B70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装置</w:t>
            </w:r>
          </w:p>
        </w:tc>
      </w:tr>
      <w:tr w14:paraId="0DC5D1E0">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6E5C5A1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DB2BB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前后直推球轴承座</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4DF31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12CD6D17">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bottom w:val="single" w:color="auto" w:sz="4" w:space="0"/>
              <w:right w:val="single" w:color="auto" w:sz="4" w:space="0"/>
            </w:tcBorders>
            <w:shd w:val="clear" w:color="auto" w:fill="FFFFFF"/>
            <w:noWrap w:val="0"/>
            <w:vAlign w:val="center"/>
          </w:tcPr>
          <w:p w14:paraId="7D0261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0D35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减速行星排行星齿轮轴铆接</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5806E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37224670">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right w:val="single" w:color="auto" w:sz="4" w:space="0"/>
            </w:tcBorders>
            <w:shd w:val="clear" w:color="auto" w:fill="FFFFFF"/>
            <w:noWrap w:val="0"/>
            <w:vAlign w:val="center"/>
          </w:tcPr>
          <w:p w14:paraId="0FACD44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21A4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上料</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28D4B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1868F96B">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7A98A66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07E8D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安装O型圈</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F8EB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33B22275">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264733F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AD20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压装转子</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52B1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28DEE672">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bottom w:val="single" w:color="auto" w:sz="4" w:space="0"/>
              <w:right w:val="single" w:color="auto" w:sz="4" w:space="0"/>
            </w:tcBorders>
            <w:shd w:val="clear" w:color="auto" w:fill="FFFFFF"/>
            <w:noWrap w:val="0"/>
            <w:vAlign w:val="center"/>
          </w:tcPr>
          <w:p w14:paraId="32160F0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C4C4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压装后盖板</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B82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214B22A2">
        <w:tblPrEx>
          <w:tblCellMar>
            <w:top w:w="0" w:type="dxa"/>
            <w:left w:w="23" w:type="dxa"/>
            <w:bottom w:w="0" w:type="dxa"/>
            <w:right w:w="23" w:type="dxa"/>
          </w:tblCellMar>
        </w:tblPrEx>
        <w:trPr>
          <w:trHeight w:val="439" w:hRule="atLeast"/>
          <w:jc w:val="center"/>
        </w:trPr>
        <w:tc>
          <w:tcPr>
            <w:tcW w:w="133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E60F8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D5CF4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6BE4A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7A358D2D">
        <w:tblPrEx>
          <w:tblCellMar>
            <w:top w:w="0" w:type="dxa"/>
            <w:left w:w="23" w:type="dxa"/>
            <w:bottom w:w="0" w:type="dxa"/>
            <w:right w:w="23" w:type="dxa"/>
          </w:tblCellMar>
        </w:tblPrEx>
        <w:trPr>
          <w:trHeight w:val="20" w:hRule="atLeast"/>
          <w:jc w:val="center"/>
        </w:trPr>
        <w:tc>
          <w:tcPr>
            <w:tcW w:w="1335"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8F490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C1DFE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气密测试</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B5933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64901E36">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939D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25A26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A2EED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bl>
    <w:p w14:paraId="68FB0D95">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备注：1、设备节拍需满足5分钟以内，节拍可根据实际需要调整。</w:t>
      </w:r>
    </w:p>
    <w:p w14:paraId="63A93C03">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2.3 定子热套装置</w:t>
      </w:r>
    </w:p>
    <w:p w14:paraId="0E3A426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定子热套装置核心工艺指标：加热温度范围（100-200）℃，温度设定全程可调，精确至1℃，加热时长≤5min，后续经过改造能够满足两分钟节拍；</w:t>
      </w:r>
    </w:p>
    <w:p w14:paraId="7BFE9A1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定子热套装置中所使用到的伺服电缸需使用砺星等国内一流品牌；</w:t>
      </w:r>
    </w:p>
    <w:p w14:paraId="75C7E89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实时采集压力曲线并具备超差报警功能；</w:t>
      </w:r>
    </w:p>
    <w:p w14:paraId="7D58907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保压阶段压力（2-5）kN，保压时间120s，保压后电机机壳温度≤80℃；</w:t>
      </w:r>
    </w:p>
    <w:p w14:paraId="2B7ED8E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采用自然/风冷方式冷却；</w:t>
      </w:r>
    </w:p>
    <w:p w14:paraId="5710A68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测温采用红外+周向多点热电偶方案，实时显示热套温度；</w:t>
      </w:r>
    </w:p>
    <w:p w14:paraId="715D386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定子质量约20Kg；</w:t>
      </w:r>
    </w:p>
    <w:p w14:paraId="0B14CF2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定子高度约20cm。</w:t>
      </w:r>
    </w:p>
    <w:p w14:paraId="7A3F1E17">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2.4伺服压装装置</w:t>
      </w:r>
    </w:p>
    <w:p w14:paraId="220AD59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伺服压装装置选用伺服电缸（使用招标方提供）压装，能够完成轴承、油封、旋变、行星排以及后盖板的压装，不同工作内容仅需要简单调整就可完成任务切换，具体技术要求以及指标如下；</w:t>
      </w:r>
    </w:p>
    <w:p w14:paraId="1B6F16FF">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各个压装任务分别设计专用压头，保证压装效果；</w:t>
      </w:r>
    </w:p>
    <w:p w14:paraId="2384B8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输出压力-位移窗口曲线，监控起始入槽力、压入过程力、终压位移；</w:t>
      </w:r>
    </w:p>
    <w:p w14:paraId="3B19BEC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压装结束后进行保压；</w:t>
      </w:r>
    </w:p>
    <w:p w14:paraId="3207D29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旋变转子压装必要时需提供感应加热装置进行热套；</w:t>
      </w:r>
    </w:p>
    <w:p w14:paraId="1C9CF6A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压旋变转子金属基座端面，禁止挤压磁环本体；压油封金属骨架端面，严禁直接压橡胶密封唇；</w:t>
      </w:r>
    </w:p>
    <w:p w14:paraId="72F76275">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压装设备改造过程中需要进行转运所造成的运费由中标方承担。</w:t>
      </w:r>
    </w:p>
    <w:p w14:paraId="2E730B51">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2.5 定转子合装装置</w:t>
      </w:r>
    </w:p>
    <w:p w14:paraId="5CE5A56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定转子合装装置采用伺服电缸驱动，立式压装结构，为力+位移双闭环控制，支持磁力吸力区间降速；</w:t>
      </w:r>
    </w:p>
    <w:p w14:paraId="0198C6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定转子合装装置中所使用到的伺服电缸需使用使用砺星等国内一流品牌；</w:t>
      </w:r>
    </w:p>
    <w:p w14:paraId="5772AF3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全程采集力-位移曲线，可设置上下限窗口，卡滞立即停机保护；</w:t>
      </w:r>
    </w:p>
    <w:p w14:paraId="3D87A377">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定心同轴工装采用定子定位工装+转子双顶尖，压装行程（400-500）mm，合装初始同轴度≤0.05mm；</w:t>
      </w:r>
    </w:p>
    <w:p w14:paraId="44B3CB1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具备数据追溯系统，可存储力-位移曲线，支持CSV导出并上传MES；具备合装力超限、位置超差、曲线异常等报警保护，搭配安全光栅、安全门联锁、急停、工件防碰撞；</w:t>
      </w:r>
    </w:p>
    <w:p w14:paraId="64DC0AE6">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人机界面支持多产品配方存储，实时显示推力、位移、速度并预览曲线，自动判定合格/不合格；磁吸力冲击保护；断电后转子防吸合保护；设备防磁化设计；</w:t>
      </w:r>
    </w:p>
    <w:p w14:paraId="59D7BC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转子重量约15Kg；</w:t>
      </w:r>
    </w:p>
    <w:p w14:paraId="2910AE88">
      <w:pPr>
        <w:numPr>
          <w:ilvl w:val="0"/>
          <w:numId w:val="7"/>
        </w:numPr>
        <w:shd w:val="clear" w:color="auto" w:fill="auto"/>
        <w:spacing w:line="480" w:lineRule="exact"/>
        <w:ind w:left="420" w:leftChars="0" w:hanging="420" w:firstLineChars="0"/>
        <w:rPr>
          <w:rFonts w:hint="eastAsia" w:asciiTheme="minorEastAsia" w:hAnsiTheme="minorEastAsia" w:eastAsiaTheme="minorEastAsia" w:cstheme="minorEastAsia"/>
          <w:color w:val="000000"/>
          <w:sz w:val="21"/>
          <w:szCs w:val="21"/>
          <w:highlight w:val="none"/>
        </w:rPr>
      </w:pPr>
      <w:r>
        <w:rPr>
          <w:rFonts w:hint="eastAsia" w:ascii="宋体" w:hAnsi="宋体" w:eastAsia="宋体" w:cs="Times New Roman"/>
          <w:sz w:val="24"/>
          <w:szCs w:val="24"/>
          <w:highlight w:val="none"/>
          <w:lang w:val="en-US" w:eastAsia="zh-CN"/>
        </w:rPr>
        <w:t>转子长度约28cm</w:t>
      </w:r>
      <w:r>
        <w:rPr>
          <w:rFonts w:hint="eastAsia" w:asciiTheme="minorEastAsia" w:hAnsiTheme="minorEastAsia" w:eastAsiaTheme="minorEastAsia" w:cstheme="minorEastAsia"/>
          <w:sz w:val="21"/>
          <w:szCs w:val="21"/>
          <w:highlight w:val="none"/>
          <w:lang w:val="en-US" w:eastAsia="zh-CN"/>
        </w:rPr>
        <w:t>。</w:t>
      </w:r>
    </w:p>
    <w:p w14:paraId="719A6BE0">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2.6 旋变调零装置</w:t>
      </w:r>
    </w:p>
    <w:p w14:paraId="5F493811">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旋变调零采取手动旋变调零装置，机械手摇对中工装（手驱动转子） + 旋变角度解码测量仪（电气读数）；</w:t>
      </w:r>
    </w:p>
    <w:p w14:paraId="6179F9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机械手摇工装要求输出扭矩平稳、无卡滞且具有自锁功能；</w:t>
      </w:r>
    </w:p>
    <w:p w14:paraId="1EEDE77C">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手摇轮带防滑把手；带扭矩过载保护，防止用力过大损坏轴承、旋变磁钢；</w:t>
      </w:r>
    </w:p>
    <w:p w14:paraId="3EB5B9C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目标零位偏差控制≤0.5°。</w:t>
      </w:r>
    </w:p>
    <w:p w14:paraId="6C9E5794">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2.7 电机综合测试装置</w:t>
      </w:r>
    </w:p>
    <w:p w14:paraId="6C2F40D0">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2.7.1 电机综合测试装置项目如下：</w:t>
      </w:r>
    </w:p>
    <w:p w14:paraId="3B91C20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电机综合测试装置测试项目包括但不限于电机交流耐压、绝缘电阻、线圈电阻，泄露电流；温度传感器电阻和与绕组绝缘电阻，泄露电流；旋变线圈电阻，耐压，泄露电流；</w:t>
      </w:r>
    </w:p>
    <w:p w14:paraId="2A538286">
      <w:pPr>
        <w:numPr>
          <w:ilvl w:val="0"/>
          <w:numId w:val="7"/>
        </w:numPr>
        <w:shd w:val="clear" w:color="auto" w:fill="auto"/>
        <w:spacing w:line="480" w:lineRule="exact"/>
        <w:ind w:left="420" w:leftChars="0" w:hanging="420" w:firstLineChars="0"/>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数据追溯：每台总成SN绑定全部测试曲线、原始数据、判定结果，长期存储，满足APQP/质量追溯、SPC统计；</w:t>
      </w:r>
    </w:p>
    <w:p w14:paraId="799EF4A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自动OK/NG判定，NG件自动锁止，禁止流入下工序；存储故障代码，用于返修定位，配备声光报警和蜂鸣报警功能；</w:t>
      </w:r>
    </w:p>
    <w:p w14:paraId="665F5FC6">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安全联锁：开门自动切断高压，具备急停、高压泄放回路，测试完成后主动高压放电。</w:t>
      </w:r>
    </w:p>
    <w:p w14:paraId="464AF4D9">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2.7.2 电机综合测试装置项目参考如下：</w:t>
      </w:r>
    </w:p>
    <w:tbl>
      <w:tblPr>
        <w:tblStyle w:val="4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94"/>
        <w:gridCol w:w="3094"/>
        <w:gridCol w:w="3095"/>
      </w:tblGrid>
      <w:tr w14:paraId="1E6F7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E2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b w:val="0"/>
                <w:bCs/>
                <w:i w:val="0"/>
                <w:iCs w:val="0"/>
                <w:color w:val="000000"/>
                <w:sz w:val="24"/>
                <w:szCs w:val="32"/>
                <w:u w:val="none"/>
                <w:lang w:val="en-US" w:eastAsia="zh-CN"/>
              </w:rPr>
            </w:pPr>
            <w:r>
              <w:rPr>
                <w:rFonts w:hint="eastAsia" w:ascii="Times New Roman" w:hAnsi="Times New Roman" w:eastAsia="宋体" w:cs="宋体"/>
                <w:b w:val="0"/>
                <w:bCs/>
                <w:i w:val="0"/>
                <w:iCs w:val="0"/>
                <w:color w:val="000000"/>
                <w:sz w:val="24"/>
                <w:szCs w:val="32"/>
                <w:u w:val="none"/>
                <w:lang w:val="en-US" w:eastAsia="zh-CN"/>
              </w:rPr>
              <w:t>序号</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A7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bCs/>
                <w:i w:val="0"/>
                <w:iCs w:val="0"/>
                <w:color w:val="000000"/>
                <w:sz w:val="24"/>
                <w:szCs w:val="32"/>
                <w:u w:val="none"/>
              </w:rPr>
            </w:pPr>
            <w:r>
              <w:rPr>
                <w:rFonts w:hint="eastAsia" w:ascii="Times New Roman" w:hAnsi="Times New Roman" w:eastAsia="宋体" w:cs="宋体"/>
                <w:b w:val="0"/>
                <w:bCs/>
                <w:i w:val="0"/>
                <w:iCs w:val="0"/>
                <w:color w:val="000000"/>
                <w:kern w:val="0"/>
                <w:sz w:val="24"/>
                <w:szCs w:val="32"/>
                <w:u w:val="none"/>
                <w:lang w:val="en-US" w:eastAsia="zh-CN" w:bidi="ar"/>
              </w:rPr>
              <w:t>技术要求</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F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bCs/>
                <w:i w:val="0"/>
                <w:iCs w:val="0"/>
                <w:color w:val="000000"/>
                <w:sz w:val="24"/>
                <w:szCs w:val="32"/>
                <w:u w:val="none"/>
              </w:rPr>
            </w:pPr>
            <w:r>
              <w:rPr>
                <w:rFonts w:hint="eastAsia" w:ascii="Times New Roman" w:hAnsi="Times New Roman" w:eastAsia="宋体" w:cs="宋体"/>
                <w:b w:val="0"/>
                <w:bCs/>
                <w:i w:val="0"/>
                <w:iCs w:val="0"/>
                <w:color w:val="000000"/>
                <w:kern w:val="0"/>
                <w:sz w:val="24"/>
                <w:szCs w:val="32"/>
                <w:u w:val="none"/>
                <w:lang w:val="en-US" w:eastAsia="zh-CN" w:bidi="ar"/>
              </w:rPr>
              <w:t xml:space="preserve"> 检测数据</w:t>
            </w:r>
          </w:p>
        </w:tc>
      </w:tr>
      <w:tr w14:paraId="2C00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03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5A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 绕组冷态直流电阻测试</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2F9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B195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8F7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3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试验电流：不超过额定电流 10%；</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5A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14B7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9B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AC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通电时间：不超过 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6B8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4E6FD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58C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C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三相电阻偏差不超过 3%；</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1F8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69CB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06F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B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线电阻偏差不超过 2%；</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7E0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754E5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5A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DA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 绝缘电阻</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964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7E54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874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CA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1）驱动电机绕组对机壳：</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B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对机壳</w:t>
            </w:r>
          </w:p>
        </w:tc>
      </w:tr>
      <w:tr w14:paraId="2252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04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0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试验电压：1000Vdc；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8D7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4C57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77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9C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电阻值：＞20MΩ；</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522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1CCE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7B5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9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2）驱动电机绕组对温度传感器：</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6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 NTC</w:t>
            </w:r>
          </w:p>
        </w:tc>
      </w:tr>
      <w:tr w14:paraId="0855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394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6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试验电压：1000Vdc；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8780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70E2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2E5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DE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电阻值：＞20MΩ；</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D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271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C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3</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6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3. 工频耐电压</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949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E0F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36D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71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1）驱动电机绕组对机壳的试验电压：</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9F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对机壳</w:t>
            </w:r>
          </w:p>
        </w:tc>
      </w:tr>
      <w:tr w14:paraId="5191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DFB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70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试验电压：2500Vac；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8F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0028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32D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0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试验时长：1min；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15E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3B3E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BC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7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漏电流：＜20mA；</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9F9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6CC4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F6D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EE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2）驱动电机绕组对温度传感器：</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1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 NTC</w:t>
            </w:r>
          </w:p>
        </w:tc>
      </w:tr>
      <w:tr w14:paraId="531A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B3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63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试验电压：1500Vac；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DFC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6E9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AC1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43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试验时长：1min；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85F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3257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A04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F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漏电流：＜5mA；</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183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bl>
    <w:p w14:paraId="7AE6F233">
      <w:pPr>
        <w:keepNext w:val="0"/>
        <w:keepLines w:val="0"/>
        <w:pageBreakBefore w:val="0"/>
        <w:numPr>
          <w:ilvl w:val="0"/>
          <w:numId w:val="0"/>
        </w:numPr>
        <w:shd w:val="clear" w:color="auto" w:fill="auto"/>
        <w:kinsoku/>
        <w:wordWrap/>
        <w:overflowPunct/>
        <w:topLinePunct w:val="0"/>
        <w:autoSpaceDE/>
        <w:autoSpaceDN/>
        <w:bidi w:val="0"/>
        <w:adjustRightInd/>
        <w:snapToGrid/>
        <w:spacing w:line="240" w:lineRule="auto"/>
        <w:ind w:leftChars="0" w:firstLine="0" w:firstLineChars="0"/>
        <w:jc w:val="center"/>
        <w:rPr>
          <w:rFonts w:hint="eastAsia" w:ascii="Times New Roman" w:hAnsi="Times New Roman" w:eastAsia="宋体" w:cs="Times New Roman"/>
          <w:b w:val="0"/>
          <w:sz w:val="24"/>
          <w:szCs w:val="24"/>
          <w:highlight w:val="none"/>
          <w:lang w:val="en-US" w:eastAsia="zh-CN"/>
        </w:rPr>
      </w:pPr>
    </w:p>
    <w:p w14:paraId="35236400">
      <w:pPr>
        <w:bidi w:val="0"/>
        <w:rPr>
          <w:rFonts w:hint="eastAsia"/>
          <w:lang w:val="en-US" w:eastAsia="zh-CN"/>
        </w:rPr>
      </w:pPr>
      <w:r>
        <w:rPr>
          <w:rFonts w:hint="eastAsia"/>
          <w:lang w:val="en-US" w:eastAsia="zh-CN"/>
        </w:rPr>
        <w:t>2.7.3 气密性测试项目及要求</w:t>
      </w:r>
    </w:p>
    <w:tbl>
      <w:tblPr>
        <w:tblStyle w:val="41"/>
        <w:tblW w:w="94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0"/>
        <w:gridCol w:w="4740"/>
      </w:tblGrid>
      <w:tr w14:paraId="3563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1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项目</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1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技术要求</w:t>
            </w:r>
          </w:p>
        </w:tc>
      </w:tr>
      <w:tr w14:paraId="2C7B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F3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电机内部腔体气密性试验</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0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试验压力：-25 kPa（相对）</w:t>
            </w:r>
          </w:p>
        </w:tc>
      </w:tr>
      <w:tr w14:paraId="5E7A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C3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7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填充时间：20 秒</w:t>
            </w:r>
          </w:p>
        </w:tc>
      </w:tr>
      <w:tr w14:paraId="4200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F82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AB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稳定时间：25 秒</w:t>
            </w:r>
          </w:p>
        </w:tc>
      </w:tr>
      <w:tr w14:paraId="20CAE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F5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83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测试时间：10 秒</w:t>
            </w:r>
          </w:p>
        </w:tc>
      </w:tr>
      <w:tr w14:paraId="0025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DAA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A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判定标准：电机腔体内部压降不得超过 8ml/min</w:t>
            </w:r>
          </w:p>
        </w:tc>
      </w:tr>
      <w:tr w14:paraId="288E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8EE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减速器内部腔体气密性试验</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8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试验压力：25 kPa（相对）</w:t>
            </w:r>
          </w:p>
        </w:tc>
      </w:tr>
      <w:tr w14:paraId="2B69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9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3C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填充时间：30 秒</w:t>
            </w:r>
          </w:p>
        </w:tc>
      </w:tr>
      <w:tr w14:paraId="1ED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361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B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稳定时间：25 秒</w:t>
            </w:r>
          </w:p>
        </w:tc>
      </w:tr>
      <w:tr w14:paraId="6695B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F6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A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测试时间：10 秒</w:t>
            </w:r>
          </w:p>
        </w:tc>
      </w:tr>
      <w:tr w14:paraId="379B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4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8F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判定标准：减速器腔体内部压降不得超过 11ml/min</w:t>
            </w:r>
          </w:p>
        </w:tc>
      </w:tr>
    </w:tbl>
    <w:p w14:paraId="71DCAAE7">
      <w:pPr>
        <w:bidi w:val="0"/>
        <w:rPr>
          <w:rFonts w:hint="default"/>
          <w:lang w:val="en-US" w:eastAsia="zh-CN"/>
        </w:rPr>
      </w:pPr>
    </w:p>
    <w:p w14:paraId="72B5ACB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2.8 试制数据采集</w:t>
      </w:r>
    </w:p>
    <w:p w14:paraId="4E51866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测试工位的数据需保存至本地备查（工控机可参考IPC-610-H I7，32G），需预留后续信息化升级数据传输接口。</w:t>
      </w:r>
    </w:p>
    <w:p w14:paraId="4637D5C4">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数据保存格式按照招标方相关要求执行。</w:t>
      </w:r>
    </w:p>
    <w:p w14:paraId="3556CCB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2.9 工位器具</w:t>
      </w:r>
    </w:p>
    <w:p w14:paraId="278B638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压装油封、轴承、旋变以及盖板的压装工装；</w:t>
      </w:r>
    </w:p>
    <w:p w14:paraId="2C1EE63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定制存放转子的专用工位器具，设计应避免磁钢吸附撞击崩边；</w:t>
      </w:r>
    </w:p>
    <w:p w14:paraId="25F8685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定制立式定子底座，保证定子绕组端部悬空不受压；</w:t>
      </w:r>
    </w:p>
    <w:p w14:paraId="63E74F5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产线采用柔性结构，各工位间采用小车进行转运，要求设计合理，易于产品转运及物料的上下线，具备一定防护功能，小车符合人体工程学设计，运转流畅并具备锁止功能，满足现场转运需求；</w:t>
      </w:r>
    </w:p>
    <w:p w14:paraId="0923910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针对外围件装配设计专门的外围件装配工作台，操作者站立作业，操作台操作符合人机工程，可以实现所有外围件的装配；后续经过简单改造可并入量产产线；</w:t>
      </w:r>
    </w:p>
    <w:p w14:paraId="5D2D3BDD">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需使用招标方提供的气密检测仪（孚罗里西JWFMFL400型）进行气密检测，进行封堵的设计、组装及调试。</w:t>
      </w:r>
    </w:p>
    <w:p w14:paraId="46488B1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2.10 测试设备其余要求</w:t>
      </w:r>
    </w:p>
    <w:p w14:paraId="2B6FA00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测试设备需放置在设备机柜中，设备机柜需进行烤漆或喷塑，外观颜色RAL9002。</w:t>
      </w:r>
    </w:p>
    <w:p w14:paraId="40308369">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五、设备基本要求</w:t>
      </w:r>
    </w:p>
    <w:p w14:paraId="2E6F5310">
      <w:pPr>
        <w:pStyle w:val="131"/>
        <w:autoSpaceDE w:val="0"/>
        <w:autoSpaceDN w:val="0"/>
        <w:spacing w:line="360" w:lineRule="auto"/>
        <w:ind w:firstLine="48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1、基本要求：</w:t>
      </w:r>
    </w:p>
    <w:p w14:paraId="281C975A">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bookmarkStart w:id="115" w:name="_Toc15387"/>
      <w:r>
        <w:rPr>
          <w:rFonts w:hint="eastAsia" w:ascii="宋体" w:hAnsi="宋体" w:eastAsia="宋体" w:cs="Times New Roman"/>
          <w:sz w:val="24"/>
          <w:szCs w:val="24"/>
          <w:highlight w:val="none"/>
          <w:lang w:val="en-US" w:eastAsia="zh-CN"/>
        </w:rPr>
        <w:t>机械结构、工装设计合理，承载安全系数高；动作平稳，方便维护。</w:t>
      </w:r>
      <w:bookmarkEnd w:id="115"/>
    </w:p>
    <w:p w14:paraId="5E319DD5">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bookmarkStart w:id="116" w:name="_Toc4255"/>
      <w:r>
        <w:rPr>
          <w:rFonts w:hint="eastAsia" w:ascii="宋体" w:hAnsi="宋体" w:eastAsia="宋体" w:cs="Times New Roman"/>
          <w:sz w:val="24"/>
          <w:szCs w:val="24"/>
          <w:highlight w:val="none"/>
          <w:lang w:val="en-US" w:eastAsia="zh-CN"/>
        </w:rPr>
        <w:t>工件输送、夹持、举升要确保对精加工面的保护。定位机构与工件接触部要防止对工件表面产生损伤。</w:t>
      </w:r>
      <w:bookmarkEnd w:id="116"/>
    </w:p>
    <w:p w14:paraId="215EDAA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bookmarkStart w:id="117" w:name="_Toc30089"/>
      <w:r>
        <w:rPr>
          <w:rFonts w:hint="eastAsia" w:ascii="宋体" w:hAnsi="宋体" w:eastAsia="宋体" w:cs="Times New Roman"/>
          <w:sz w:val="24"/>
          <w:szCs w:val="24"/>
          <w:highlight w:val="none"/>
          <w:lang w:val="en-US" w:eastAsia="zh-CN"/>
        </w:rPr>
        <w:t>主要外购件品牌、型号、规格参数等信息，需在投标文件中予以标明。</w:t>
      </w:r>
      <w:bookmarkEnd w:id="117"/>
    </w:p>
    <w:p w14:paraId="6678AB7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设备外观保证美观，能够满足参观需要。</w:t>
      </w:r>
    </w:p>
    <w:p w14:paraId="3B2156D1">
      <w:pPr>
        <w:pStyle w:val="131"/>
        <w:autoSpaceDE w:val="0"/>
        <w:autoSpaceDN w:val="0"/>
        <w:spacing w:line="360" w:lineRule="auto"/>
        <w:ind w:firstLine="48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2、安全防护装置：</w:t>
      </w:r>
    </w:p>
    <w:p w14:paraId="614D3F6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安全防护装置符合相关标准，确保操作作业区域、工件拿取、工件装配过程的安全。</w:t>
      </w:r>
    </w:p>
    <w:p w14:paraId="4E3E7912">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3、电气系统要求：</w:t>
      </w:r>
    </w:p>
    <w:p w14:paraId="5174741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设备的电气控制部分设计、制造和安装应当遵循国家标准（GB/T 7226.1-1996）和相关规定(如3C认证等)、国际相关标准。</w:t>
      </w:r>
    </w:p>
    <w:p w14:paraId="7BA9F8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防护等级：电气柜、按钮箱、分线盒、防护等级IP54； 限位、压力等开关防护等级IP65。</w:t>
      </w:r>
    </w:p>
    <w:p w14:paraId="5909F35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电气柜：独立落地型，仿威图。柜内空间大，带照明和维修电源插座。</w:t>
      </w:r>
    </w:p>
    <w:p w14:paraId="56B1C2D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PLC系统采用西门子S7-1500系列或国产主流品牌，预留20%的输入输出点。</w:t>
      </w:r>
    </w:p>
    <w:p w14:paraId="15003B5F">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设备上使用的所有正版操作软件和控制器编程软件，所有的软件必须提供钥匙软件、序列号以及密码等，此外控制系统中有系统参数的设置等数据的修改，都必须有对应的授权级别的密码保护。</w:t>
      </w:r>
    </w:p>
    <w:p w14:paraId="6F41C59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断路器、开关电源、按钮等低压电气选用西门子、施耐德等品牌，接近开关选用BALUIFU、图尔克等品牌。</w:t>
      </w:r>
    </w:p>
    <w:p w14:paraId="4E7B791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4、气动系统：气动元件（气缸、电磁阀等）采用FESTO、SMC等知名品牌产品，并在投标文件中予以标明。</w:t>
      </w:r>
    </w:p>
    <w:p w14:paraId="41DBAC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5、设备漆色：按招标方企业标准执行。</w:t>
      </w:r>
    </w:p>
    <w:p w14:paraId="0E8AFD8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6、标识要求：电气系统要有明确标识。电气柜各元器件标识明确、线缆线号便于维修时查找。</w:t>
      </w:r>
    </w:p>
    <w:p w14:paraId="0B4A24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7、测量设备要求：</w:t>
      </w:r>
    </w:p>
    <w:p w14:paraId="2DE3B70C">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提供《监视、测量设备清单》，清单应包含所有监视和测量设备，如：压力表、温度计、试漏仪、流量计、传感器等。验收前，需提供清单中设备对应的国家、省、市级法定计量检测机构第三方检测机构出具的检定、校准或测试报告。</w:t>
      </w:r>
    </w:p>
    <w:p w14:paraId="1FC2EF4F">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8、程序图纸要求：</w:t>
      </w:r>
    </w:p>
    <w:p w14:paraId="748277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投标方必须提供所有设备程序的源代码，包括但不限于 PLC程序、HMI 程序、机器人程序、视觉程序、伺服等。</w:t>
      </w:r>
    </w:p>
    <w:p w14:paraId="165638E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投标方所提供的程序不得设置任何密码、保护等限制手段，PLC 不得设置修改下载权限，功能块不得设置密码保护。</w:t>
      </w:r>
    </w:p>
    <w:p w14:paraId="7A1DBC07">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HMI 界面等需要密码保护的程序，投标方必须提供所有级别的用户名、密码。</w:t>
      </w:r>
    </w:p>
    <w:p w14:paraId="5ED28AD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投标方需在设备验收前提供设备程序源码，HMI 界面各级用户名和密码，并保证与现场程序一致。</w:t>
      </w:r>
    </w:p>
    <w:p w14:paraId="59A456F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投标方需在终验收前提供最新的设备程序源码和电气图纸，图纸要求为可编辑原格式（EPLAN、CAD 格式）且与实际接线一致。</w:t>
      </w:r>
    </w:p>
    <w:p w14:paraId="498FA45D">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9、接口协议要求：</w:t>
      </w:r>
    </w:p>
    <w:p w14:paraId="2560612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投标方免费开放所有通讯接口，包括但不限于以太网、RS232、RS485、PROFIBUS、PROFINET、MODBUS 等常见接口，以及设备特有的专用接口。</w:t>
      </w:r>
    </w:p>
    <w:p w14:paraId="567A315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投标方免费提供数据交互功能，交互数据包括但不限于实时数据、历史数据、报警信息等。</w:t>
      </w:r>
    </w:p>
    <w:p w14:paraId="6C1C759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投标方在设备入场前提供接口的技术文档和参数说明，包括但不限于接口协议、通讯速率、数据格式等。</w:t>
      </w:r>
    </w:p>
    <w:p w14:paraId="6A18331C">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设备使用周期内，投标方免费派遣技术人员与招标方调试团队共同进行设备通讯接口的调试工作。</w:t>
      </w:r>
    </w:p>
    <w:p w14:paraId="402B2FFA">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10、电机能效要求：功率≥7.5kW时，必须选用一级能效；功率＜7.5kW时，优先选用一级能效；其中，能源供应设备及年运行时间≥2000h工艺设备电机，必须选用一级能效。</w:t>
      </w:r>
    </w:p>
    <w:p w14:paraId="4A693E4A">
      <w:pPr>
        <w:spacing w:before="120" w:after="120" w:line="480" w:lineRule="exact"/>
        <w:jc w:val="center"/>
        <w:outlineLvl w:val="0"/>
        <w:rPr>
          <w:rFonts w:hint="eastAsia" w:ascii="黑体" w:eastAsia="黑体"/>
          <w:b/>
          <w:sz w:val="32"/>
          <w:szCs w:val="32"/>
        </w:rPr>
      </w:pPr>
      <w:bookmarkStart w:id="118" w:name="_Toc137705869"/>
      <w:bookmarkStart w:id="119" w:name="_Toc9668"/>
      <w:bookmarkStart w:id="120" w:name="_Toc10810"/>
      <w:bookmarkStart w:id="121" w:name="_Toc10963"/>
      <w:bookmarkStart w:id="122" w:name="_Toc5879"/>
      <w:r>
        <w:rPr>
          <w:rFonts w:hint="eastAsia" w:asciiTheme="minorEastAsia" w:hAnsiTheme="minorEastAsia" w:eastAsiaTheme="minorEastAsia" w:cstheme="minorEastAsia"/>
          <w:b/>
          <w:sz w:val="21"/>
          <w:szCs w:val="21"/>
        </w:rPr>
        <w:br w:type="page"/>
      </w:r>
      <w:r>
        <w:rPr>
          <w:rFonts w:hint="eastAsia" w:ascii="黑体" w:eastAsia="黑体"/>
          <w:b/>
          <w:sz w:val="32"/>
          <w:szCs w:val="32"/>
        </w:rPr>
        <w:t>第三章  供货范围及供货方式</w:t>
      </w:r>
      <w:bookmarkEnd w:id="118"/>
      <w:bookmarkEnd w:id="119"/>
      <w:bookmarkEnd w:id="120"/>
      <w:bookmarkEnd w:id="121"/>
      <w:bookmarkEnd w:id="122"/>
    </w:p>
    <w:p w14:paraId="7FA44848">
      <w:pPr>
        <w:pStyle w:val="4"/>
        <w:spacing w:before="120" w:after="120" w:line="480" w:lineRule="exact"/>
        <w:jc w:val="center"/>
        <w:rPr>
          <w:rFonts w:hint="eastAsia"/>
          <w:b w:val="0"/>
        </w:rPr>
      </w:pPr>
      <w:bookmarkStart w:id="123" w:name="_Toc137705870"/>
      <w:bookmarkStart w:id="124" w:name="_Toc10065"/>
      <w:bookmarkStart w:id="125" w:name="_Toc22761"/>
      <w:bookmarkStart w:id="126" w:name="_Toc19615"/>
      <w:bookmarkStart w:id="127" w:name="_Toc15892"/>
      <w:r>
        <w:rPr>
          <w:rFonts w:hint="eastAsia"/>
          <w:b w:val="0"/>
        </w:rPr>
        <w:t>第一节  供货范围</w:t>
      </w:r>
      <w:bookmarkEnd w:id="123"/>
      <w:bookmarkEnd w:id="124"/>
      <w:bookmarkEnd w:id="125"/>
      <w:bookmarkEnd w:id="126"/>
      <w:bookmarkEnd w:id="127"/>
    </w:p>
    <w:p w14:paraId="382A9623">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一、主要货物一般供货范围界定</w:t>
      </w:r>
    </w:p>
    <w:p w14:paraId="308ED49C">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1、供货范围包括本技术标书“采购货物概况” 所列及所要求的设备。</w:t>
      </w:r>
    </w:p>
    <w:p w14:paraId="5A072113">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2、供货范围包括为保证设备正常安装、调试和验收完成及以前所必需的整套配件、附件及材料、油料、控制软件及程序或指令等。</w:t>
      </w:r>
    </w:p>
    <w:p w14:paraId="13EA47D0">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如果终验收完成后，投标方有需要收回的配件、附件、材料、油料等，应当在投标文件的技术偏离条款中，予以详细说明；否则视同包括在供货范围之内。</w:t>
      </w:r>
    </w:p>
    <w:p w14:paraId="03AF5690">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3、供货范围包括货物维护维修所必需的专用工具。</w:t>
      </w:r>
    </w:p>
    <w:p w14:paraId="52EC0F7F">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30DD05D4">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如投标方难以提供或无优势提供以及属于选用配置的，则应当在投标文件的技术偏离条款中，予以详细说明并注明投标报价未包含该部分的货值。</w:t>
      </w:r>
    </w:p>
    <w:p w14:paraId="26B4CA94">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5、供货范围包括为保证设备自身正常运行所必需的、满足使用地点环境条件的通风、冷却、降温等必需设施。</w:t>
      </w:r>
    </w:p>
    <w:p w14:paraId="6DD4DEE8">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6、以“交钥匙”方式采购的设备，在满足技术标书本节上述要求之外，供货范围还包括如下界定（货物）：</w:t>
      </w:r>
    </w:p>
    <w:p w14:paraId="47AED63C">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1A3D9E17">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6.2  供货范围包括设备正常运行所必需的全套连线设备、材料等。如货物端联接法兰外端面之内的、电气系统接口压线板（插座等）之内的设备、材料、联接螺栓、垫片等。</w:t>
      </w:r>
    </w:p>
    <w:p w14:paraId="735D7525">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6.3  供货范围包括设备正常运行、使用所需要的过桥、护栏、防护网、盖板等辅助设施。</w:t>
      </w:r>
    </w:p>
    <w:p w14:paraId="71345919">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443FFB7A">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二、备品备件、易损件和专用耗材供货范围</w:t>
      </w:r>
    </w:p>
    <w:p w14:paraId="05581A61">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1E8A17BD">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2、投标方应提供设备维修所必需的专用工具，并附详细清单（包括名称、型号、规格、单位、数量、生产厂家、单价、总价等条目）；</w:t>
      </w:r>
    </w:p>
    <w:p w14:paraId="43B4FDD5">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3、供货范围包括易损件和专用耗材的制造图纸及其技术要求等资料。</w:t>
      </w:r>
    </w:p>
    <w:p w14:paraId="7D68E273">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4、为了保证设备质保期满后，还能得到优惠的备件供应，投标方须提供每个部件的零件图，还需提供一份常用的零部件及外购件（含易损件、易耗品等）价格表及供货周期，以后每年以此次报价为基准，允许根据市场情况进行一次调整。标准设备和非标设备的工装备件清单、投标方、联系方式、价格，在合同签订之后四个月内提交给招标方。</w:t>
      </w:r>
    </w:p>
    <w:p w14:paraId="5125A852">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5、备品备件、易损件和专用耗材，其费用应分类单列，并计入投标总报价之中。</w:t>
      </w:r>
    </w:p>
    <w:p w14:paraId="6B8FEAB8">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三、技术资料供货范围</w:t>
      </w:r>
    </w:p>
    <w:p w14:paraId="7DA57596">
      <w:pPr>
        <w:overflowPunct w:val="0"/>
        <w:spacing w:line="360" w:lineRule="auto"/>
        <w:ind w:firstLine="420" w:firstLineChars="200"/>
        <w:rPr>
          <w:rFonts w:hint="eastAsia" w:ascii="宋体" w:hAnsi="宋体"/>
          <w:bCs/>
        </w:rPr>
      </w:pPr>
      <w:r>
        <w:rPr>
          <w:rFonts w:hint="eastAsia" w:ascii="宋体" w:hAnsi="宋体"/>
        </w:rPr>
        <w:t>1、在</w:t>
      </w:r>
      <w:r>
        <w:rPr>
          <w:rFonts w:hint="eastAsia" w:ascii="宋体" w:hAnsi="宋体"/>
          <w:bCs/>
        </w:rPr>
        <w:t>合同签订后</w:t>
      </w:r>
      <w:r>
        <w:rPr>
          <w:rFonts w:hint="eastAsia" w:ascii="宋体" w:hAnsi="宋体"/>
          <w:bCs/>
          <w:u w:val="single"/>
          <w:shd w:val="pct10" w:color="auto" w:fill="FFFFFF"/>
        </w:rPr>
        <w:t xml:space="preserve"> 20 </w:t>
      </w:r>
      <w:r>
        <w:rPr>
          <w:rFonts w:hint="eastAsia" w:ascii="宋体" w:hAnsi="宋体"/>
          <w:bCs/>
        </w:rPr>
        <w:t>个日历日内，提供设备基础及相关的设计、制作所需的纸质及电子版资料；电子版文件应当能够使用常用版本软件可以阅读甚至使用，进口货物、设备应有中外文对照。</w:t>
      </w:r>
    </w:p>
    <w:p w14:paraId="2FCD278F">
      <w:pPr>
        <w:overflowPunct w:val="0"/>
        <w:spacing w:line="360" w:lineRule="auto"/>
        <w:ind w:firstLine="420" w:firstLineChars="200"/>
        <w:rPr>
          <w:rFonts w:hint="eastAsia" w:ascii="宋体" w:hAnsi="宋体"/>
        </w:rPr>
      </w:pPr>
      <w:r>
        <w:rPr>
          <w:rFonts w:hint="eastAsia" w:ascii="宋体" w:hAnsi="宋体"/>
        </w:rPr>
        <w:t>2、在预验收前，</w:t>
      </w:r>
      <w:r>
        <w:rPr>
          <w:rFonts w:hint="eastAsia" w:ascii="宋体" w:hAnsi="宋体"/>
          <w:bCs/>
        </w:rPr>
        <w:t>提供设备各部分的功能描述文件、图片、影像等资料（进口、设备应有中外文对照）。</w:t>
      </w:r>
    </w:p>
    <w:p w14:paraId="7EFB40F7">
      <w:pPr>
        <w:overflowPunct w:val="0"/>
        <w:spacing w:line="360" w:lineRule="auto"/>
        <w:ind w:firstLine="420" w:firstLineChars="200"/>
        <w:rPr>
          <w:rFonts w:hint="eastAsia" w:ascii="宋体" w:hAnsi="宋体"/>
        </w:rPr>
      </w:pPr>
      <w:r>
        <w:rPr>
          <w:rFonts w:hint="eastAsia" w:ascii="宋体" w:hAnsi="宋体"/>
        </w:rPr>
        <w:t>3、在终验收前，提供为保证设备后续正常运行所需的工装、吊（挂）具明细及其图纸、具体技术要求等资料（如果供货范围包含该部分实物）。</w:t>
      </w:r>
    </w:p>
    <w:p w14:paraId="7C7B1002">
      <w:pPr>
        <w:overflowPunct w:val="0"/>
        <w:spacing w:line="360" w:lineRule="auto"/>
        <w:ind w:firstLine="420" w:firstLineChars="200"/>
        <w:rPr>
          <w:rFonts w:hint="eastAsia" w:ascii="宋体" w:hAnsi="宋体"/>
        </w:rPr>
      </w:pPr>
      <w:r>
        <w:rPr>
          <w:rFonts w:hint="eastAsia" w:ascii="宋体" w:hAnsi="宋体"/>
        </w:rPr>
        <w:t>4、在终验收前，提供确定的维修所需要且招标方可以自行采购的外购件、外协件、电气元件及主要原材料的供货厂家明细表。</w:t>
      </w:r>
    </w:p>
    <w:p w14:paraId="29B0ED0F">
      <w:pPr>
        <w:overflowPunct w:val="0"/>
        <w:spacing w:line="360" w:lineRule="auto"/>
        <w:ind w:firstLine="420" w:firstLineChars="200"/>
        <w:rPr>
          <w:rFonts w:hint="eastAsia" w:ascii="宋体" w:hAnsi="宋体"/>
        </w:rPr>
      </w:pPr>
      <w:r>
        <w:rPr>
          <w:rFonts w:hint="eastAsia" w:ascii="宋体" w:hAnsi="宋体"/>
        </w:rPr>
        <w:t>5、在终验收后的第一笔货款支付日之前，提供包括设备的备品备件、易损件和专用耗材的图纸及技术参数、技术要求等资料。</w:t>
      </w:r>
    </w:p>
    <w:p w14:paraId="611BE24A">
      <w:pPr>
        <w:overflowPunct w:val="0"/>
        <w:spacing w:line="360" w:lineRule="auto"/>
        <w:ind w:firstLine="420" w:firstLineChars="200"/>
        <w:rPr>
          <w:rFonts w:hint="eastAsia" w:ascii="宋体" w:hAnsi="宋体"/>
        </w:rPr>
      </w:pPr>
      <w:r>
        <w:rPr>
          <w:rFonts w:hint="eastAsia" w:ascii="宋体" w:hAnsi="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6A686914">
      <w:pPr>
        <w:overflowPunct w:val="0"/>
        <w:spacing w:line="360" w:lineRule="auto"/>
        <w:ind w:firstLine="420" w:firstLineChars="200"/>
        <w:rPr>
          <w:rFonts w:hint="eastAsia" w:ascii="宋体" w:hAnsi="宋体"/>
        </w:rPr>
      </w:pPr>
      <w:r>
        <w:rPr>
          <w:rFonts w:hint="eastAsia" w:ascii="宋体" w:hAnsi="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806DEC5">
      <w:pPr>
        <w:overflowPunct w:val="0"/>
        <w:spacing w:line="360" w:lineRule="auto"/>
        <w:ind w:firstLine="420" w:firstLineChars="200"/>
        <w:rPr>
          <w:rFonts w:hint="eastAsia" w:ascii="宋体" w:hAnsi="宋体"/>
        </w:rPr>
      </w:pPr>
      <w:r>
        <w:rPr>
          <w:rFonts w:hint="eastAsia" w:ascii="宋体" w:hAnsi="宋体"/>
        </w:rPr>
        <w:t>8、本条款所列的技术资料、图片、影像等，投标方应各提供2套，其中1套为电子版光（U）盘；每份技术文件应装有目录清单。</w:t>
      </w:r>
    </w:p>
    <w:p w14:paraId="46413B90">
      <w:pPr>
        <w:overflowPunct w:val="0"/>
        <w:spacing w:line="360" w:lineRule="auto"/>
        <w:ind w:firstLine="420" w:firstLineChars="200"/>
        <w:rPr>
          <w:rFonts w:hint="eastAsia" w:ascii="宋体" w:hAnsi="宋体"/>
        </w:rPr>
      </w:pPr>
      <w:r>
        <w:rPr>
          <w:rFonts w:hint="eastAsia" w:ascii="宋体" w:hAnsi="宋体"/>
        </w:rPr>
        <w:t>9、本条款所列要求，如招标方认为投标方提供的资料不能满足要求时，有权要求投标方免费补充或增加。</w:t>
      </w:r>
    </w:p>
    <w:p w14:paraId="33B14B43">
      <w:pPr>
        <w:pStyle w:val="29"/>
        <w:rPr>
          <w:rFonts w:hint="eastAsia"/>
        </w:rPr>
      </w:pPr>
    </w:p>
    <w:p w14:paraId="33D7F092">
      <w:pPr>
        <w:pStyle w:val="4"/>
        <w:spacing w:before="120" w:after="120" w:line="480" w:lineRule="exact"/>
        <w:jc w:val="center"/>
        <w:rPr>
          <w:rFonts w:hint="eastAsia"/>
          <w:b w:val="0"/>
        </w:rPr>
      </w:pPr>
      <w:bookmarkStart w:id="128" w:name="_Toc26064"/>
      <w:bookmarkStart w:id="129" w:name="_Toc9858"/>
      <w:bookmarkStart w:id="130" w:name="_Toc8159"/>
      <w:bookmarkStart w:id="131" w:name="_Toc13936"/>
      <w:bookmarkStart w:id="132" w:name="_Toc137705871"/>
      <w:r>
        <w:rPr>
          <w:rFonts w:hint="eastAsia"/>
          <w:b w:val="0"/>
        </w:rPr>
        <w:t>第二节  供货方式</w:t>
      </w:r>
      <w:bookmarkEnd w:id="128"/>
      <w:bookmarkEnd w:id="129"/>
      <w:bookmarkEnd w:id="130"/>
      <w:bookmarkEnd w:id="131"/>
      <w:bookmarkEnd w:id="132"/>
    </w:p>
    <w:p w14:paraId="3CEFC1EF">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rPr>
        <w:t>本项目建设工地。</w:t>
      </w:r>
    </w:p>
    <w:p w14:paraId="60BB5318">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2FF8D5F">
      <w:pPr>
        <w:spacing w:line="360" w:lineRule="auto"/>
        <w:ind w:firstLine="420" w:firstLineChars="200"/>
        <w:jc w:val="left"/>
        <w:rPr>
          <w:rFonts w:hint="eastAsia" w:ascii="宋体" w:hAnsi="宋体"/>
        </w:rPr>
      </w:pPr>
      <w:r>
        <w:rPr>
          <w:rFonts w:hint="eastAsia" w:ascii="宋体" w:hAnsi="宋体"/>
        </w:rPr>
        <w:t>1、以交钥匙方式供货的，按照以下时间要求（安装调试工期超过10个日历日的，投标方应当随标书提供详细的工期计划）：</w:t>
      </w:r>
    </w:p>
    <w:p w14:paraId="2500D97C">
      <w:pPr>
        <w:spacing w:line="360" w:lineRule="auto"/>
        <w:ind w:firstLine="420" w:firstLineChars="200"/>
        <w:jc w:val="left"/>
        <w:rPr>
          <w:rFonts w:hint="eastAsia" w:ascii="宋体" w:hAnsi="宋体"/>
        </w:rPr>
      </w:pPr>
      <w:r>
        <w:rPr>
          <w:rFonts w:hint="eastAsia" w:ascii="宋体" w:hAnsi="宋体"/>
        </w:rPr>
        <w:t>1.1  自</w:t>
      </w:r>
      <w:r>
        <w:rPr>
          <w:rFonts w:ascii="宋体" w:hAnsi="宋体" w:cs="宋体"/>
        </w:rPr>
        <w:t>中标通知发出之日</w:t>
      </w:r>
      <w:r>
        <w:rPr>
          <w:rFonts w:hint="eastAsia" w:ascii="宋体" w:hAnsi="宋体"/>
        </w:rPr>
        <w:t>起，</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 </w:t>
      </w:r>
      <w:r>
        <w:rPr>
          <w:rFonts w:hint="eastAsia" w:ascii="宋体" w:hAnsi="宋体"/>
        </w:rPr>
        <w:t>个日历日之内交货至供货地点。提前开展设备基础施工，具备到货后即可进行设备安装的条件。</w:t>
      </w:r>
    </w:p>
    <w:p w14:paraId="2DA62226">
      <w:pPr>
        <w:spacing w:line="360" w:lineRule="auto"/>
        <w:ind w:firstLine="420" w:firstLineChars="200"/>
        <w:jc w:val="left"/>
        <w:rPr>
          <w:rFonts w:hint="eastAsia" w:ascii="宋体" w:hAnsi="宋体"/>
        </w:rPr>
      </w:pPr>
      <w:r>
        <w:rPr>
          <w:rFonts w:hint="eastAsia" w:ascii="宋体" w:hAnsi="宋体"/>
        </w:rPr>
        <w:t>1.2  接续</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15</w:t>
      </w:r>
      <w:r>
        <w:rPr>
          <w:rFonts w:hint="eastAsia" w:ascii="宋体" w:hAnsi="宋体"/>
          <w:u w:val="single"/>
          <w:shd w:val="pct10" w:color="auto" w:fill="FFFFFF"/>
        </w:rPr>
        <w:t xml:space="preserve"> </w:t>
      </w:r>
      <w:r>
        <w:rPr>
          <w:rFonts w:hint="eastAsia" w:ascii="宋体" w:hAnsi="宋体"/>
        </w:rPr>
        <w:t>个日历日之内安装调试完毕。</w:t>
      </w:r>
    </w:p>
    <w:p w14:paraId="0E2043A8">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三、包装</w:t>
      </w:r>
    </w:p>
    <w:p w14:paraId="0A8A85F2">
      <w:pPr>
        <w:overflowPunct w:val="0"/>
        <w:adjustRightInd w:val="0"/>
        <w:snapToGrid w:val="0"/>
        <w:spacing w:line="360" w:lineRule="auto"/>
        <w:ind w:firstLine="420" w:firstLineChars="200"/>
        <w:rPr>
          <w:rFonts w:hint="eastAsia" w:ascii="宋体" w:hAnsi="宋体"/>
        </w:rPr>
      </w:pPr>
      <w:r>
        <w:rPr>
          <w:rFonts w:hint="eastAsia" w:ascii="宋体" w:hAnsi="宋体"/>
        </w:rPr>
        <w:t>1、所提供设备的包装，应遵照国家标准和有关包装、包皮的技术条件，或按照最好的商业惯例进行包装。</w:t>
      </w:r>
    </w:p>
    <w:p w14:paraId="138AB04F">
      <w:pPr>
        <w:overflowPunct w:val="0"/>
        <w:adjustRightInd w:val="0"/>
        <w:snapToGrid w:val="0"/>
        <w:spacing w:line="360" w:lineRule="auto"/>
        <w:ind w:firstLine="420" w:firstLineChars="200"/>
        <w:rPr>
          <w:rFonts w:hint="eastAsia" w:ascii="宋体" w:hAnsi="宋体"/>
        </w:rPr>
      </w:pPr>
      <w:r>
        <w:rPr>
          <w:rFonts w:hint="eastAsia" w:ascii="宋体" w:hAnsi="宋体"/>
        </w:rPr>
        <w:t>2、包装应能满足所需要采取的运输方式（船运、汽运或铁路运输）、多次吊装卸装、卸货以及长期露天堆放要求，应能防止雨淋、受潮、生锈、腐蚀、受振、受磁以及机械和化学因素等引起的损坏。</w:t>
      </w:r>
    </w:p>
    <w:p w14:paraId="4C7F9F46">
      <w:pPr>
        <w:overflowPunct w:val="0"/>
        <w:adjustRightInd w:val="0"/>
        <w:snapToGrid w:val="0"/>
        <w:spacing w:line="360" w:lineRule="auto"/>
        <w:ind w:firstLine="420" w:firstLineChars="200"/>
        <w:rPr>
          <w:rFonts w:hint="eastAsia" w:ascii="宋体" w:hAnsi="宋体"/>
        </w:rPr>
      </w:pPr>
      <w:r>
        <w:rPr>
          <w:rFonts w:hint="eastAsia" w:ascii="宋体" w:hAnsi="宋体"/>
        </w:rPr>
        <w:t>3、所提供设备的包装，应能防止其一般性被窃或受外力破坏；一般不得采用有大缝隙的板条包装。</w:t>
      </w:r>
    </w:p>
    <w:p w14:paraId="0E27D895">
      <w:pPr>
        <w:overflowPunct w:val="0"/>
        <w:adjustRightInd w:val="0"/>
        <w:snapToGrid w:val="0"/>
        <w:spacing w:line="360" w:lineRule="auto"/>
        <w:ind w:firstLine="420" w:firstLineChars="200"/>
        <w:rPr>
          <w:rFonts w:hint="eastAsia" w:ascii="宋体" w:hAnsi="宋体"/>
        </w:rPr>
      </w:pPr>
      <w:r>
        <w:rPr>
          <w:rFonts w:hint="eastAsia" w:ascii="宋体" w:hAnsi="宋体"/>
        </w:rPr>
        <w:t>4、应对包装件做必要的加固和固定，以防止运输可能造成的损坏。</w:t>
      </w:r>
    </w:p>
    <w:p w14:paraId="05BD5972">
      <w:pPr>
        <w:overflowPunct w:val="0"/>
        <w:adjustRightInd w:val="0"/>
        <w:snapToGrid w:val="0"/>
        <w:spacing w:line="360" w:lineRule="auto"/>
        <w:ind w:firstLine="420" w:firstLineChars="200"/>
        <w:rPr>
          <w:rFonts w:hint="eastAsia" w:ascii="宋体" w:hAnsi="宋体"/>
        </w:rPr>
      </w:pPr>
      <w:r>
        <w:rPr>
          <w:rFonts w:hint="eastAsia" w:ascii="宋体" w:hAnsi="宋体"/>
        </w:rPr>
        <w:t>5、每个包装件应有装箱单，并至少标明名称、型号规格、数量、净重和毛重、投标方（或供货商）名称和制造日期等相关内容。</w:t>
      </w:r>
    </w:p>
    <w:p w14:paraId="0A11D623">
      <w:pPr>
        <w:overflowPunct w:val="0"/>
        <w:adjustRightInd w:val="0"/>
        <w:snapToGrid w:val="0"/>
        <w:spacing w:line="360" w:lineRule="auto"/>
        <w:ind w:firstLine="420" w:firstLineChars="200"/>
        <w:rPr>
          <w:rFonts w:hint="eastAsia" w:ascii="宋体" w:hAnsi="宋体"/>
        </w:rPr>
      </w:pPr>
      <w:r>
        <w:rPr>
          <w:rFonts w:hint="eastAsia" w:ascii="宋体" w:hAnsi="宋体"/>
        </w:rPr>
        <w:t>6、每个包装箱应有明显标志，并具有中文书写的合同号、装运标志、发货和到货地点名称、发货人和收货人名称、设备名称和项目号、箱号和外型尺寸等内容。</w:t>
      </w:r>
    </w:p>
    <w:p w14:paraId="077CFAC3">
      <w:pPr>
        <w:overflowPunct w:val="0"/>
        <w:adjustRightInd w:val="0"/>
        <w:snapToGrid w:val="0"/>
        <w:spacing w:line="360" w:lineRule="auto"/>
        <w:ind w:firstLine="420" w:firstLineChars="200"/>
        <w:rPr>
          <w:rFonts w:hint="eastAsia" w:ascii="宋体" w:hAnsi="宋体"/>
        </w:rPr>
      </w:pPr>
      <w:r>
        <w:rPr>
          <w:rFonts w:hint="eastAsia" w:ascii="宋体" w:hAnsi="宋体"/>
        </w:rPr>
        <w:t>7、应按照不同的装运要求在包装箱上标明“小心轻放”、“箭头向上”、“防潮”、“防磁”、“不准平放”等标志，以及其它适用的国标通用标志。</w:t>
      </w:r>
    </w:p>
    <w:p w14:paraId="36DDB6E2">
      <w:pPr>
        <w:overflowPunct w:val="0"/>
        <w:adjustRightInd w:val="0"/>
        <w:snapToGrid w:val="0"/>
        <w:spacing w:line="360" w:lineRule="auto"/>
        <w:ind w:firstLine="420" w:firstLineChars="200"/>
        <w:rPr>
          <w:rFonts w:hint="eastAsia" w:ascii="宋体" w:hAnsi="宋体"/>
        </w:rPr>
      </w:pPr>
      <w:r>
        <w:rPr>
          <w:rFonts w:hint="eastAsia" w:ascii="宋体" w:hAnsi="宋体"/>
        </w:rPr>
        <w:t>8、包装箱应连续编号，不应出现重复编号。</w:t>
      </w:r>
    </w:p>
    <w:p w14:paraId="1BDC4590">
      <w:pPr>
        <w:overflowPunct w:val="0"/>
        <w:adjustRightInd w:val="0"/>
        <w:snapToGrid w:val="0"/>
        <w:spacing w:line="360" w:lineRule="auto"/>
        <w:ind w:firstLine="420" w:firstLineChars="200"/>
        <w:rPr>
          <w:rFonts w:hint="eastAsia" w:ascii="宋体" w:hAnsi="宋体"/>
        </w:rPr>
      </w:pPr>
      <w:r>
        <w:rPr>
          <w:rFonts w:hint="eastAsia" w:ascii="宋体" w:hAnsi="宋体"/>
        </w:rPr>
        <w:t>9、在不受到外界破坏情况下，包装应保证自交货日起一年内货物（或设备）完好无损。</w:t>
      </w:r>
    </w:p>
    <w:p w14:paraId="0F35952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四、运输</w:t>
      </w:r>
    </w:p>
    <w:p w14:paraId="756288F2">
      <w:pPr>
        <w:overflowPunct w:val="0"/>
        <w:adjustRightInd w:val="0"/>
        <w:snapToGrid w:val="0"/>
        <w:spacing w:line="360" w:lineRule="auto"/>
        <w:ind w:firstLine="420" w:firstLineChars="200"/>
        <w:rPr>
          <w:rFonts w:hint="eastAsia" w:ascii="宋体" w:hAnsi="宋体"/>
        </w:rPr>
      </w:pPr>
      <w:r>
        <w:rPr>
          <w:rFonts w:hint="eastAsia" w:ascii="宋体" w:hAnsi="宋体"/>
        </w:rPr>
        <w:t>1、应负责将设备运到目的地，并必须做到设备在任何运输过程中不受损坏和遗失。</w:t>
      </w:r>
    </w:p>
    <w:p w14:paraId="365F17F5">
      <w:pPr>
        <w:overflowPunct w:val="0"/>
        <w:adjustRightInd w:val="0"/>
        <w:snapToGrid w:val="0"/>
        <w:spacing w:line="360" w:lineRule="auto"/>
        <w:ind w:firstLine="420" w:firstLineChars="200"/>
        <w:rPr>
          <w:rFonts w:hint="eastAsia" w:ascii="宋体" w:hAnsi="宋体"/>
        </w:rPr>
      </w:pPr>
      <w:r>
        <w:rPr>
          <w:rFonts w:hint="eastAsia" w:ascii="宋体" w:hAnsi="宋体"/>
        </w:rPr>
        <w:t>2、同批设备应统一包装、编号运输。</w:t>
      </w:r>
    </w:p>
    <w:p w14:paraId="6C9EFD98">
      <w:pPr>
        <w:overflowPunct w:val="0"/>
        <w:adjustRightInd w:val="0"/>
        <w:snapToGrid w:val="0"/>
        <w:spacing w:line="360" w:lineRule="auto"/>
        <w:ind w:firstLine="420" w:firstLineChars="200"/>
        <w:rPr>
          <w:rFonts w:hint="eastAsia" w:ascii="宋体" w:hAnsi="宋体"/>
        </w:rPr>
      </w:pPr>
      <w:r>
        <w:rPr>
          <w:rFonts w:hint="eastAsia" w:ascii="宋体" w:hAnsi="宋体"/>
        </w:rPr>
        <w:t>3、一般情况下，经由铁路、公路运输的包装件尺寸和重量不应超过国家所规定的尺寸限制。特殊情况应予以说明。</w:t>
      </w:r>
    </w:p>
    <w:p w14:paraId="548B16D9">
      <w:pPr>
        <w:overflowPunct w:val="0"/>
        <w:adjustRightInd w:val="0"/>
        <w:snapToGrid w:val="0"/>
        <w:spacing w:line="360" w:lineRule="auto"/>
        <w:ind w:firstLine="420" w:firstLineChars="200"/>
        <w:rPr>
          <w:rFonts w:hint="eastAsia" w:ascii="宋体" w:hAnsi="宋体"/>
        </w:rPr>
      </w:pPr>
      <w:r>
        <w:rPr>
          <w:rFonts w:hint="eastAsia" w:ascii="宋体" w:hAnsi="宋体"/>
        </w:rPr>
        <w:t>4、在每批设备发出后，应立即通知招标方；通知中应指明：合同号、货运单号、件数、重量和设备发出日期等相关内容。</w:t>
      </w:r>
    </w:p>
    <w:p w14:paraId="5995E128">
      <w:pPr>
        <w:overflowPunct w:val="0"/>
        <w:adjustRightInd w:val="0"/>
        <w:snapToGrid w:val="0"/>
        <w:spacing w:line="360" w:lineRule="auto"/>
        <w:ind w:firstLine="420" w:firstLineChars="200"/>
        <w:rPr>
          <w:rFonts w:hint="eastAsia" w:ascii="宋体" w:hAnsi="宋体"/>
        </w:rPr>
      </w:pPr>
      <w:r>
        <w:rPr>
          <w:rFonts w:hint="eastAsia" w:ascii="宋体" w:hAnsi="宋体"/>
        </w:rPr>
        <w:t>5、设备运抵交货地点后，应负责货物（或设备）的卸货、搬运、保管等事宜；或按照合同约定。</w:t>
      </w:r>
    </w:p>
    <w:p w14:paraId="01C0553C">
      <w:pPr>
        <w:rPr>
          <w:rFonts w:hint="eastAsia"/>
        </w:rPr>
      </w:pPr>
    </w:p>
    <w:p w14:paraId="4186EE84">
      <w:pPr>
        <w:rPr>
          <w:rFonts w:hint="eastAsia"/>
        </w:rPr>
      </w:pPr>
    </w:p>
    <w:p w14:paraId="38948ECA">
      <w:pPr>
        <w:pStyle w:val="2"/>
        <w:spacing w:before="120" w:after="120" w:line="480" w:lineRule="exact"/>
        <w:jc w:val="center"/>
        <w:rPr>
          <w:rFonts w:hint="eastAsia" w:ascii="黑体" w:eastAsia="黑体"/>
          <w:b w:val="0"/>
          <w:sz w:val="32"/>
          <w:szCs w:val="32"/>
        </w:rPr>
      </w:pPr>
      <w:bookmarkStart w:id="133" w:name="_Toc9796"/>
      <w:bookmarkStart w:id="134" w:name="_Toc30960"/>
      <w:bookmarkStart w:id="135" w:name="_Toc28593"/>
      <w:bookmarkStart w:id="136" w:name="_Toc137705872"/>
      <w:bookmarkStart w:id="137" w:name="_Toc2931"/>
      <w:r>
        <w:rPr>
          <w:rFonts w:hint="eastAsia" w:ascii="黑体" w:eastAsia="黑体"/>
          <w:b w:val="0"/>
          <w:bCs w:val="0"/>
          <w:sz w:val="32"/>
          <w:szCs w:val="32"/>
        </w:rPr>
        <w:br w:type="page"/>
      </w:r>
      <w:r>
        <w:rPr>
          <w:rFonts w:hint="eastAsia" w:ascii="黑体" w:eastAsia="黑体"/>
          <w:b w:val="0"/>
          <w:bCs w:val="0"/>
          <w:sz w:val="32"/>
          <w:szCs w:val="32"/>
        </w:rPr>
        <w:t>第四章  质保期及售中售后服务</w:t>
      </w:r>
      <w:bookmarkEnd w:id="133"/>
      <w:bookmarkEnd w:id="134"/>
      <w:bookmarkEnd w:id="135"/>
      <w:bookmarkEnd w:id="136"/>
      <w:bookmarkEnd w:id="137"/>
    </w:p>
    <w:p w14:paraId="70D1ED2B">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一、质保期及质保要求</w:t>
      </w:r>
    </w:p>
    <w:p w14:paraId="53DDD380">
      <w:pPr>
        <w:spacing w:line="360" w:lineRule="auto"/>
        <w:ind w:firstLine="420" w:firstLineChars="200"/>
        <w:jc w:val="left"/>
        <w:rPr>
          <w:rFonts w:hint="eastAsia" w:ascii="宋体" w:hAnsi="宋体"/>
        </w:rPr>
      </w:pPr>
      <w:r>
        <w:rPr>
          <w:rFonts w:hint="eastAsia" w:ascii="宋体" w:hAnsi="宋体"/>
        </w:rPr>
        <w:t>1、全部供货范围内的设备、材料、零配件和工器具等，除合同特别约定外，其质保期均自终验收签字生效之日起</w:t>
      </w:r>
      <w:r>
        <w:rPr>
          <w:rFonts w:hint="eastAsia" w:ascii="宋体" w:hAnsi="宋体"/>
          <w:u w:val="single"/>
          <w:shd w:val="pct10" w:color="auto" w:fill="FFFFFF"/>
        </w:rPr>
        <w:t xml:space="preserve"> 12 </w:t>
      </w:r>
      <w:r>
        <w:rPr>
          <w:rFonts w:hint="eastAsia" w:ascii="宋体" w:hAnsi="宋体"/>
        </w:rPr>
        <w:t>个月。</w:t>
      </w:r>
    </w:p>
    <w:p w14:paraId="502B4507">
      <w:pPr>
        <w:spacing w:line="360" w:lineRule="auto"/>
        <w:ind w:firstLine="420" w:firstLineChars="200"/>
        <w:jc w:val="left"/>
        <w:rPr>
          <w:rFonts w:hint="eastAsia" w:ascii="宋体" w:hAnsi="宋体"/>
        </w:rPr>
      </w:pPr>
      <w:r>
        <w:rPr>
          <w:rFonts w:hint="eastAsia" w:ascii="宋体" w:hAnsi="宋体"/>
        </w:rPr>
        <w:t>投标货物或涉及的关键总成和零件，如果有更长时间质保期，允许更改并说明，此将有利于投标方。</w:t>
      </w:r>
    </w:p>
    <w:p w14:paraId="754E29A5">
      <w:pPr>
        <w:spacing w:line="360" w:lineRule="auto"/>
        <w:ind w:firstLine="420" w:firstLineChars="200"/>
        <w:jc w:val="left"/>
        <w:rPr>
          <w:rFonts w:hint="eastAsia" w:ascii="宋体" w:hAnsi="宋体"/>
        </w:rPr>
      </w:pPr>
      <w:r>
        <w:rPr>
          <w:rFonts w:hint="eastAsia" w:ascii="宋体" w:hAnsi="宋体"/>
        </w:rPr>
        <w:t>设计使用寿命短于质保期的易损件除外，但属于易损件的，应当有明确说明。</w:t>
      </w:r>
    </w:p>
    <w:p w14:paraId="621EEDDC">
      <w:pPr>
        <w:spacing w:line="360" w:lineRule="auto"/>
        <w:ind w:firstLine="420" w:firstLineChars="200"/>
        <w:jc w:val="left"/>
        <w:rPr>
          <w:rFonts w:hint="eastAsia" w:ascii="宋体" w:hAnsi="宋体"/>
        </w:rPr>
      </w:pPr>
      <w:r>
        <w:rPr>
          <w:rFonts w:hint="eastAsia" w:ascii="宋体" w:hAnsi="宋体"/>
        </w:rPr>
        <w:t>2、质保期之内，如果设备出现设备、总成、关键零部件或者多处一般零部件的更换或维修行为，则质保期自更换或维修行为结束、设备重新正常运行使用之日起重新计算。</w:t>
      </w:r>
    </w:p>
    <w:p w14:paraId="1D45619B">
      <w:pPr>
        <w:spacing w:line="360" w:lineRule="auto"/>
        <w:ind w:firstLine="420" w:firstLineChars="200"/>
        <w:jc w:val="left"/>
        <w:rPr>
          <w:rFonts w:hint="eastAsia" w:ascii="宋体" w:hAnsi="宋体"/>
        </w:rPr>
      </w:pPr>
      <w:r>
        <w:rPr>
          <w:rFonts w:hint="eastAsia" w:ascii="宋体" w:hAnsi="宋体"/>
        </w:rPr>
        <w:t>3、质保期内免费提供零部件和及时有效的服务。质保期内因货物本身缺陷造成的各种故障，投标方应负责免费维修和服务。</w:t>
      </w:r>
    </w:p>
    <w:p w14:paraId="7FA20600">
      <w:pPr>
        <w:spacing w:line="360" w:lineRule="auto"/>
        <w:ind w:firstLine="420" w:firstLineChars="200"/>
        <w:jc w:val="left"/>
        <w:rPr>
          <w:rFonts w:hint="eastAsia" w:ascii="宋体" w:hAnsi="宋体"/>
        </w:rPr>
      </w:pPr>
      <w:r>
        <w:rPr>
          <w:rFonts w:hint="eastAsia" w:ascii="宋体" w:hAnsi="宋体"/>
        </w:rPr>
        <w:t>4、质保期终止之日起一年内重复出现的质保期之内出现的故障，仍属质保范围而且应当免费。</w:t>
      </w:r>
    </w:p>
    <w:p w14:paraId="357A238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二、技术及培训服务</w:t>
      </w:r>
    </w:p>
    <w:p w14:paraId="02C00A63">
      <w:pPr>
        <w:adjustRightInd w:val="0"/>
        <w:snapToGrid w:val="0"/>
        <w:spacing w:line="360" w:lineRule="auto"/>
        <w:ind w:firstLine="420" w:firstLineChars="200"/>
        <w:rPr>
          <w:rFonts w:hint="eastAsia" w:ascii="宋体" w:hAnsi="宋体"/>
        </w:rPr>
      </w:pPr>
      <w:r>
        <w:rPr>
          <w:rFonts w:hint="eastAsia" w:ascii="宋体" w:hAnsi="宋体"/>
        </w:rPr>
        <w:t>1、应负责对招标方</w:t>
      </w:r>
      <w:r>
        <w:rPr>
          <w:rFonts w:hint="eastAsia" w:ascii="宋体" w:hAnsi="宋体"/>
          <w:u w:val="single"/>
          <w:shd w:val="pct10" w:color="auto" w:fill="FFFFFF"/>
        </w:rPr>
        <w:t xml:space="preserve">  3～5  </w:t>
      </w:r>
      <w:r>
        <w:rPr>
          <w:rFonts w:hint="eastAsia" w:ascii="宋体" w:hAnsi="宋体"/>
        </w:rPr>
        <w:t>名技术、维修和操作人员提供不少于</w:t>
      </w:r>
      <w:r>
        <w:rPr>
          <w:rFonts w:hint="eastAsia" w:ascii="宋体" w:hAnsi="宋体"/>
          <w:u w:val="single"/>
          <w:shd w:val="pct10" w:color="auto" w:fill="FFFFFF"/>
        </w:rPr>
        <w:t xml:space="preserve">  5  </w:t>
      </w:r>
      <w:r>
        <w:rPr>
          <w:rFonts w:hint="eastAsia" w:ascii="宋体" w:hAnsi="宋体"/>
        </w:rPr>
        <w:t>个日历日的免费的、招标方生产制造现场的理论、技术和操作、维修等方面的技术指导和培训</w:t>
      </w:r>
      <w:r>
        <w:rPr>
          <w:rFonts w:hint="eastAsia"/>
          <w:lang w:val="zh-CN"/>
        </w:rPr>
        <w:t>。</w:t>
      </w:r>
    </w:p>
    <w:p w14:paraId="4DC1CEDC">
      <w:pPr>
        <w:adjustRightInd w:val="0"/>
        <w:snapToGrid w:val="0"/>
        <w:spacing w:line="360" w:lineRule="auto"/>
        <w:ind w:firstLine="420" w:firstLineChars="200"/>
        <w:rPr>
          <w:rFonts w:hint="eastAsia" w:ascii="宋体" w:hAnsi="宋体"/>
        </w:rPr>
      </w:pPr>
      <w:r>
        <w:rPr>
          <w:rFonts w:hint="eastAsia" w:ascii="宋体" w:hAnsi="宋体"/>
        </w:rPr>
        <w:t>2、应负责在招标方设备使用现场，进行1～2次免费的技术指导和培训，并接受招标方有关人员的技术咨询。</w:t>
      </w:r>
    </w:p>
    <w:p w14:paraId="62CBF0FD">
      <w:pPr>
        <w:adjustRightInd w:val="0"/>
        <w:snapToGrid w:val="0"/>
        <w:spacing w:line="360" w:lineRule="auto"/>
        <w:ind w:firstLine="420" w:firstLineChars="200"/>
        <w:rPr>
          <w:rFonts w:hint="eastAsia" w:ascii="宋体" w:hAnsi="宋体"/>
        </w:rPr>
      </w:pPr>
      <w:r>
        <w:rPr>
          <w:rFonts w:hint="eastAsia" w:ascii="宋体" w:hAnsi="宋体"/>
        </w:rPr>
        <w:t>3、应免费提供一定数量的培训资料。</w:t>
      </w:r>
    </w:p>
    <w:p w14:paraId="43E1B798">
      <w:pPr>
        <w:adjustRightInd w:val="0"/>
        <w:snapToGrid w:val="0"/>
        <w:spacing w:line="360" w:lineRule="auto"/>
        <w:ind w:firstLine="420" w:firstLineChars="200"/>
        <w:rPr>
          <w:rFonts w:hint="eastAsia" w:ascii="宋体" w:hAnsi="宋体"/>
        </w:rPr>
      </w:pPr>
      <w:r>
        <w:rPr>
          <w:rFonts w:hint="eastAsia" w:ascii="宋体" w:hAnsi="宋体"/>
        </w:rPr>
        <w:t>4、应按要求免费积极协助和提供招标方以及招标方所委托的工程设计单位有关人员所需要的、与设备有关的工程设计资料、技术咨询等。</w:t>
      </w:r>
    </w:p>
    <w:p w14:paraId="073EF123">
      <w:pPr>
        <w:adjustRightInd w:val="0"/>
        <w:snapToGrid w:val="0"/>
        <w:spacing w:line="360" w:lineRule="auto"/>
        <w:ind w:firstLine="420" w:firstLineChars="200"/>
        <w:rPr>
          <w:rFonts w:hint="eastAsia" w:ascii="宋体" w:hAnsi="宋体"/>
        </w:rPr>
      </w:pPr>
      <w:r>
        <w:rPr>
          <w:rFonts w:hint="eastAsia" w:ascii="宋体" w:hAnsi="宋体"/>
        </w:rPr>
        <w:t>5、若投标方提供的设备涉及到外购外协货物、而且该货物的技术质量等较为关键时，投标方应能保证得到配套厂家的技术支持，并免费为招标方提供技术服务。</w:t>
      </w:r>
    </w:p>
    <w:p w14:paraId="1B7B37D9">
      <w:pPr>
        <w:adjustRightInd w:val="0"/>
        <w:snapToGrid w:val="0"/>
        <w:spacing w:line="360" w:lineRule="auto"/>
        <w:ind w:firstLine="420" w:firstLineChars="200"/>
        <w:rPr>
          <w:rFonts w:hint="eastAsia" w:ascii="宋体" w:hAnsi="宋体"/>
        </w:rPr>
      </w:pPr>
      <w:r>
        <w:rPr>
          <w:rFonts w:hint="eastAsia" w:ascii="宋体" w:hAnsi="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6EC0E3B3">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三、安装调试及验收服务</w:t>
      </w:r>
    </w:p>
    <w:p w14:paraId="70A45B39">
      <w:pPr>
        <w:adjustRightInd w:val="0"/>
        <w:snapToGrid w:val="0"/>
        <w:spacing w:line="360" w:lineRule="auto"/>
        <w:ind w:firstLine="420" w:firstLineChars="200"/>
        <w:rPr>
          <w:rFonts w:hint="eastAsia" w:ascii="宋体" w:hAnsi="宋体"/>
        </w:rPr>
      </w:pPr>
      <w:r>
        <w:rPr>
          <w:rFonts w:hint="eastAsia" w:ascii="宋体" w:hAnsi="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D478776">
      <w:pPr>
        <w:adjustRightInd w:val="0"/>
        <w:snapToGrid w:val="0"/>
        <w:spacing w:line="360" w:lineRule="auto"/>
        <w:ind w:firstLine="420" w:firstLineChars="200"/>
        <w:rPr>
          <w:rFonts w:hint="eastAsia" w:ascii="宋体" w:hAnsi="宋体"/>
        </w:rPr>
      </w:pPr>
      <w:r>
        <w:rPr>
          <w:rFonts w:hint="eastAsia" w:ascii="宋体" w:hAnsi="宋体"/>
        </w:rPr>
        <w:t>2、若投标方提供的设备涉及到外购外协货物、而且该货物的技术质量等较为关键时，应保证能得到供应商的技术支持，并免费为招标方提供安装使用现场的指导与培训。</w:t>
      </w:r>
    </w:p>
    <w:p w14:paraId="418D90C5">
      <w:pPr>
        <w:adjustRightInd w:val="0"/>
        <w:snapToGrid w:val="0"/>
        <w:spacing w:line="360" w:lineRule="auto"/>
        <w:ind w:firstLine="420" w:firstLineChars="200"/>
        <w:rPr>
          <w:rFonts w:hint="eastAsia" w:ascii="宋体" w:hAnsi="宋体"/>
        </w:rPr>
      </w:pPr>
      <w:r>
        <w:rPr>
          <w:rFonts w:hint="eastAsia" w:ascii="宋体" w:hAnsi="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3F2E53CD">
      <w:pPr>
        <w:adjustRightInd w:val="0"/>
        <w:snapToGrid w:val="0"/>
        <w:spacing w:line="360" w:lineRule="auto"/>
        <w:ind w:firstLine="420" w:firstLineChars="200"/>
        <w:rPr>
          <w:rFonts w:hint="eastAsia" w:ascii="宋体" w:hAnsi="宋体"/>
        </w:rPr>
      </w:pPr>
      <w:r>
        <w:rPr>
          <w:rFonts w:hint="eastAsia" w:ascii="宋体" w:hAnsi="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2B8C1EC2">
      <w:pPr>
        <w:adjustRightInd w:val="0"/>
        <w:snapToGrid w:val="0"/>
        <w:spacing w:line="360" w:lineRule="auto"/>
        <w:ind w:firstLine="420" w:firstLineChars="200"/>
        <w:rPr>
          <w:rFonts w:hint="eastAsia" w:ascii="宋体" w:hAnsi="宋体"/>
        </w:rPr>
      </w:pPr>
      <w:r>
        <w:rPr>
          <w:rFonts w:hint="eastAsia" w:ascii="宋体" w:hAnsi="宋体"/>
        </w:rPr>
        <w:t>5、投标方应当向招标方提供货物试验、验收的有关标准、规范和方法，同时提供货物涉及并使用的软件合法性证明。</w:t>
      </w:r>
    </w:p>
    <w:p w14:paraId="66DA269D">
      <w:pPr>
        <w:adjustRightInd w:val="0"/>
        <w:snapToGrid w:val="0"/>
        <w:spacing w:line="360" w:lineRule="auto"/>
        <w:ind w:firstLine="420" w:firstLineChars="200"/>
        <w:rPr>
          <w:rFonts w:hint="eastAsia" w:ascii="宋体" w:hAnsi="宋体"/>
        </w:rPr>
      </w:pPr>
      <w:r>
        <w:rPr>
          <w:rFonts w:hint="eastAsia" w:ascii="宋体" w:hAnsi="宋体"/>
        </w:rPr>
        <w:t>6、服务缺陷视同货物缺陷和履约延期。</w:t>
      </w:r>
    </w:p>
    <w:p w14:paraId="574CD5A8">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四、售后服务</w:t>
      </w:r>
    </w:p>
    <w:p w14:paraId="5A373012">
      <w:pPr>
        <w:adjustRightInd w:val="0"/>
        <w:snapToGrid w:val="0"/>
        <w:spacing w:line="360" w:lineRule="auto"/>
        <w:ind w:firstLine="420" w:firstLineChars="200"/>
        <w:rPr>
          <w:rFonts w:hint="eastAsia" w:ascii="宋体" w:hAnsi="宋体"/>
        </w:rPr>
      </w:pPr>
      <w:r>
        <w:rPr>
          <w:rFonts w:hint="eastAsia" w:ascii="宋体" w:hAnsi="宋体"/>
        </w:rPr>
        <w:t>1、投标方提供的设备涉及的所有售后服务均由投标方负责。如果发生问题并且收到通知，投标方应当在2小时内予以答复。</w:t>
      </w:r>
    </w:p>
    <w:p w14:paraId="22786E82">
      <w:pPr>
        <w:adjustRightInd w:val="0"/>
        <w:snapToGrid w:val="0"/>
        <w:spacing w:line="360" w:lineRule="auto"/>
        <w:ind w:firstLine="420" w:firstLineChars="200"/>
        <w:rPr>
          <w:rFonts w:hint="eastAsia" w:ascii="宋体" w:hAnsi="宋体"/>
        </w:rPr>
      </w:pPr>
      <w:r>
        <w:rPr>
          <w:rFonts w:hint="eastAsia" w:ascii="宋体" w:hAnsi="宋体"/>
        </w:rPr>
        <w:t>2、如发现所提供的设备存在问题，需要投标方解决或配合解决时：在质保期之内，应在接到通知后</w:t>
      </w:r>
      <w:r>
        <w:rPr>
          <w:rFonts w:hint="eastAsia" w:ascii="宋体" w:hAnsi="宋体"/>
          <w:u w:val="single"/>
          <w:shd w:val="pct10" w:color="auto" w:fill="FFFFFF"/>
        </w:rPr>
        <w:t xml:space="preserve">  24  </w:t>
      </w:r>
      <w:r>
        <w:rPr>
          <w:rFonts w:hint="eastAsia" w:ascii="宋体" w:hAnsi="宋体"/>
        </w:rPr>
        <w:t>小时内派有关人员到达现场；在质保期之外，应在接到通知后</w:t>
      </w:r>
      <w:r>
        <w:rPr>
          <w:rFonts w:hint="eastAsia" w:ascii="宋体" w:hAnsi="宋体"/>
          <w:u w:val="single"/>
          <w:shd w:val="pct10" w:color="auto" w:fill="FFFFFF"/>
        </w:rPr>
        <w:t xml:space="preserve">  24  </w:t>
      </w:r>
      <w:r>
        <w:rPr>
          <w:rFonts w:hint="eastAsia" w:ascii="宋体" w:hAnsi="宋体"/>
        </w:rPr>
        <w:t>小时内派有关人员到达现场。</w:t>
      </w:r>
    </w:p>
    <w:p w14:paraId="2AA08D7D">
      <w:pPr>
        <w:adjustRightInd w:val="0"/>
        <w:snapToGrid w:val="0"/>
        <w:spacing w:line="360" w:lineRule="auto"/>
        <w:ind w:firstLine="420" w:firstLineChars="200"/>
        <w:rPr>
          <w:rFonts w:hint="eastAsia" w:ascii="宋体" w:hAnsi="宋体"/>
        </w:rPr>
      </w:pPr>
      <w:r>
        <w:rPr>
          <w:rFonts w:hint="eastAsia" w:ascii="宋体" w:hAnsi="宋体"/>
        </w:rPr>
        <w:t>3、投标方派往招标方使用现场的人员，应具有较高的业务素质；现场解决问题时，不得无故拖延或推迟，应为招标方提供最佳的服务。</w:t>
      </w:r>
    </w:p>
    <w:p w14:paraId="38F122F3">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五、其它服务</w:t>
      </w:r>
    </w:p>
    <w:p w14:paraId="7836C208">
      <w:pPr>
        <w:adjustRightInd w:val="0"/>
        <w:snapToGrid w:val="0"/>
        <w:spacing w:line="360" w:lineRule="auto"/>
        <w:ind w:firstLine="420" w:firstLineChars="200"/>
        <w:rPr>
          <w:rFonts w:hint="eastAsia" w:ascii="宋体" w:hAnsi="宋体"/>
        </w:rPr>
      </w:pPr>
      <w:r>
        <w:rPr>
          <w:rFonts w:hint="eastAsia" w:ascii="宋体" w:hAnsi="宋体"/>
        </w:rPr>
        <w:t>1、若投标方所提供设备有需要进口的，投标方一般应自行、自费办理；必要时，买卖双方共同办理。</w:t>
      </w:r>
    </w:p>
    <w:p w14:paraId="23FBD4AF">
      <w:pPr>
        <w:adjustRightInd w:val="0"/>
        <w:snapToGrid w:val="0"/>
        <w:spacing w:line="360" w:lineRule="auto"/>
        <w:ind w:firstLine="420" w:firstLineChars="200"/>
        <w:rPr>
          <w:rFonts w:hint="eastAsia" w:ascii="宋体" w:hAnsi="宋体"/>
        </w:rPr>
      </w:pPr>
      <w:r>
        <w:rPr>
          <w:rFonts w:hint="eastAsia" w:ascii="宋体" w:hAnsi="宋体"/>
        </w:rPr>
        <w:t>2、除招标文件、投标文件、答疑文件、技术协议、合同等约定之外，投标方应免费负责必要的或强制性的设备的检验、试验、化验等直接费用。</w:t>
      </w:r>
    </w:p>
    <w:p w14:paraId="41DA8967">
      <w:pPr>
        <w:spacing w:line="360" w:lineRule="auto"/>
        <w:ind w:firstLine="420" w:firstLineChars="200"/>
        <w:rPr>
          <w:rFonts w:hint="eastAsia" w:ascii="宋体" w:hAnsi="宋体"/>
        </w:rPr>
      </w:pPr>
      <w:r>
        <w:rPr>
          <w:rFonts w:hint="eastAsia" w:ascii="宋体" w:hAnsi="宋体"/>
        </w:rPr>
        <w:t>3、本章节条款所列“免费”，并非指定不可收费，而是指招标文件、投标文件、</w:t>
      </w:r>
      <w:r>
        <w:rPr>
          <w:rFonts w:hint="eastAsia"/>
        </w:rPr>
        <w:t>答疑文件、技术交流文件、技术协议书和合同等范围之外，投标方不可另行收取的费用。</w:t>
      </w:r>
    </w:p>
    <w:p w14:paraId="2E1AB2B9">
      <w:pPr>
        <w:pStyle w:val="2"/>
        <w:spacing w:before="120" w:after="120" w:line="480" w:lineRule="exact"/>
        <w:jc w:val="center"/>
        <w:rPr>
          <w:rFonts w:hint="eastAsia" w:ascii="黑体" w:eastAsia="黑体"/>
          <w:b w:val="0"/>
          <w:sz w:val="32"/>
          <w:szCs w:val="32"/>
        </w:rPr>
      </w:pPr>
      <w:r>
        <w:rPr>
          <w:rFonts w:ascii="宋体" w:hAnsi="宋体"/>
        </w:rPr>
        <w:br w:type="page"/>
      </w:r>
      <w:bookmarkStart w:id="138" w:name="_Toc21539"/>
      <w:bookmarkStart w:id="139" w:name="_Toc23200"/>
      <w:bookmarkStart w:id="140" w:name="_Toc19419"/>
      <w:bookmarkStart w:id="141" w:name="_Toc9060"/>
      <w:bookmarkStart w:id="142" w:name="_Toc137705873"/>
      <w:r>
        <w:rPr>
          <w:rFonts w:hint="eastAsia" w:ascii="黑体" w:eastAsia="黑体"/>
          <w:b w:val="0"/>
          <w:sz w:val="32"/>
          <w:szCs w:val="32"/>
        </w:rPr>
        <w:t>第五章  预验收和终验收</w:t>
      </w:r>
      <w:bookmarkEnd w:id="138"/>
      <w:bookmarkEnd w:id="139"/>
      <w:bookmarkEnd w:id="140"/>
      <w:bookmarkEnd w:id="141"/>
      <w:bookmarkEnd w:id="142"/>
    </w:p>
    <w:p w14:paraId="5962CB76">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0B1A1AE7">
      <w:pPr>
        <w:spacing w:line="360" w:lineRule="auto"/>
        <w:ind w:firstLine="420" w:firstLineChars="200"/>
        <w:rPr>
          <w:rFonts w:hint="eastAsia" w:ascii="宋体" w:hAnsi="宋体"/>
        </w:rPr>
      </w:pPr>
      <w:r>
        <w:rPr>
          <w:rFonts w:hint="eastAsia" w:ascii="宋体" w:hAnsi="宋体"/>
        </w:rPr>
        <w:t>1、验收标准一般以技术协议书和合同规定验收。</w:t>
      </w:r>
    </w:p>
    <w:p w14:paraId="583C2878">
      <w:pPr>
        <w:adjustRightInd w:val="0"/>
        <w:snapToGrid w:val="0"/>
        <w:spacing w:line="360" w:lineRule="auto"/>
        <w:ind w:firstLine="420" w:firstLineChars="200"/>
        <w:rPr>
          <w:rFonts w:hint="eastAsia" w:ascii="宋体" w:hAnsi="宋体"/>
        </w:rPr>
      </w:pPr>
      <w:r>
        <w:rPr>
          <w:rFonts w:hint="eastAsia" w:ascii="宋体" w:hAnsi="宋体"/>
        </w:rPr>
        <w:t>2、如果验收过程中，发现招标文件、投标文件、答疑文件、技术交流文件等与技术协议书、合同存在差异，原则上以涉及条款中对招标方最有利条款为验收依据。</w:t>
      </w:r>
    </w:p>
    <w:p w14:paraId="00A91B9E">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7285EFF4">
      <w:pPr>
        <w:adjustRightInd w:val="0"/>
        <w:snapToGrid w:val="0"/>
        <w:spacing w:line="360" w:lineRule="auto"/>
        <w:ind w:firstLine="420" w:firstLineChars="200"/>
        <w:rPr>
          <w:color w:val="000000"/>
          <w:szCs w:val="20"/>
        </w:rPr>
      </w:pPr>
      <w:r>
        <w:rPr>
          <w:color w:val="000000"/>
          <w:szCs w:val="20"/>
        </w:rPr>
        <w:t>如果采购货物涉及必要的或必需的检验，投标方应当在投标档中明确可能涉及的检验费用，并将该费用包含在投标总报价之内；不作针对性澄清或说明的，视同包含在投标总价之内。基本约定如下：</w:t>
      </w:r>
    </w:p>
    <w:p w14:paraId="662E32AB">
      <w:pPr>
        <w:adjustRightInd w:val="0"/>
        <w:snapToGrid w:val="0"/>
        <w:spacing w:line="360" w:lineRule="auto"/>
        <w:ind w:firstLine="420" w:firstLineChars="200"/>
        <w:rPr>
          <w:rFonts w:hint="eastAsia" w:ascii="宋体" w:hAnsi="宋体"/>
        </w:rPr>
      </w:pPr>
      <w:r>
        <w:rPr>
          <w:rFonts w:hint="eastAsia" w:ascii="宋体" w:hAnsi="宋体"/>
        </w:rPr>
        <w:t>1、国产货物的检验由买卖双方按照合同要求或在制造现场进行。</w:t>
      </w:r>
    </w:p>
    <w:p w14:paraId="66022DB9">
      <w:pPr>
        <w:adjustRightInd w:val="0"/>
        <w:snapToGrid w:val="0"/>
        <w:spacing w:line="360" w:lineRule="auto"/>
        <w:ind w:firstLine="420" w:firstLineChars="200"/>
        <w:rPr>
          <w:rFonts w:hint="eastAsia" w:ascii="宋体" w:hAnsi="宋体"/>
        </w:rPr>
      </w:pPr>
      <w:r>
        <w:rPr>
          <w:rFonts w:hint="eastAsia" w:ascii="宋体" w:hAnsi="宋体"/>
        </w:rPr>
        <w:t>2、进口货物的检验，投标方需要按照下述要求进行：</w:t>
      </w:r>
    </w:p>
    <w:p w14:paraId="402FEED5">
      <w:pPr>
        <w:adjustRightInd w:val="0"/>
        <w:snapToGrid w:val="0"/>
        <w:spacing w:line="360" w:lineRule="auto"/>
        <w:ind w:firstLine="420" w:firstLineChars="200"/>
        <w:rPr>
          <w:rFonts w:ascii="宋体" w:hAnsi="宋体"/>
        </w:rPr>
      </w:pPr>
      <w:r>
        <w:rPr>
          <w:rFonts w:hint="eastAsia" w:ascii="宋体" w:hAnsi="宋体"/>
        </w:rPr>
        <w:t>2.1  进口货物发货前，应对货物的质量、型号、规格、性能和数量/重量作精密、全面的检验，并出具证明书，证明所供货物符合合同规定。</w:t>
      </w:r>
    </w:p>
    <w:p w14:paraId="1C4F9B33">
      <w:pPr>
        <w:adjustRightInd w:val="0"/>
        <w:snapToGrid w:val="0"/>
        <w:spacing w:line="360" w:lineRule="auto"/>
        <w:ind w:firstLine="420" w:firstLineChars="200"/>
        <w:rPr>
          <w:rFonts w:ascii="宋体" w:hAnsi="宋体"/>
        </w:rPr>
      </w:pPr>
      <w:r>
        <w:rPr>
          <w:rFonts w:hint="eastAsia" w:ascii="宋体" w:hAnsi="宋体"/>
        </w:rPr>
        <w:t>2.2  应依据合同规定的要求，提供买卖双方达成一致的货物的验收标准和装箱单，作为招标方检验的依据。</w:t>
      </w:r>
    </w:p>
    <w:p w14:paraId="231FB5D0">
      <w:pPr>
        <w:adjustRightInd w:val="0"/>
        <w:snapToGrid w:val="0"/>
        <w:spacing w:line="360" w:lineRule="auto"/>
        <w:ind w:firstLine="420" w:firstLineChars="200"/>
        <w:rPr>
          <w:rFonts w:hint="eastAsia" w:ascii="宋体" w:hAnsi="宋体"/>
        </w:rPr>
      </w:pPr>
      <w:r>
        <w:rPr>
          <w:rFonts w:hint="eastAsia" w:ascii="宋体" w:hAnsi="宋体"/>
        </w:rPr>
        <w:t>2.3  进口货物到达目的地后，招标方有权申请中国商品检验检疫局进行检验，如发现货物的品质及规格与合同或发票不符，除招标方的责任外，招标方有权在货物到达卸货目的地后18</w:t>
      </w:r>
      <w:r>
        <w:rPr>
          <w:rFonts w:ascii="宋体" w:hAnsi="宋体"/>
        </w:rPr>
        <w:t>0</w:t>
      </w:r>
      <w:r>
        <w:rPr>
          <w:rFonts w:hint="eastAsia" w:ascii="宋体" w:hAnsi="宋体"/>
        </w:rPr>
        <w:t>个日历日内，根据中国商品检验检疫局出具的证明书向投标方提出索赔，因索赔所发生的一切费用</w:t>
      </w:r>
      <w:r>
        <w:rPr>
          <w:rFonts w:ascii="宋体" w:hAnsi="宋体"/>
        </w:rPr>
        <w:t>(</w:t>
      </w:r>
      <w:r>
        <w:rPr>
          <w:rFonts w:hint="eastAsia" w:ascii="宋体" w:hAnsi="宋体"/>
        </w:rPr>
        <w:t>包括检验检疫费等</w:t>
      </w:r>
      <w:r>
        <w:rPr>
          <w:rFonts w:ascii="宋体" w:hAnsi="宋体"/>
        </w:rPr>
        <w:t>)</w:t>
      </w:r>
      <w:r>
        <w:rPr>
          <w:rFonts w:hint="eastAsia" w:ascii="宋体" w:hAnsi="宋体"/>
        </w:rPr>
        <w:t>均由投标方承担。</w:t>
      </w:r>
    </w:p>
    <w:p w14:paraId="54520BA4">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00EA4133">
      <w:pPr>
        <w:adjustRightInd w:val="0"/>
        <w:snapToGrid w:val="0"/>
        <w:spacing w:line="360" w:lineRule="auto"/>
        <w:ind w:firstLine="420" w:firstLineChars="200"/>
        <w:rPr>
          <w:color w:val="000000"/>
          <w:szCs w:val="20"/>
        </w:rPr>
      </w:pPr>
      <w:r>
        <w:rPr>
          <w:rFonts w:hint="eastAsia"/>
          <w:color w:val="000000"/>
          <w:szCs w:val="20"/>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12FEC6A0">
      <w:pPr>
        <w:adjustRightInd w:val="0"/>
        <w:snapToGrid w:val="0"/>
        <w:spacing w:line="360" w:lineRule="auto"/>
        <w:ind w:firstLine="420" w:firstLineChars="200"/>
        <w:rPr>
          <w:color w:val="000000"/>
          <w:szCs w:val="20"/>
        </w:rPr>
      </w:pPr>
      <w:r>
        <w:rPr>
          <w:rFonts w:hint="eastAsia"/>
          <w:color w:val="000000"/>
          <w:szCs w:val="20"/>
        </w:rPr>
        <w:t>买卖双方按照合同约定执行了合同，同时货物完成了试运行并经检验合格，则具备验收条件。</w:t>
      </w:r>
    </w:p>
    <w:p w14:paraId="35A25230">
      <w:pPr>
        <w:adjustRightInd w:val="0"/>
        <w:snapToGrid w:val="0"/>
        <w:spacing w:line="360" w:lineRule="auto"/>
        <w:ind w:firstLine="420" w:firstLineChars="200"/>
        <w:rPr>
          <w:color w:val="000000"/>
          <w:szCs w:val="20"/>
        </w:rPr>
      </w:pPr>
      <w:r>
        <w:rPr>
          <w:rFonts w:hint="eastAsia"/>
          <w:color w:val="000000"/>
          <w:szCs w:val="20"/>
        </w:rPr>
        <w:t>1、预验收一般条件</w:t>
      </w:r>
    </w:p>
    <w:p w14:paraId="3853E578">
      <w:pPr>
        <w:adjustRightInd w:val="0"/>
        <w:snapToGrid w:val="0"/>
        <w:spacing w:line="360" w:lineRule="auto"/>
        <w:ind w:firstLine="420" w:firstLineChars="200"/>
        <w:rPr>
          <w:color w:val="000000"/>
          <w:szCs w:val="20"/>
        </w:rPr>
      </w:pPr>
      <w:r>
        <w:rPr>
          <w:rFonts w:hint="eastAsia"/>
          <w:color w:val="000000"/>
          <w:szCs w:val="20"/>
        </w:rPr>
        <w:t>1.1 卖方已经按照“供货范围”要求提供了预验收资料，并且资料齐全、完整和有效。</w:t>
      </w:r>
    </w:p>
    <w:p w14:paraId="60D4B60A">
      <w:pPr>
        <w:adjustRightInd w:val="0"/>
        <w:snapToGrid w:val="0"/>
        <w:spacing w:line="360" w:lineRule="auto"/>
        <w:ind w:firstLine="420" w:firstLineChars="200"/>
        <w:rPr>
          <w:color w:val="000000"/>
          <w:szCs w:val="20"/>
        </w:rPr>
      </w:pPr>
      <w:r>
        <w:rPr>
          <w:rFonts w:hint="eastAsia"/>
          <w:color w:val="000000"/>
          <w:szCs w:val="20"/>
        </w:rPr>
        <w:t>1.</w:t>
      </w:r>
      <w:r>
        <w:rPr>
          <w:color w:val="000000"/>
          <w:szCs w:val="20"/>
        </w:rPr>
        <w:t>2</w:t>
      </w:r>
      <w:r>
        <w:rPr>
          <w:rFonts w:hint="eastAsia"/>
          <w:color w:val="000000"/>
          <w:szCs w:val="20"/>
        </w:rPr>
        <w:t xml:space="preserve"> 货物应完整且所有的零部件应该安装牢固，外观无损伤，所有的焊缝饱满、无残渣等缺陷。</w:t>
      </w:r>
    </w:p>
    <w:p w14:paraId="350AF5E3">
      <w:pPr>
        <w:adjustRightInd w:val="0"/>
        <w:snapToGrid w:val="0"/>
        <w:spacing w:line="360" w:lineRule="auto"/>
        <w:ind w:firstLine="420" w:firstLineChars="200"/>
        <w:rPr>
          <w:color w:val="000000"/>
          <w:szCs w:val="20"/>
        </w:rPr>
      </w:pPr>
      <w:r>
        <w:rPr>
          <w:rFonts w:hint="eastAsia"/>
          <w:color w:val="000000"/>
          <w:szCs w:val="20"/>
        </w:rPr>
        <w:t>1.</w:t>
      </w:r>
      <w:r>
        <w:rPr>
          <w:color w:val="000000"/>
          <w:szCs w:val="20"/>
        </w:rPr>
        <w:t>3</w:t>
      </w:r>
      <w:r>
        <w:rPr>
          <w:rFonts w:hint="eastAsia"/>
          <w:color w:val="000000"/>
          <w:szCs w:val="20"/>
        </w:rPr>
        <w:t xml:space="preserve"> 一般情况下，所有的管路和线缆等，接头应完全正确、可靠地联接；应排列有序（正确、牢固、整齐），有必要的防护，无皱褶、收缩和裂缝等不良现象。</w:t>
      </w:r>
    </w:p>
    <w:p w14:paraId="07E48B41">
      <w:pPr>
        <w:adjustRightInd w:val="0"/>
        <w:snapToGrid w:val="0"/>
        <w:spacing w:line="360" w:lineRule="auto"/>
        <w:ind w:firstLine="420" w:firstLineChars="200"/>
        <w:rPr>
          <w:rFonts w:hint="eastAsia" w:ascii="宋体" w:hAnsi="宋体" w:cs="宋体"/>
        </w:rPr>
      </w:pPr>
      <w:r>
        <w:rPr>
          <w:rFonts w:hint="eastAsia" w:ascii="宋体" w:hAnsi="宋体" w:cs="宋体"/>
        </w:rPr>
        <w:t>1.4 使用的压力容器、电气等应具备合格证（如果有压力容器）。</w:t>
      </w:r>
    </w:p>
    <w:p w14:paraId="0BD119EC">
      <w:pPr>
        <w:adjustRightInd w:val="0"/>
        <w:snapToGrid w:val="0"/>
        <w:spacing w:line="360" w:lineRule="auto"/>
        <w:ind w:firstLine="420" w:firstLineChars="200"/>
        <w:rPr>
          <w:rFonts w:hint="eastAsia" w:ascii="宋体" w:hAnsi="宋体" w:cs="宋体"/>
        </w:rPr>
      </w:pPr>
      <w:r>
        <w:rPr>
          <w:rFonts w:hint="eastAsia" w:ascii="宋体" w:hAnsi="宋体" w:cs="宋体"/>
        </w:rPr>
        <w:t>1.5 货物的油漆质量应饱满、有光泽，无掉漆、无色差、无“桔皮”等不良现象（特殊标志除外）。</w:t>
      </w:r>
    </w:p>
    <w:p w14:paraId="27DF470F">
      <w:pPr>
        <w:adjustRightInd w:val="0"/>
        <w:snapToGrid w:val="0"/>
        <w:spacing w:line="360" w:lineRule="auto"/>
        <w:ind w:firstLine="420" w:firstLineChars="200"/>
        <w:rPr>
          <w:rFonts w:hint="eastAsia" w:ascii="宋体" w:hAnsi="宋体" w:cs="宋体"/>
        </w:rPr>
      </w:pPr>
      <w:r>
        <w:rPr>
          <w:rFonts w:hint="eastAsia" w:ascii="宋体" w:hAnsi="宋体" w:cs="宋体"/>
        </w:rPr>
        <w:t>1.6 货物标牌完整、清晰、明确。</w:t>
      </w:r>
    </w:p>
    <w:p w14:paraId="523B593C">
      <w:pPr>
        <w:adjustRightInd w:val="0"/>
        <w:snapToGrid w:val="0"/>
        <w:spacing w:line="360" w:lineRule="auto"/>
        <w:ind w:firstLine="420" w:firstLineChars="200"/>
        <w:rPr>
          <w:rFonts w:hint="eastAsia" w:ascii="宋体" w:hAnsi="宋体" w:cs="宋体"/>
        </w:rPr>
      </w:pPr>
      <w:r>
        <w:rPr>
          <w:rFonts w:hint="eastAsia" w:ascii="宋体" w:hAnsi="宋体" w:cs="宋体"/>
        </w:rPr>
        <w:t>1.7 货物的安全要求符合中国最新的相关法律、法规、标准和规范以及合同要求。</w:t>
      </w:r>
    </w:p>
    <w:p w14:paraId="4815FA58">
      <w:pPr>
        <w:adjustRightInd w:val="0"/>
        <w:snapToGrid w:val="0"/>
        <w:spacing w:line="360" w:lineRule="auto"/>
        <w:ind w:firstLine="420" w:firstLineChars="200"/>
        <w:rPr>
          <w:rFonts w:hint="eastAsia" w:ascii="宋体" w:hAnsi="宋体" w:cs="宋体"/>
        </w:rPr>
      </w:pPr>
      <w:r>
        <w:rPr>
          <w:rFonts w:hint="eastAsia" w:ascii="宋体" w:hAnsi="宋体" w:cs="宋体"/>
        </w:rPr>
        <w:t>1.8 设备（或材料）应运行灵活、稳定、可靠、安全，无异常声音和非正常振动，设备不允许出现漏水、漏液、漏气（汽）、漏电。</w:t>
      </w:r>
    </w:p>
    <w:p w14:paraId="27C19275">
      <w:pPr>
        <w:adjustRightInd w:val="0"/>
        <w:snapToGrid w:val="0"/>
        <w:spacing w:line="360" w:lineRule="auto"/>
        <w:ind w:firstLine="420" w:firstLineChars="200"/>
        <w:rPr>
          <w:rFonts w:hint="eastAsia" w:ascii="宋体" w:hAnsi="宋体" w:cs="宋体"/>
        </w:rPr>
      </w:pPr>
      <w:r>
        <w:rPr>
          <w:rFonts w:hint="eastAsia" w:ascii="宋体" w:hAnsi="宋体" w:cs="宋体"/>
        </w:rPr>
        <w:t>2、预验收基本要求</w:t>
      </w:r>
    </w:p>
    <w:p w14:paraId="22B6D65A">
      <w:pPr>
        <w:adjustRightInd w:val="0"/>
        <w:snapToGrid w:val="0"/>
        <w:spacing w:line="360" w:lineRule="auto"/>
        <w:ind w:firstLine="420" w:firstLineChars="200"/>
        <w:rPr>
          <w:rFonts w:hint="eastAsia" w:ascii="宋体" w:hAnsi="宋体" w:cs="宋体"/>
        </w:rPr>
      </w:pPr>
      <w:r>
        <w:rPr>
          <w:rFonts w:hint="eastAsia" w:ascii="宋体" w:hAnsi="宋体" w:cs="宋体"/>
        </w:rPr>
        <w:t>2.1 设备构成、备件齐全</w:t>
      </w:r>
    </w:p>
    <w:p w14:paraId="635C554C">
      <w:pPr>
        <w:adjustRightInd w:val="0"/>
        <w:snapToGrid w:val="0"/>
        <w:spacing w:line="360" w:lineRule="auto"/>
        <w:ind w:firstLine="420" w:firstLineChars="200"/>
        <w:rPr>
          <w:rFonts w:hint="eastAsia" w:ascii="宋体" w:hAnsi="宋体" w:cs="宋体"/>
        </w:rPr>
      </w:pPr>
      <w:r>
        <w:rPr>
          <w:rFonts w:hint="eastAsia" w:ascii="宋体" w:hAnsi="宋体" w:cs="宋体"/>
        </w:rPr>
        <w:t>2.2 设备技术原理符合标书要求</w:t>
      </w:r>
    </w:p>
    <w:p w14:paraId="1BDDF0A1">
      <w:pPr>
        <w:adjustRightInd w:val="0"/>
        <w:snapToGrid w:val="0"/>
        <w:spacing w:line="360" w:lineRule="auto"/>
        <w:ind w:firstLine="420" w:firstLineChars="200"/>
        <w:rPr>
          <w:rFonts w:hint="eastAsia" w:ascii="宋体" w:hAnsi="宋体" w:cs="宋体"/>
        </w:rPr>
      </w:pPr>
      <w:r>
        <w:rPr>
          <w:rFonts w:hint="eastAsia" w:ascii="宋体" w:hAnsi="宋体" w:cs="宋体"/>
        </w:rPr>
        <w:t>2.3 预验收原则上要求一次完成。若一次验收不成功，最多允许两次；如果出现第三次验收失败，重新作价或退货；</w:t>
      </w:r>
    </w:p>
    <w:p w14:paraId="240FD303">
      <w:pPr>
        <w:adjustRightInd w:val="0"/>
        <w:snapToGrid w:val="0"/>
        <w:spacing w:line="360" w:lineRule="auto"/>
        <w:ind w:firstLine="420" w:firstLineChars="200"/>
        <w:rPr>
          <w:rFonts w:hint="eastAsia" w:ascii="宋体" w:hAnsi="宋体" w:cs="宋体"/>
        </w:rPr>
      </w:pPr>
      <w:r>
        <w:rPr>
          <w:rFonts w:hint="eastAsia" w:ascii="宋体" w:hAnsi="宋体" w:cs="宋体"/>
        </w:rPr>
        <w:t>3、终验收一般条件</w:t>
      </w:r>
    </w:p>
    <w:p w14:paraId="5EA21C86">
      <w:pPr>
        <w:adjustRightInd w:val="0"/>
        <w:snapToGrid w:val="0"/>
        <w:spacing w:line="360" w:lineRule="auto"/>
        <w:ind w:firstLine="420" w:firstLineChars="200"/>
        <w:rPr>
          <w:rFonts w:hint="eastAsia" w:ascii="宋体" w:hAnsi="宋体" w:cs="宋体"/>
        </w:rPr>
      </w:pPr>
      <w:r>
        <w:rPr>
          <w:rFonts w:hint="eastAsia" w:ascii="宋体" w:hAnsi="宋体" w:cs="宋体"/>
        </w:rPr>
        <w:t>3.1 依据招标档、投标档、答疑档、技术交流档等形成并达成一致的技术协议书和合同规定的终验收条件验收。</w:t>
      </w:r>
    </w:p>
    <w:p w14:paraId="183E70DE">
      <w:pPr>
        <w:adjustRightInd w:val="0"/>
        <w:snapToGrid w:val="0"/>
        <w:spacing w:line="360" w:lineRule="auto"/>
        <w:ind w:firstLine="420" w:firstLineChars="200"/>
        <w:rPr>
          <w:rFonts w:hint="eastAsia" w:ascii="宋体" w:hAnsi="宋体" w:cs="宋体"/>
        </w:rPr>
      </w:pPr>
      <w:r>
        <w:rPr>
          <w:rFonts w:hint="eastAsia" w:ascii="宋体" w:hAnsi="宋体" w:cs="宋体"/>
        </w:rPr>
        <w:t>3.2 出现下列问题之一，视作验收失败：</w:t>
      </w:r>
    </w:p>
    <w:p w14:paraId="5F85AD16">
      <w:pPr>
        <w:adjustRightInd w:val="0"/>
        <w:snapToGrid w:val="0"/>
        <w:spacing w:line="360" w:lineRule="auto"/>
        <w:ind w:firstLine="420" w:firstLineChars="200"/>
        <w:rPr>
          <w:rFonts w:hint="eastAsia" w:ascii="宋体" w:hAnsi="宋体" w:cs="宋体"/>
        </w:rPr>
      </w:pPr>
      <w:r>
        <w:rPr>
          <w:rFonts w:hint="eastAsia" w:ascii="宋体" w:hAnsi="宋体" w:cs="宋体"/>
        </w:rPr>
        <w:t>3.2.1 设备验收时，其参数无法满足招标书中的技术要求。</w:t>
      </w:r>
    </w:p>
    <w:p w14:paraId="51FF9924">
      <w:pPr>
        <w:adjustRightInd w:val="0"/>
        <w:snapToGrid w:val="0"/>
        <w:spacing w:line="360" w:lineRule="auto"/>
        <w:ind w:firstLine="420" w:firstLineChars="200"/>
        <w:rPr>
          <w:rFonts w:hint="eastAsia" w:ascii="宋体" w:hAnsi="宋体" w:cs="宋体"/>
        </w:rPr>
      </w:pPr>
      <w:r>
        <w:rPr>
          <w:rFonts w:hint="eastAsia" w:ascii="宋体" w:hAnsi="宋体" w:cs="宋体"/>
        </w:rPr>
        <w:t>3.2.2 在整个验收过程中发生关键零部件损坏或重大故障；</w:t>
      </w:r>
    </w:p>
    <w:p w14:paraId="3E8291DC">
      <w:pPr>
        <w:adjustRightInd w:val="0"/>
        <w:snapToGrid w:val="0"/>
        <w:spacing w:line="360" w:lineRule="auto"/>
        <w:ind w:firstLine="420" w:firstLineChars="200"/>
        <w:rPr>
          <w:rFonts w:hint="eastAsia" w:ascii="宋体" w:hAnsi="宋体" w:cs="宋体"/>
        </w:rPr>
      </w:pPr>
      <w:r>
        <w:rPr>
          <w:rFonts w:hint="eastAsia" w:ascii="宋体" w:hAnsi="宋体" w:cs="宋体"/>
        </w:rPr>
        <w:t>3.2.3 更换的零部件货值超过总货值的1%。</w:t>
      </w:r>
    </w:p>
    <w:p w14:paraId="06BA1BA7">
      <w:pPr>
        <w:adjustRightInd w:val="0"/>
        <w:snapToGrid w:val="0"/>
        <w:spacing w:line="360" w:lineRule="auto"/>
        <w:ind w:firstLine="420" w:firstLineChars="200"/>
        <w:rPr>
          <w:rFonts w:hint="eastAsia" w:ascii="宋体" w:hAnsi="宋体" w:cs="宋体"/>
        </w:rPr>
      </w:pPr>
      <w:r>
        <w:rPr>
          <w:rFonts w:hint="eastAsia" w:ascii="宋体" w:hAnsi="宋体" w:cs="宋体"/>
        </w:rPr>
        <w:t>3.3 累计负载运行实际性能（或生产率）达不到合同规定；</w:t>
      </w:r>
    </w:p>
    <w:p w14:paraId="4EE25967">
      <w:pPr>
        <w:adjustRightInd w:val="0"/>
        <w:snapToGrid w:val="0"/>
        <w:spacing w:line="360" w:lineRule="auto"/>
        <w:ind w:firstLine="420" w:firstLineChars="200"/>
        <w:rPr>
          <w:rFonts w:hint="eastAsia" w:ascii="宋体" w:hAnsi="宋体" w:cs="宋体"/>
        </w:rPr>
      </w:pPr>
      <w:r>
        <w:rPr>
          <w:rFonts w:hint="eastAsia" w:ascii="宋体" w:hAnsi="宋体" w:cs="宋体"/>
        </w:rPr>
        <w:t>3.4 终验收原则上要求一次完成。若一次验收不成功，最多允许两次；如果出现第三次验收失败，重新作价或退货；</w:t>
      </w:r>
    </w:p>
    <w:p w14:paraId="0C74E7B8">
      <w:pPr>
        <w:adjustRightInd w:val="0"/>
        <w:snapToGrid w:val="0"/>
        <w:spacing w:line="360" w:lineRule="auto"/>
        <w:ind w:firstLine="420" w:firstLineChars="200"/>
        <w:rPr>
          <w:rFonts w:hint="eastAsia" w:ascii="宋体" w:hAnsi="宋体" w:cs="宋体"/>
        </w:rPr>
      </w:pPr>
      <w:r>
        <w:rPr>
          <w:rFonts w:hint="eastAsia" w:ascii="宋体" w:hAnsi="宋体" w:cs="宋体"/>
        </w:rPr>
        <w:t>3.5 终验收通过后买卖双方共同签署终验收报告，并移交、核对全部供货范围内物品。</w:t>
      </w:r>
    </w:p>
    <w:p w14:paraId="070E44FD">
      <w:pPr>
        <w:adjustRightInd w:val="0"/>
        <w:snapToGrid w:val="0"/>
        <w:spacing w:line="360" w:lineRule="auto"/>
        <w:ind w:firstLine="420" w:firstLineChars="200"/>
        <w:rPr>
          <w:rFonts w:hint="eastAsia" w:ascii="宋体" w:hAnsi="宋体" w:cs="宋体"/>
        </w:rPr>
      </w:pPr>
      <w:r>
        <w:rPr>
          <w:rFonts w:hint="eastAsia" w:ascii="宋体" w:hAnsi="宋体" w:cs="宋体"/>
        </w:rPr>
        <w:t>4、验收标准</w:t>
      </w:r>
    </w:p>
    <w:p w14:paraId="47A5CD14">
      <w:pPr>
        <w:adjustRightInd w:val="0"/>
        <w:snapToGrid w:val="0"/>
        <w:spacing w:line="360" w:lineRule="auto"/>
        <w:ind w:firstLine="420" w:firstLineChars="200"/>
        <w:rPr>
          <w:rFonts w:ascii="宋体" w:hAnsi="宋体" w:cs="宋体"/>
        </w:rPr>
      </w:pPr>
      <w:r>
        <w:rPr>
          <w:rFonts w:hint="eastAsia" w:ascii="宋体" w:hAnsi="宋体" w:cs="宋体"/>
        </w:rPr>
        <w:t>4.1 供货范围</w:t>
      </w:r>
      <w:r>
        <w:rPr>
          <w:rFonts w:hint="eastAsia" w:ascii="宋体" w:hAnsi="宋体" w:cs="宋体"/>
          <w:lang w:eastAsia="zh-CN"/>
        </w:rPr>
        <w:t>：</w:t>
      </w:r>
      <w:r>
        <w:rPr>
          <w:rFonts w:hint="eastAsia" w:ascii="宋体" w:hAnsi="宋体" w:cs="宋体"/>
        </w:rPr>
        <w:t>从设备到货开始到验收阶段，收集整个设备的到货资料，包含收货单、到货卸货的照片及视频等资料。</w:t>
      </w:r>
    </w:p>
    <w:p w14:paraId="04792547">
      <w:pPr>
        <w:adjustRightInd w:val="0"/>
        <w:snapToGrid w:val="0"/>
        <w:spacing w:line="360" w:lineRule="auto"/>
        <w:ind w:firstLine="420" w:firstLineChars="200"/>
        <w:rPr>
          <w:rFonts w:hint="eastAsia" w:ascii="宋体" w:hAnsi="宋体" w:cs="宋体"/>
        </w:rPr>
      </w:pPr>
      <w:r>
        <w:rPr>
          <w:rFonts w:hint="eastAsia" w:ascii="宋体" w:hAnsi="宋体" w:cs="宋体"/>
        </w:rPr>
        <w:t xml:space="preserve">4.2 设备外观与结构  </w:t>
      </w:r>
    </w:p>
    <w:p w14:paraId="54C7C5BC">
      <w:pPr>
        <w:adjustRightInd w:val="0"/>
        <w:snapToGrid w:val="0"/>
        <w:spacing w:line="360" w:lineRule="auto"/>
        <w:ind w:firstLine="420" w:firstLineChars="200"/>
        <w:rPr>
          <w:rFonts w:hint="eastAsia" w:ascii="宋体" w:hAnsi="宋体" w:cs="宋体"/>
        </w:rPr>
      </w:pPr>
      <w:r>
        <w:rPr>
          <w:rFonts w:hint="eastAsia" w:ascii="宋体" w:hAnsi="宋体" w:cs="宋体"/>
        </w:rPr>
        <w:t>设备及其附件完整无缺，设备安全警示标识清晰，设备铭牌信息完整，按钮、指示灯等标识明确易于识别。</w:t>
      </w:r>
    </w:p>
    <w:p w14:paraId="5102416C">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 xml:space="preserve"> 设备性能</w:t>
      </w:r>
    </w:p>
    <w:p w14:paraId="3C8F064A">
      <w:pPr>
        <w:adjustRightInd w:val="0"/>
        <w:snapToGrid w:val="0"/>
        <w:spacing w:line="360" w:lineRule="auto"/>
        <w:ind w:firstLine="420" w:firstLineChars="200"/>
        <w:rPr>
          <w:rFonts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.1 设备功能 安装调试阶段进行，检查设备的各项功能是否满足技术协议的要求；检查各功能模块是否正常运行，有无异常；测试节拍是否满足技术协议要求。</w:t>
      </w:r>
    </w:p>
    <w:p w14:paraId="731B1C3F">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.2 设备性能 在调试阶段，检查设备运行的稳定性，振动、噪音、温度、风量等参数是否满足要求；检查能能源消耗及能源指标是否符合指标要求。</w:t>
      </w:r>
    </w:p>
    <w:p w14:paraId="342B170F">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.3 安全性验收 在安装调试及验收阶段，检查电气接地、设备防护、急停、安全互锁是否满足技术协议要求。</w:t>
      </w:r>
    </w:p>
    <w:p w14:paraId="220CC40B">
      <w:pPr>
        <w:adjustRightInd w:val="0"/>
        <w:snapToGrid w:val="0"/>
        <w:spacing w:line="360" w:lineRule="auto"/>
        <w:jc w:val="center"/>
        <w:outlineLvl w:val="0"/>
        <w:rPr>
          <w:rFonts w:hint="eastAsia" w:ascii="黑体" w:eastAsia="黑体"/>
          <w:sz w:val="32"/>
          <w:szCs w:val="32"/>
        </w:rPr>
      </w:pPr>
      <w:r>
        <w:rPr>
          <w:rFonts w:hint="eastAsia" w:ascii="黑体" w:eastAsia="黑体"/>
          <w:sz w:val="32"/>
          <w:szCs w:val="32"/>
        </w:rPr>
        <w:t>第六章  投标技术档一般要求</w:t>
      </w:r>
    </w:p>
    <w:p w14:paraId="1CC5D296">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一、技术档一般内容要求</w:t>
      </w:r>
    </w:p>
    <w:p w14:paraId="1886DBD0">
      <w:pPr>
        <w:spacing w:line="360" w:lineRule="auto"/>
        <w:ind w:firstLine="417" w:firstLineChars="199"/>
        <w:rPr>
          <w:rFonts w:hint="eastAsia" w:ascii="宋体" w:hAnsi="宋体"/>
        </w:rPr>
      </w:pPr>
      <w:r>
        <w:rPr>
          <w:rFonts w:hint="eastAsia" w:ascii="宋体" w:hAnsi="宋体"/>
        </w:rPr>
        <w:t>1、投标方应认真阅读招标档和本技术标书，并按要求编写投标技术档。</w:t>
      </w:r>
    </w:p>
    <w:p w14:paraId="2329924C">
      <w:pPr>
        <w:spacing w:line="360" w:lineRule="auto"/>
        <w:ind w:firstLine="417" w:firstLineChars="199"/>
        <w:rPr>
          <w:rFonts w:hint="eastAsia" w:ascii="宋体" w:hAnsi="宋体"/>
        </w:rPr>
      </w:pPr>
      <w:r>
        <w:rPr>
          <w:rFonts w:hint="eastAsia" w:ascii="宋体" w:hAnsi="宋体"/>
        </w:rPr>
        <w:t>2、投标技术档至少应对投标货物的功能用途、技术性能、质量标准、技术参数等作出详细说明。</w:t>
      </w:r>
    </w:p>
    <w:p w14:paraId="1F33DF85">
      <w:pPr>
        <w:spacing w:line="360" w:lineRule="auto"/>
        <w:ind w:firstLine="417" w:firstLineChars="199"/>
        <w:rPr>
          <w:rFonts w:hint="eastAsia" w:ascii="宋体" w:hAnsi="宋体"/>
        </w:rPr>
      </w:pPr>
      <w:r>
        <w:rPr>
          <w:rFonts w:hint="eastAsia" w:ascii="宋体" w:hAnsi="宋体"/>
        </w:rPr>
        <w:t>3、投标技术档至少应根据投标货物的关键设备、总成、零部件或系统作出满足或优于招标档要求的详细说明。</w:t>
      </w:r>
    </w:p>
    <w:p w14:paraId="7A43B275">
      <w:pPr>
        <w:spacing w:line="360" w:lineRule="auto"/>
        <w:ind w:firstLine="417" w:firstLineChars="199"/>
        <w:rPr>
          <w:rFonts w:hint="eastAsia" w:ascii="宋体" w:hAnsi="宋体"/>
        </w:rPr>
      </w:pPr>
      <w:r>
        <w:rPr>
          <w:rFonts w:hint="eastAsia" w:ascii="宋体" w:hAnsi="宋体"/>
        </w:rPr>
        <w:t>4、投标技术档至少应按照招标档要求（或投标方建议）列明备品备件、易损件和专用耗材明细。</w:t>
      </w:r>
    </w:p>
    <w:p w14:paraId="424BF5ED">
      <w:pPr>
        <w:spacing w:line="360" w:lineRule="auto"/>
        <w:ind w:firstLine="417" w:firstLineChars="199"/>
        <w:rPr>
          <w:rFonts w:hint="eastAsia" w:ascii="宋体" w:hAnsi="宋体"/>
        </w:rPr>
      </w:pPr>
      <w:r>
        <w:rPr>
          <w:rFonts w:hint="eastAsia" w:ascii="宋体" w:hAnsi="宋体"/>
        </w:rPr>
        <w:t>5、投标方应当而且必须分别说明所列备品备件、易损件和专用耗材的使用寿命（以有效工作小时数说明）。</w:t>
      </w:r>
    </w:p>
    <w:p w14:paraId="621441DB">
      <w:pPr>
        <w:spacing w:line="360" w:lineRule="auto"/>
        <w:ind w:firstLine="417" w:firstLineChars="199"/>
        <w:rPr>
          <w:rFonts w:hint="eastAsia" w:ascii="宋体" w:hAnsi="宋体"/>
        </w:rPr>
      </w:pPr>
      <w:r>
        <w:rPr>
          <w:rFonts w:hint="eastAsia" w:ascii="宋体" w:hAnsi="宋体"/>
        </w:rPr>
        <w:t>6、“开标一览表”和“明细表”仅作为投标方编制投标技术档的一般格式。其中序号编写应当便于招标方了解分类或分项货物之间的所属关系，如1、1.1、1.2。</w:t>
      </w:r>
    </w:p>
    <w:p w14:paraId="1D12020F">
      <w:pPr>
        <w:spacing w:line="360" w:lineRule="auto"/>
        <w:ind w:firstLine="417" w:firstLineChars="199"/>
        <w:rPr>
          <w:rFonts w:hint="eastAsia" w:ascii="宋体" w:hAnsi="宋体"/>
        </w:rPr>
      </w:pPr>
      <w:r>
        <w:rPr>
          <w:rFonts w:hint="eastAsia" w:ascii="宋体" w:hAnsi="宋体"/>
        </w:rPr>
        <w:t>7、应当尽可能将货物的配置列全、列细，这将有助于投标方胜出。</w:t>
      </w:r>
    </w:p>
    <w:p w14:paraId="00C00AB5">
      <w:pPr>
        <w:spacing w:line="360" w:lineRule="auto"/>
        <w:ind w:firstLine="417" w:firstLineChars="199"/>
        <w:rPr>
          <w:rFonts w:hint="eastAsia" w:ascii="宋体" w:hAnsi="宋体"/>
        </w:rPr>
      </w:pPr>
      <w:r>
        <w:rPr>
          <w:rFonts w:hint="eastAsia" w:ascii="宋体" w:hAnsi="宋体"/>
        </w:rPr>
        <w:t>8、单价与总价之间、总价与分类小计价之间、分类小计价与合计价之间数据应当齐全而且准确。</w:t>
      </w:r>
    </w:p>
    <w:p w14:paraId="7B7ED819">
      <w:pPr>
        <w:spacing w:line="360" w:lineRule="auto"/>
        <w:ind w:firstLine="417" w:firstLineChars="199"/>
        <w:rPr>
          <w:rFonts w:hint="eastAsia" w:ascii="宋体" w:hAnsi="宋体"/>
        </w:rPr>
      </w:pPr>
      <w:r>
        <w:rPr>
          <w:rFonts w:hint="eastAsia" w:ascii="宋体" w:hAnsi="宋体"/>
        </w:rPr>
        <w:t>9、本条款表格中的制造商，应当为全称或公认的简称。</w:t>
      </w:r>
    </w:p>
    <w:p w14:paraId="0CA8A2AF">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二、技术档中货物报价格式要求</w:t>
      </w:r>
    </w:p>
    <w:p w14:paraId="438843DE">
      <w:pPr>
        <w:spacing w:line="360" w:lineRule="auto"/>
        <w:ind w:firstLine="417" w:firstLineChars="199"/>
        <w:rPr>
          <w:rFonts w:hint="eastAsia" w:ascii="宋体" w:hAnsi="宋体"/>
        </w:rPr>
      </w:pPr>
      <w:r>
        <w:rPr>
          <w:rFonts w:hint="eastAsia" w:ascii="宋体" w:hAnsi="宋体"/>
        </w:rPr>
        <w:t>1、投标技术档中，如未按照要求编写、或者存在漏项和缺项，将有可能造成对投标方不必要的误解；必要时，漏项和缺项涉及的费用，将有可能以其他投标方中，相同或相似项目的最高价，计入投标方的投标总报价之内，作为评标的依据之一。</w:t>
      </w:r>
    </w:p>
    <w:p w14:paraId="78083DDE">
      <w:pPr>
        <w:spacing w:line="360" w:lineRule="auto"/>
        <w:ind w:firstLine="417" w:firstLineChars="199"/>
        <w:rPr>
          <w:rFonts w:hint="eastAsia" w:ascii="宋体" w:hAnsi="宋体"/>
        </w:rPr>
      </w:pPr>
      <w:r>
        <w:rPr>
          <w:rFonts w:hint="eastAsia" w:ascii="宋体" w:hAnsi="宋体"/>
        </w:rPr>
        <w:t>2、如果投标总报价与其它价格出现错误或不一致，将有可能导致废标。</w:t>
      </w:r>
    </w:p>
    <w:p w14:paraId="6B9E6CE5">
      <w:pPr>
        <w:spacing w:line="360" w:lineRule="auto"/>
        <w:ind w:firstLine="417" w:firstLineChars="199"/>
        <w:rPr>
          <w:rFonts w:hint="eastAsia" w:ascii="宋体" w:hAnsi="宋体"/>
        </w:rPr>
      </w:pPr>
      <w:r>
        <w:rPr>
          <w:rFonts w:hint="eastAsia" w:ascii="宋体" w:hAnsi="宋体"/>
        </w:rPr>
        <w:t>3、投标总报价为自合同签定生效至合同无异议执行完毕涉及的买方需要支付的全部费用。如投标方认为本招标及投标货物涉及特需或专门的设计，应当单独列明设计费。</w:t>
      </w:r>
    </w:p>
    <w:p w14:paraId="23B3F67D">
      <w:pPr>
        <w:spacing w:line="360" w:lineRule="auto"/>
        <w:ind w:firstLine="417" w:firstLineChars="199"/>
        <w:rPr>
          <w:rFonts w:hint="eastAsia" w:ascii="宋体" w:hAnsi="宋体"/>
        </w:rPr>
      </w:pPr>
      <w:r>
        <w:rPr>
          <w:rFonts w:hint="eastAsia" w:ascii="宋体" w:hAnsi="宋体"/>
        </w:rPr>
        <w:t>4、要求投标总报价、分项报价、明细报价之间应当具有相互间对应关系以及填报分项和明细报价，仅为便于评标而不妨碍投标人以最合适的形式签署合同。</w:t>
      </w:r>
    </w:p>
    <w:p w14:paraId="69DFB201">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028EC2B1">
      <w:pPr>
        <w:spacing w:line="360" w:lineRule="auto"/>
        <w:ind w:firstLine="417" w:firstLineChars="199"/>
        <w:rPr>
          <w:rFonts w:hint="eastAsia" w:ascii="宋体" w:hAnsi="宋体"/>
        </w:rPr>
      </w:pPr>
      <w:r>
        <w:rPr>
          <w:rFonts w:hint="eastAsia" w:ascii="宋体" w:hAnsi="宋体"/>
        </w:rPr>
        <w:t>除招标档明确的验收标准或内容之外，投标方应当在投标档中提供预验收（必要时）和终验收的标准以及规程；在合同签定之前，经投标方和招标方双方洽谈确认并签署，以作为验收标准执行。</w:t>
      </w:r>
    </w:p>
    <w:p w14:paraId="55CD392F">
      <w:pPr>
        <w:rPr>
          <w:rFonts w:hint="eastAsia"/>
        </w:rPr>
      </w:pPr>
    </w:p>
    <w:p w14:paraId="076C1F58">
      <w:pPr>
        <w:rPr>
          <w:rFonts w:hint="eastAsia"/>
        </w:rPr>
      </w:pPr>
    </w:p>
    <w:p w14:paraId="6853A4E9">
      <w:pPr>
        <w:pStyle w:val="2"/>
        <w:spacing w:before="120" w:after="120" w:line="480" w:lineRule="exact"/>
        <w:jc w:val="center"/>
        <w:rPr>
          <w:rFonts w:hint="eastAsia" w:ascii="黑体" w:eastAsia="黑体"/>
          <w:b w:val="0"/>
          <w:sz w:val="32"/>
          <w:szCs w:val="32"/>
        </w:rPr>
      </w:pPr>
      <w:bookmarkStart w:id="143" w:name="_Toc5388"/>
      <w:bookmarkStart w:id="144" w:name="_Toc31849"/>
      <w:bookmarkStart w:id="145" w:name="_Toc137705875"/>
      <w:bookmarkStart w:id="146" w:name="_Toc15099"/>
      <w:bookmarkStart w:id="147" w:name="_Toc6037"/>
      <w:r>
        <w:rPr>
          <w:rFonts w:hint="eastAsia" w:ascii="黑体" w:eastAsia="黑体"/>
          <w:b w:val="0"/>
          <w:sz w:val="32"/>
          <w:szCs w:val="32"/>
        </w:rPr>
        <w:br w:type="page"/>
      </w:r>
      <w:r>
        <w:rPr>
          <w:rFonts w:hint="eastAsia" w:ascii="黑体" w:eastAsia="黑体"/>
          <w:b w:val="0"/>
          <w:sz w:val="32"/>
          <w:szCs w:val="32"/>
        </w:rPr>
        <w:t>第七章  其它要求及说明</w:t>
      </w:r>
      <w:bookmarkEnd w:id="143"/>
      <w:bookmarkEnd w:id="144"/>
      <w:bookmarkEnd w:id="145"/>
      <w:bookmarkEnd w:id="146"/>
      <w:bookmarkEnd w:id="147"/>
    </w:p>
    <w:p w14:paraId="610FD2F3">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2A95C94E">
      <w:pPr>
        <w:pStyle w:val="25"/>
        <w:spacing w:line="360" w:lineRule="auto"/>
        <w:rPr>
          <w:rFonts w:hint="eastAsia"/>
        </w:rPr>
      </w:pPr>
      <w:r>
        <w:rPr>
          <w:rFonts w:hint="eastAsia"/>
        </w:rPr>
        <w:t>为保证本技术标书所列采购设备的质量以及先进性、可靠性、经济性和实用性，要求投标方在投标文件中，至少应具备以下资格证明文件或资料：</w:t>
      </w:r>
    </w:p>
    <w:p w14:paraId="68415C5A">
      <w:pPr>
        <w:spacing w:line="360" w:lineRule="auto"/>
        <w:ind w:firstLine="417" w:firstLineChars="199"/>
        <w:rPr>
          <w:rFonts w:hint="eastAsia" w:ascii="宋体" w:hAnsi="宋体"/>
        </w:rPr>
      </w:pPr>
      <w:r>
        <w:rPr>
          <w:rFonts w:hint="eastAsia" w:ascii="宋体" w:hAnsi="宋体"/>
        </w:rPr>
        <w:t>1、投标方应是独立法人或得到法人授权的机构。应当在投标文件中提供法人营业执照（复印件）、税务登记证以及组织机构代码证（国外供应商参考该要求提供有效证明文件），并保证其真实性和有效性。</w:t>
      </w:r>
    </w:p>
    <w:p w14:paraId="52C69F75">
      <w:pPr>
        <w:spacing w:line="360" w:lineRule="auto"/>
        <w:ind w:firstLine="417" w:firstLineChars="199"/>
        <w:rPr>
          <w:rFonts w:hint="eastAsia"/>
        </w:rPr>
      </w:pPr>
      <w:r>
        <w:rPr>
          <w:rFonts w:hint="eastAsia" w:ascii="宋体" w:hAnsi="宋体"/>
        </w:rPr>
        <w:t>2、投标方应当是通过有关资格认证的法人。应当在投标文件中提供有效期内的资格认证证</w:t>
      </w:r>
      <w:r>
        <w:rPr>
          <w:rFonts w:hint="eastAsia"/>
        </w:rPr>
        <w:t>书，如：ISO9001、VDA6.1、QS9000等。</w:t>
      </w:r>
    </w:p>
    <w:p w14:paraId="0461C666">
      <w:pPr>
        <w:spacing w:line="360" w:lineRule="auto"/>
        <w:ind w:firstLine="417" w:firstLineChars="199"/>
        <w:rPr>
          <w:rFonts w:hint="eastAsia" w:ascii="宋体" w:hAnsi="宋体"/>
        </w:rPr>
      </w:pPr>
      <w:r>
        <w:rPr>
          <w:rFonts w:hint="eastAsia" w:ascii="宋体" w:hAnsi="宋体"/>
        </w:rPr>
        <w:t>3、国产设备应附有采购设备涉及的由“中国质量认证中心”颁发的《中国国家强制性产品认证证书》（CCC证书）。</w:t>
      </w:r>
    </w:p>
    <w:p w14:paraId="2873A798">
      <w:pPr>
        <w:spacing w:line="360" w:lineRule="auto"/>
        <w:ind w:firstLine="417" w:firstLineChars="199"/>
        <w:rPr>
          <w:rFonts w:hint="eastAsia" w:ascii="宋体" w:hAnsi="宋体"/>
        </w:rPr>
      </w:pPr>
      <w:r>
        <w:rPr>
          <w:rFonts w:hint="eastAsia" w:ascii="宋体" w:hAnsi="宋体"/>
        </w:rPr>
        <w:t>4、应附有其它与投标单位、采购货物有关的荣誉证书或资料。</w:t>
      </w:r>
    </w:p>
    <w:p w14:paraId="72216083">
      <w:pPr>
        <w:spacing w:line="360" w:lineRule="auto"/>
        <w:ind w:firstLine="417" w:firstLineChars="199"/>
        <w:rPr>
          <w:rFonts w:hint="eastAsia" w:ascii="宋体" w:hAnsi="宋体"/>
        </w:rPr>
      </w:pPr>
      <w:r>
        <w:rPr>
          <w:rFonts w:hint="eastAsia" w:ascii="宋体" w:hAnsi="宋体"/>
        </w:rPr>
        <w:t>5、必须附有投标货物涉及产品要求的、国家或行业管理规定要求的、或者投标方认为能够体现其投标货物合法性及先进性的最高级别的证明材料（投标货物不涉及的除外）：</w:t>
      </w:r>
    </w:p>
    <w:p w14:paraId="5A2A5129">
      <w:pPr>
        <w:spacing w:line="360" w:lineRule="auto"/>
        <w:ind w:firstLine="417" w:firstLineChars="199"/>
        <w:rPr>
          <w:rFonts w:hint="eastAsia" w:ascii="宋体" w:hAnsi="宋体"/>
        </w:rPr>
      </w:pPr>
      <w:r>
        <w:rPr>
          <w:rFonts w:hint="eastAsia" w:ascii="宋体" w:hAnsi="宋体"/>
        </w:rPr>
        <w:t>5.1 国家相关机构颁发的有效期之内所必需的《生产许可证》。</w:t>
      </w:r>
    </w:p>
    <w:p w14:paraId="4676CC2F">
      <w:pPr>
        <w:spacing w:line="360" w:lineRule="auto"/>
        <w:ind w:firstLine="417" w:firstLineChars="199"/>
        <w:rPr>
          <w:rFonts w:hint="eastAsia" w:ascii="宋体" w:hAnsi="宋体"/>
        </w:rPr>
      </w:pPr>
      <w:r>
        <w:rPr>
          <w:rFonts w:hint="eastAsia" w:ascii="宋体" w:hAnsi="宋体"/>
        </w:rPr>
        <w:t>5.2 产品（或技术）鉴定报告/证书、专利证书或专利许可证书、新技术成果证书等。</w:t>
      </w:r>
    </w:p>
    <w:p w14:paraId="078AABE9">
      <w:pPr>
        <w:spacing w:line="360" w:lineRule="auto"/>
        <w:ind w:firstLine="417" w:firstLineChars="199"/>
        <w:rPr>
          <w:rFonts w:hint="eastAsia" w:ascii="宋体" w:hAnsi="宋体"/>
        </w:rPr>
      </w:pPr>
      <w:r>
        <w:rPr>
          <w:rFonts w:hint="eastAsia" w:ascii="宋体" w:hAnsi="宋体"/>
        </w:rPr>
        <w:t>5.3 产品相关检验、试验报告，如：型式试验检验报告、安全试验检验报告、电弧效应试验报告、噪声检测报告等</w:t>
      </w:r>
    </w:p>
    <w:p w14:paraId="1A9D6463">
      <w:pPr>
        <w:spacing w:line="360" w:lineRule="auto"/>
        <w:ind w:firstLine="417" w:firstLineChars="199"/>
        <w:rPr>
          <w:rFonts w:hint="eastAsia" w:ascii="宋体" w:hAnsi="宋体"/>
        </w:rPr>
      </w:pPr>
      <w:r>
        <w:rPr>
          <w:rFonts w:hint="eastAsia" w:ascii="宋体" w:hAnsi="宋体"/>
        </w:rPr>
        <w:t>5.4 其它能够证明所供设备的质量水平、技术水平、安全性水平、节能性水平、环保性水平等相关的其它证明文件或资料、报告等。</w:t>
      </w:r>
    </w:p>
    <w:p w14:paraId="4D10A2A3">
      <w:pPr>
        <w:spacing w:line="360" w:lineRule="auto"/>
        <w:ind w:firstLine="417" w:firstLineChars="199"/>
        <w:rPr>
          <w:rFonts w:hint="eastAsia" w:ascii="宋体" w:hAnsi="宋体"/>
        </w:rPr>
      </w:pPr>
      <w:r>
        <w:rPr>
          <w:rFonts w:hint="eastAsia" w:ascii="宋体" w:hAnsi="宋体"/>
        </w:rPr>
        <w:t>5.5 该类报告或证明材料对于投标方胜出乃至中标极为重要！</w:t>
      </w:r>
    </w:p>
    <w:p w14:paraId="5A9B19EB">
      <w:pPr>
        <w:spacing w:line="360" w:lineRule="auto"/>
        <w:ind w:firstLine="417" w:firstLineChars="199"/>
        <w:rPr>
          <w:rFonts w:hint="eastAsia" w:ascii="宋体" w:hAnsi="宋体"/>
        </w:rPr>
      </w:pPr>
      <w:r>
        <w:rPr>
          <w:rFonts w:hint="eastAsia" w:ascii="宋体" w:hAnsi="宋体"/>
        </w:rPr>
        <w:t>6、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76AFF408">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64D7FBC">
      <w:pPr>
        <w:spacing w:line="360" w:lineRule="auto"/>
        <w:ind w:firstLine="420" w:firstLineChars="200"/>
        <w:rPr>
          <w:rFonts w:hint="eastAsia" w:ascii="宋体" w:hAnsi="宋体"/>
        </w:rPr>
      </w:pPr>
      <w:r>
        <w:rPr>
          <w:rFonts w:hint="eastAsia" w:ascii="宋体" w:hAnsi="宋体"/>
        </w:rPr>
        <w:t>1、投标方可以根据自身的技术、经验等优势以及对招标文件和本技术标书的理解，写明对招标方所采购设备的优化方案或建议意见。投标方的这些努力，招标方表示感谢，并将有助于投标方优先胜出。</w:t>
      </w:r>
    </w:p>
    <w:p w14:paraId="6605724D">
      <w:pPr>
        <w:spacing w:line="360" w:lineRule="auto"/>
        <w:ind w:firstLine="420" w:firstLineChars="200"/>
        <w:rPr>
          <w:rFonts w:hint="eastAsia" w:ascii="宋体" w:hAnsi="宋体"/>
        </w:rPr>
      </w:pPr>
      <w:r>
        <w:rPr>
          <w:rFonts w:hint="eastAsia" w:ascii="宋体" w:hAnsi="宋体"/>
        </w:rPr>
        <w:t>2、即使有建议意见或建议方案，仍应依据招标文件和本技术标书要求，编写符合要求的投标文件。建议方案或建议意见，应以单独篇章或文件，予以说明。</w:t>
      </w:r>
    </w:p>
    <w:p w14:paraId="61101BFF">
      <w:pPr>
        <w:spacing w:line="360" w:lineRule="auto"/>
        <w:ind w:firstLine="420" w:firstLineChars="200"/>
        <w:rPr>
          <w:rFonts w:hint="eastAsia" w:ascii="宋体" w:hAnsi="宋体"/>
        </w:rPr>
      </w:pPr>
      <w:r>
        <w:rPr>
          <w:rFonts w:hint="eastAsia" w:ascii="宋体" w:hAnsi="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147C419F">
      <w:pPr>
        <w:spacing w:line="360" w:lineRule="auto"/>
        <w:ind w:firstLine="420" w:firstLineChars="200"/>
        <w:rPr>
          <w:rFonts w:hint="eastAsia" w:ascii="宋体" w:hAnsi="宋体"/>
        </w:rPr>
      </w:pPr>
      <w:r>
        <w:rPr>
          <w:rFonts w:hint="eastAsia" w:ascii="宋体" w:hAnsi="宋体"/>
        </w:rPr>
        <w:t>4、招标文件、投标文件、答疑文件、技术交流文件、技术协议书等，在采购过程全部为有效文件，如有差异，以对招标方最有利的条款为准。</w:t>
      </w:r>
    </w:p>
    <w:p w14:paraId="77631B22">
      <w:pPr>
        <w:spacing w:line="360" w:lineRule="auto"/>
        <w:ind w:firstLine="420" w:firstLineChars="200"/>
        <w:rPr>
          <w:rFonts w:hint="eastAsia" w:ascii="宋体" w:hAnsi="宋体"/>
        </w:rPr>
      </w:pPr>
      <w:r>
        <w:rPr>
          <w:rFonts w:hint="eastAsia" w:ascii="宋体" w:hAnsi="宋体"/>
        </w:rPr>
        <w:t>5、为避免歧异，本技术标书涉及招投标环节的条款，均将潜在的卖方称为投标方、将买方称为招标方；定标后合同签署环节以及后续的合同执行环节条款，招标方称为买方、投标方中的中标方称为卖方。</w:t>
      </w:r>
    </w:p>
    <w:p w14:paraId="53AC2F57">
      <w:pPr>
        <w:spacing w:line="360" w:lineRule="auto"/>
        <w:rPr>
          <w:rFonts w:hint="eastAsia" w:ascii="宋体" w:hAnsi="宋体"/>
        </w:rPr>
      </w:pPr>
    </w:p>
    <w:p w14:paraId="27078686">
      <w:pPr>
        <w:spacing w:line="360" w:lineRule="auto"/>
        <w:ind w:firstLine="420" w:firstLineChars="200"/>
        <w:rPr>
          <w:rFonts w:hint="default" w:ascii="宋体" w:hAnsi="宋体" w:eastAsiaTheme="minorEastAsia"/>
          <w:b/>
          <w:lang w:val="en-US" w:eastAsia="zh-CN"/>
        </w:rPr>
      </w:pPr>
      <w:r>
        <w:rPr>
          <w:rFonts w:hint="eastAsia" w:ascii="宋体" w:hAnsi="宋体"/>
          <w:b/>
        </w:rPr>
        <w:t xml:space="preserve">技术部分答疑人： </w:t>
      </w:r>
      <w:r>
        <w:rPr>
          <w:rFonts w:hint="eastAsia" w:ascii="宋体" w:hAnsi="宋体"/>
          <w:b/>
          <w:lang w:val="en-US" w:eastAsia="zh-CN"/>
        </w:rPr>
        <w:t>贾寿珂</w:t>
      </w:r>
      <w:r>
        <w:rPr>
          <w:rFonts w:hint="eastAsia" w:ascii="宋体" w:hAnsi="宋体"/>
          <w:b/>
        </w:rPr>
        <w:t xml:space="preserve"> </w:t>
      </w:r>
      <w:r>
        <w:rPr>
          <w:rFonts w:hint="eastAsia" w:ascii="宋体" w:hAnsi="宋体"/>
          <w:b/>
          <w:lang w:val="en-US" w:eastAsia="zh-CN"/>
        </w:rPr>
        <w:t>15553186931</w:t>
      </w:r>
    </w:p>
    <w:p w14:paraId="19D45D0D">
      <w:pPr>
        <w:pStyle w:val="22"/>
      </w:pPr>
    </w:p>
    <w:p w14:paraId="7F9B7907">
      <w:r>
        <w:br w:type="page"/>
      </w:r>
    </w:p>
    <w:p w14:paraId="77CBD692">
      <w:pPr>
        <w:pStyle w:val="22"/>
      </w:pPr>
    </w:p>
    <w:p w14:paraId="1194CD05">
      <w:pPr>
        <w:keepNext w:val="0"/>
        <w:keepLines w:val="0"/>
        <w:pageBreakBefore w:val="0"/>
        <w:widowControl w:val="0"/>
        <w:kinsoku/>
        <w:overflowPunct/>
        <w:topLinePunct w:val="0"/>
        <w:autoSpaceDE/>
        <w:autoSpaceDN/>
        <w:bidi w:val="0"/>
        <w:spacing w:line="360" w:lineRule="auto"/>
        <w:ind w:firstLine="0" w:firstLineChars="0"/>
        <w:jc w:val="center"/>
        <w:textAlignment w:val="auto"/>
        <w:outlineLvl w:val="0"/>
        <w:rPr>
          <w:rFonts w:ascii="宋体" w:hAnsi="Calibri" w:eastAsia="宋体" w:cs="Times New Roman"/>
          <w:b/>
          <w:sz w:val="36"/>
          <w:szCs w:val="36"/>
        </w:rPr>
      </w:pPr>
      <w:bookmarkStart w:id="148" w:name="_Toc3115"/>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bookmarkEnd w:id="148"/>
    </w:p>
    <w:p w14:paraId="5549742F">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sz w:val="20"/>
          <w:szCs w:val="20"/>
        </w:rPr>
      </w:pPr>
    </w:p>
    <w:p w14:paraId="7AE088C5">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4BBCEEC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7CF88FC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6A3941AC">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36C54D2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44E8282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2DFC752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28"/>
          <w:szCs w:val="36"/>
        </w:rPr>
      </w:pPr>
    </w:p>
    <w:p w14:paraId="78DEBE8A">
      <w:pPr>
        <w:keepNext w:val="0"/>
        <w:keepLines w:val="0"/>
        <w:pageBreakBefore w:val="0"/>
        <w:widowControl w:val="0"/>
        <w:kinsoku/>
        <w:overflowPunct/>
        <w:topLinePunct w:val="0"/>
        <w:autoSpaceDE/>
        <w:autoSpaceDN/>
        <w:bidi w:val="0"/>
        <w:ind w:firstLine="0" w:firstLineChars="0"/>
        <w:jc w:val="center"/>
        <w:textAlignment w:val="auto"/>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2" w:type="default"/>
          <w:footerReference r:id="rId13"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04993EF6">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70846161">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6AF1351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38230F7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1D48871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67C115E3">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4B93C195">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0FA40B1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7EB1E41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CB0970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1A19C57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48A0EE1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6AB75616">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486D3B83">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11F8B6C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52260A8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5358BE5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026E1900">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5CF0A70E">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0507F83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782CCC8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2A8AA85">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41B5FE8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4A48B97">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ascii="Calibri" w:hAnsi="Calibri" w:eastAsia="宋体" w:cs="Times New Roman"/>
          <w:b/>
          <w:bCs/>
          <w:kern w:val="44"/>
          <w:sz w:val="36"/>
          <w:szCs w:val="44"/>
        </w:rPr>
      </w:pPr>
      <w:bookmarkStart w:id="149" w:name="_Toc8509"/>
      <w:bookmarkStart w:id="150" w:name="_Toc15851"/>
      <w:bookmarkStart w:id="151" w:name="_Toc20872"/>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149"/>
      <w:bookmarkEnd w:id="150"/>
      <w:bookmarkEnd w:id="151"/>
    </w:p>
    <w:p w14:paraId="45DB87AF">
      <w:pPr>
        <w:keepNext/>
        <w:keepLines/>
        <w:rPr>
          <w:rFonts w:ascii="Times New Roman" w:hAnsi="Times New Roman" w:eastAsia="宋体" w:cs="Times New Roman"/>
          <w:b/>
          <w:bCs/>
          <w:color w:val="000000"/>
          <w:sz w:val="24"/>
          <w:szCs w:val="24"/>
        </w:rPr>
      </w:pPr>
    </w:p>
    <w:p w14:paraId="2EAB46A5">
      <w:pPr>
        <w:pStyle w:val="22"/>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2"/>
        <w:rPr>
          <w:rFonts w:ascii="Times New Roman" w:hAnsi="Times New Roman" w:eastAsia="宋体" w:cs="Times New Roman"/>
          <w:b/>
          <w:bCs/>
          <w:color w:val="000000"/>
          <w:sz w:val="24"/>
          <w:szCs w:val="24"/>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2"/>
        <w:rPr>
          <w:rFonts w:ascii="黑体" w:hAnsi="Calibri" w:eastAsia="黑体" w:cs="Times New Roman"/>
          <w:color w:val="000000"/>
          <w:sz w:val="24"/>
          <w:szCs w:val="24"/>
        </w:rPr>
      </w:pPr>
    </w:p>
    <w:p w14:paraId="09B1AA22">
      <w:pPr>
        <w:pStyle w:val="22"/>
        <w:rPr>
          <w:rFonts w:ascii="黑体" w:hAnsi="Calibri" w:eastAsia="黑体" w:cs="Times New Roman"/>
          <w:color w:val="000000"/>
          <w:sz w:val="24"/>
          <w:szCs w:val="24"/>
        </w:rPr>
      </w:pPr>
    </w:p>
    <w:p w14:paraId="2600B6E6">
      <w:pPr>
        <w:pStyle w:val="22"/>
        <w:rPr>
          <w:rFonts w:ascii="黑体" w:hAnsi="Calibri" w:eastAsia="黑体" w:cs="Times New Roman"/>
          <w:color w:val="000000"/>
          <w:sz w:val="24"/>
          <w:szCs w:val="24"/>
        </w:rPr>
      </w:pPr>
    </w:p>
    <w:p w14:paraId="51111196">
      <w:pPr>
        <w:pStyle w:val="22"/>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77"/>
        <w:gridCol w:w="949"/>
        <w:gridCol w:w="1467"/>
        <w:gridCol w:w="1022"/>
        <w:gridCol w:w="1053"/>
        <w:gridCol w:w="1256"/>
        <w:gridCol w:w="1452"/>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034" w:type="pct"/>
          </w:tcPr>
          <w:p w14:paraId="29139A43">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企业名称 </w:t>
            </w:r>
          </w:p>
        </w:tc>
        <w:tc>
          <w:tcPr>
            <w:tcW w:w="2474" w:type="pct"/>
            <w:gridSpan w:val="4"/>
            <w:vAlign w:val="center"/>
          </w:tcPr>
          <w:p w14:paraId="47DBBD9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4C5F7C3F">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798" w:type="pct"/>
            <w:vAlign w:val="center"/>
          </w:tcPr>
          <w:p w14:paraId="1B95FB9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034" w:type="pct"/>
          </w:tcPr>
          <w:p w14:paraId="3875B8CB">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企业地址 </w:t>
            </w:r>
          </w:p>
        </w:tc>
        <w:tc>
          <w:tcPr>
            <w:tcW w:w="2474" w:type="pct"/>
            <w:gridSpan w:val="4"/>
            <w:vAlign w:val="center"/>
          </w:tcPr>
          <w:p w14:paraId="7E9DB39D">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1A5CFAC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798" w:type="pct"/>
            <w:vAlign w:val="center"/>
          </w:tcPr>
          <w:p w14:paraId="224DE51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034" w:type="pct"/>
          </w:tcPr>
          <w:p w14:paraId="76101A2B">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企业性质 </w:t>
            </w:r>
          </w:p>
        </w:tc>
        <w:tc>
          <w:tcPr>
            <w:tcW w:w="2474" w:type="pct"/>
            <w:gridSpan w:val="4"/>
            <w:vAlign w:val="center"/>
          </w:tcPr>
          <w:p w14:paraId="6012A8A5">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0695292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798" w:type="pct"/>
            <w:vAlign w:val="center"/>
          </w:tcPr>
          <w:p w14:paraId="0F5015F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034" w:type="pct"/>
          </w:tcPr>
          <w:p w14:paraId="19DAC3F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highlight w:val="yellow"/>
              </w:rPr>
            </w:pPr>
            <w:r>
              <w:t xml:space="preserve">企业法人代表  </w:t>
            </w:r>
          </w:p>
        </w:tc>
        <w:tc>
          <w:tcPr>
            <w:tcW w:w="2474" w:type="pct"/>
            <w:gridSpan w:val="4"/>
          </w:tcPr>
          <w:p w14:paraId="40DA8398">
            <w:pPr>
              <w:pStyle w:val="5"/>
              <w:keepNext w:val="0"/>
              <w:keepLines w:val="0"/>
              <w:pageBreakBefore w:val="0"/>
              <w:widowControl/>
              <w:shd w:val="clear" w:color="auto" w:fill="FFFFFF"/>
              <w:kinsoku/>
              <w:wordWrap/>
              <w:overflowPunct/>
              <w:topLinePunct w:val="0"/>
              <w:autoSpaceDE/>
              <w:autoSpaceDN/>
              <w:bidi w:val="0"/>
              <w:adjustRightInd/>
              <w:snapToGrid/>
              <w:spacing w:before="0" w:after="0" w:line="240" w:lineRule="auto"/>
              <w:ind w:left="0" w:right="0" w:firstLine="0" w:firstLineChars="0"/>
              <w:jc w:val="center"/>
              <w:rPr>
                <w:rFonts w:hint="eastAsia" w:ascii="宋体" w:hAnsi="宋体" w:cs="宋体"/>
                <w:color w:val="000000" w:themeColor="text1"/>
                <w14:textFill>
                  <w14:solidFill>
                    <w14:schemeClr w14:val="tx1"/>
                  </w14:solidFill>
                </w14:textFill>
              </w:rPr>
            </w:pPr>
          </w:p>
        </w:tc>
        <w:tc>
          <w:tcPr>
            <w:tcW w:w="692" w:type="pct"/>
          </w:tcPr>
          <w:p w14:paraId="5A6708F4">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798" w:type="pct"/>
            <w:vAlign w:val="center"/>
          </w:tcPr>
          <w:p w14:paraId="523C8AE5">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034" w:type="pct"/>
          </w:tcPr>
          <w:p w14:paraId="3A9FCF28">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品牌区分 </w:t>
            </w:r>
          </w:p>
        </w:tc>
        <w:tc>
          <w:tcPr>
            <w:tcW w:w="3965" w:type="pct"/>
            <w:gridSpan w:val="6"/>
          </w:tcPr>
          <w:p w14:paraId="7E3D4E69">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034" w:type="pct"/>
          </w:tcPr>
          <w:p w14:paraId="68D3AFCE">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品牌名称 </w:t>
            </w:r>
          </w:p>
        </w:tc>
        <w:tc>
          <w:tcPr>
            <w:tcW w:w="1894" w:type="pct"/>
            <w:gridSpan w:val="3"/>
            <w:vAlign w:val="center"/>
          </w:tcPr>
          <w:p w14:paraId="276DEC0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仿宋_GB2312"/>
                <w:kern w:val="0"/>
                <w:szCs w:val="21"/>
                <w:lang w:bidi="ar"/>
              </w:rPr>
            </w:pPr>
          </w:p>
        </w:tc>
        <w:tc>
          <w:tcPr>
            <w:tcW w:w="580" w:type="pct"/>
          </w:tcPr>
          <w:p w14:paraId="2FD42548">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spacing w:val="-2"/>
              </w:rPr>
              <w:t>质量</w:t>
            </w:r>
            <w:r>
              <w:t xml:space="preserve"> </w:t>
            </w:r>
          </w:p>
          <w:p w14:paraId="2A88A32C">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rFonts w:hint="eastAsia"/>
              </w:rPr>
              <w:t>体系</w:t>
            </w:r>
          </w:p>
        </w:tc>
        <w:tc>
          <w:tcPr>
            <w:tcW w:w="1490" w:type="pct"/>
            <w:gridSpan w:val="2"/>
          </w:tcPr>
          <w:p w14:paraId="31A4B58E">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5000" w:type="pct"/>
            <w:gridSpan w:val="7"/>
          </w:tcPr>
          <w:p w14:paraId="7507A925">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34" w:type="pct"/>
            <w:vAlign w:val="center"/>
          </w:tcPr>
          <w:p w14:paraId="1AEEA2D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523" w:type="pct"/>
            <w:vAlign w:val="center"/>
          </w:tcPr>
          <w:p w14:paraId="6549EE86">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c>
          <w:tcPr>
            <w:tcW w:w="808" w:type="pct"/>
            <w:vAlign w:val="center"/>
          </w:tcPr>
          <w:p w14:paraId="2380EAD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562" w:type="pct"/>
            <w:vAlign w:val="center"/>
          </w:tcPr>
          <w:p w14:paraId="45FF8D7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c>
          <w:tcPr>
            <w:tcW w:w="580" w:type="pct"/>
            <w:vAlign w:val="center"/>
          </w:tcPr>
          <w:p w14:paraId="4D56F0C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1490" w:type="pct"/>
            <w:gridSpan w:val="2"/>
            <w:vAlign w:val="center"/>
          </w:tcPr>
          <w:p w14:paraId="1AC4A0E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34" w:type="pct"/>
            <w:vAlign w:val="center"/>
          </w:tcPr>
          <w:p w14:paraId="4736488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3965" w:type="pct"/>
            <w:gridSpan w:val="6"/>
            <w:vAlign w:val="center"/>
          </w:tcPr>
          <w:p w14:paraId="3A2B078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034" w:type="pct"/>
            <w:vAlign w:val="center"/>
          </w:tcPr>
          <w:p w14:paraId="1C3D2FD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3965" w:type="pct"/>
            <w:gridSpan w:val="6"/>
            <w:vAlign w:val="center"/>
          </w:tcPr>
          <w:p w14:paraId="024479F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034" w:type="pct"/>
            <w:vAlign w:val="center"/>
          </w:tcPr>
          <w:p w14:paraId="7D19F2BE">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3965" w:type="pct"/>
            <w:gridSpan w:val="6"/>
            <w:vAlign w:val="center"/>
          </w:tcPr>
          <w:p w14:paraId="58D68C1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034" w:type="pct"/>
            <w:vAlign w:val="center"/>
          </w:tcPr>
          <w:p w14:paraId="6A2D60F6">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3965" w:type="pct"/>
            <w:gridSpan w:val="6"/>
            <w:vAlign w:val="center"/>
          </w:tcPr>
          <w:p w14:paraId="7B4DF210">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034" w:type="pct"/>
            <w:vAlign w:val="center"/>
          </w:tcPr>
          <w:p w14:paraId="49D5958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3965" w:type="pct"/>
            <w:gridSpan w:val="6"/>
            <w:vAlign w:val="center"/>
          </w:tcPr>
          <w:p w14:paraId="06999EBD">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034" w:type="pct"/>
            <w:vAlign w:val="center"/>
          </w:tcPr>
          <w:p w14:paraId="53C86EF1">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3965" w:type="pct"/>
            <w:gridSpan w:val="6"/>
            <w:vAlign w:val="center"/>
          </w:tcPr>
          <w:p w14:paraId="068043C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kern w:val="0"/>
                <w:szCs w:val="21"/>
                <w:lang w:bidi="ar"/>
              </w:rPr>
            </w:pPr>
          </w:p>
        </w:tc>
      </w:tr>
    </w:tbl>
    <w:p w14:paraId="53774328">
      <w:pPr>
        <w:pStyle w:val="22"/>
        <w:rPr>
          <w:rFonts w:ascii="Times New Roman" w:hAnsi="Times New Roman" w:eastAsia="宋体" w:cs="Times New Roman"/>
          <w:b/>
          <w:bCs/>
          <w:color w:val="000000"/>
          <w:sz w:val="24"/>
          <w:szCs w:val="24"/>
        </w:rPr>
      </w:pPr>
    </w:p>
    <w:p w14:paraId="3E0E9379">
      <w:pPr>
        <w:pStyle w:val="22"/>
        <w:rPr>
          <w:rFonts w:ascii="Times New Roman" w:hAnsi="Times New Roman" w:eastAsia="宋体" w:cs="Times New Roman"/>
          <w:b/>
          <w:bCs/>
          <w:color w:val="000000"/>
          <w:sz w:val="24"/>
          <w:szCs w:val="24"/>
        </w:rPr>
      </w:pPr>
    </w:p>
    <w:p w14:paraId="1D670CD6">
      <w:pPr>
        <w:pStyle w:val="22"/>
        <w:rPr>
          <w:rFonts w:ascii="Times New Roman" w:hAnsi="Times New Roman" w:eastAsia="宋体" w:cs="Times New Roman"/>
          <w:b/>
          <w:bCs/>
          <w:color w:val="000000"/>
          <w:sz w:val="24"/>
          <w:szCs w:val="24"/>
        </w:rPr>
      </w:pPr>
    </w:p>
    <w:p w14:paraId="4BC41119">
      <w:pPr>
        <w:pStyle w:val="22"/>
        <w:rPr>
          <w:rFonts w:ascii="Times New Roman" w:hAnsi="Times New Roman" w:eastAsia="宋体" w:cs="Times New Roman"/>
          <w:b/>
          <w:bCs/>
          <w:color w:val="000000"/>
          <w:sz w:val="24"/>
          <w:szCs w:val="24"/>
        </w:rPr>
      </w:pPr>
    </w:p>
    <w:p w14:paraId="416BD60C">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2"/>
        <w:rPr>
          <w:rFonts w:ascii="Times New Roman" w:hAnsi="Times New Roman" w:eastAsia="宋体" w:cs="Times New Roman"/>
          <w:b/>
          <w:bCs/>
          <w:color w:val="000000"/>
          <w:sz w:val="24"/>
          <w:szCs w:val="24"/>
        </w:rPr>
      </w:pP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7"/>
        <w:gridCol w:w="1413"/>
        <w:gridCol w:w="1413"/>
        <w:gridCol w:w="1423"/>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000" w:type="pct"/>
            <w:gridSpan w:val="4"/>
            <w:vAlign w:val="center"/>
          </w:tcPr>
          <w:p w14:paraId="168214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3B568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2287" w:type="pct"/>
            <w:gridSpan w:val="3"/>
          </w:tcPr>
          <w:p w14:paraId="101794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516A31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2287" w:type="pct"/>
            <w:gridSpan w:val="3"/>
          </w:tcPr>
          <w:p w14:paraId="3102D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4C0114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年度资产情况</w:t>
            </w:r>
          </w:p>
        </w:tc>
        <w:tc>
          <w:tcPr>
            <w:tcW w:w="761" w:type="pct"/>
            <w:vAlign w:val="center"/>
          </w:tcPr>
          <w:p w14:paraId="31CCA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2022年</w:t>
            </w:r>
          </w:p>
        </w:tc>
        <w:tc>
          <w:tcPr>
            <w:tcW w:w="761" w:type="pct"/>
            <w:vAlign w:val="center"/>
          </w:tcPr>
          <w:p w14:paraId="19EF27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2023年</w:t>
            </w:r>
          </w:p>
        </w:tc>
        <w:tc>
          <w:tcPr>
            <w:tcW w:w="764" w:type="pct"/>
            <w:vAlign w:val="center"/>
          </w:tcPr>
          <w:p w14:paraId="7DE38A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6488E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流动资产（万元）</w:t>
            </w:r>
          </w:p>
        </w:tc>
        <w:tc>
          <w:tcPr>
            <w:tcW w:w="761" w:type="pct"/>
          </w:tcPr>
          <w:p w14:paraId="1B7AD2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9DE1A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4F672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79689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非流动资产（万元）</w:t>
            </w:r>
          </w:p>
        </w:tc>
        <w:tc>
          <w:tcPr>
            <w:tcW w:w="761" w:type="pct"/>
          </w:tcPr>
          <w:p w14:paraId="7FB4B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5E254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EDF9E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534A7B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营业收入（万元）</w:t>
            </w:r>
          </w:p>
        </w:tc>
        <w:tc>
          <w:tcPr>
            <w:tcW w:w="761" w:type="pct"/>
          </w:tcPr>
          <w:p w14:paraId="220013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46A3A8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42FF71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6BF796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761" w:type="pct"/>
          </w:tcPr>
          <w:p w14:paraId="2ABE55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5FC76F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3CDB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3E7F84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761" w:type="pct"/>
          </w:tcPr>
          <w:p w14:paraId="2811D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431B3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129B58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6C210F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761" w:type="pct"/>
          </w:tcPr>
          <w:p w14:paraId="1AF18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48D5AF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2C5DD4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8A84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净利润（万元）</w:t>
            </w:r>
          </w:p>
        </w:tc>
        <w:tc>
          <w:tcPr>
            <w:tcW w:w="761" w:type="pct"/>
          </w:tcPr>
          <w:p w14:paraId="182DE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5AE2B8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1693E0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156E82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未分配利润（万元）</w:t>
            </w:r>
          </w:p>
        </w:tc>
        <w:tc>
          <w:tcPr>
            <w:tcW w:w="761" w:type="pct"/>
          </w:tcPr>
          <w:p w14:paraId="04BF5F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05EC69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129501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78E33F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761" w:type="pct"/>
          </w:tcPr>
          <w:p w14:paraId="25E8F4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B316B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2D686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39E205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761" w:type="pct"/>
          </w:tcPr>
          <w:p w14:paraId="083533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2A36E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54F009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3523"/>
        <w:gridCol w:w="2804"/>
        <w:gridCol w:w="1427"/>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vAlign w:val="center"/>
          </w:tcPr>
          <w:p w14:paraId="6BE01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序号</w:t>
            </w:r>
          </w:p>
        </w:tc>
        <w:tc>
          <w:tcPr>
            <w:tcW w:w="1897" w:type="pct"/>
            <w:vAlign w:val="center"/>
          </w:tcPr>
          <w:p w14:paraId="1AB4C5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招标要求</w:t>
            </w:r>
          </w:p>
        </w:tc>
        <w:tc>
          <w:tcPr>
            <w:tcW w:w="1510" w:type="pct"/>
            <w:vAlign w:val="center"/>
          </w:tcPr>
          <w:p w14:paraId="7D4A86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响应规格</w:t>
            </w:r>
          </w:p>
        </w:tc>
        <w:tc>
          <w:tcPr>
            <w:tcW w:w="768" w:type="pct"/>
            <w:vAlign w:val="center"/>
          </w:tcPr>
          <w:p w14:paraId="20CE64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1C317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05B4BE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181498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8DAF8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5C5D5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8571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35DB46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B5690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167A8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CE2B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519B40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5802B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823" w:type="pct"/>
          </w:tcPr>
          <w:p w14:paraId="42AF58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8A627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BA7BA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C2998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61B65D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7D37F1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3CC62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6E6640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1EBE47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21DD3B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2CC80B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1C022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6F2EE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7D00C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42325F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A787E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99895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441D11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05A41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495C13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7D3D6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687FCB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A067D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33355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7CE3B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B0094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7BC770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60687B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5FCF07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1735B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581116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2FA38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7DFE8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05F4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076802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7156B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31"/>
        <w:gridCol w:w="2744"/>
        <w:gridCol w:w="1969"/>
        <w:gridCol w:w="1020"/>
        <w:gridCol w:w="673"/>
        <w:gridCol w:w="1422"/>
        <w:gridCol w:w="828"/>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vAlign w:val="center"/>
          </w:tcPr>
          <w:p w14:paraId="269E14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509" w:type="pct"/>
            <w:vAlign w:val="center"/>
          </w:tcPr>
          <w:p w14:paraId="7EF1FC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083" w:type="pct"/>
            <w:vAlign w:val="center"/>
          </w:tcPr>
          <w:p w14:paraId="189E6B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561" w:type="pct"/>
            <w:vAlign w:val="center"/>
          </w:tcPr>
          <w:p w14:paraId="6689D0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0084108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vAlign w:val="center"/>
          </w:tcPr>
          <w:p w14:paraId="671961B9">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509" w:type="pct"/>
            <w:vAlign w:val="center"/>
          </w:tcPr>
          <w:p w14:paraId="3BE40846">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083" w:type="pct"/>
            <w:vAlign w:val="center"/>
          </w:tcPr>
          <w:p w14:paraId="67C4C75E">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561" w:type="pct"/>
            <w:vAlign w:val="center"/>
          </w:tcPr>
          <w:p w14:paraId="195F62FA">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875CCC">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2EFD9A24">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D44B6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一</w:t>
            </w:r>
          </w:p>
        </w:tc>
        <w:tc>
          <w:tcPr>
            <w:tcW w:w="1509" w:type="pct"/>
            <w:shd w:val="clear" w:color="auto" w:fill="auto"/>
            <w:vAlign w:val="center"/>
          </w:tcPr>
          <w:p w14:paraId="064B0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定子热套装置</w:t>
            </w:r>
          </w:p>
        </w:tc>
        <w:tc>
          <w:tcPr>
            <w:tcW w:w="1083" w:type="pct"/>
            <w:shd w:val="clear" w:color="auto" w:fill="auto"/>
            <w:vAlign w:val="center"/>
          </w:tcPr>
          <w:p w14:paraId="37A6B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88F07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79052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B12E0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9C826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0BE3E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1.1</w:t>
            </w:r>
          </w:p>
        </w:tc>
        <w:tc>
          <w:tcPr>
            <w:tcW w:w="1509" w:type="pct"/>
            <w:shd w:val="clear" w:color="auto" w:fill="auto"/>
            <w:vAlign w:val="center"/>
          </w:tcPr>
          <w:p w14:paraId="45AD14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4BA53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7DF3A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5AE2A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865F9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D68B1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45F2D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1.2</w:t>
            </w:r>
          </w:p>
        </w:tc>
        <w:tc>
          <w:tcPr>
            <w:tcW w:w="1509" w:type="pct"/>
            <w:shd w:val="clear" w:color="auto" w:fill="auto"/>
            <w:vAlign w:val="center"/>
          </w:tcPr>
          <w:p w14:paraId="6E187F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感应加热装置</w:t>
            </w:r>
          </w:p>
        </w:tc>
        <w:tc>
          <w:tcPr>
            <w:tcW w:w="1083" w:type="pct"/>
            <w:shd w:val="clear" w:color="auto" w:fill="auto"/>
            <w:vAlign w:val="center"/>
          </w:tcPr>
          <w:p w14:paraId="5004B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A098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FDC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49CAF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90682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2269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3F788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1.3</w:t>
            </w:r>
          </w:p>
        </w:tc>
        <w:tc>
          <w:tcPr>
            <w:tcW w:w="1509" w:type="pct"/>
            <w:shd w:val="clear" w:color="auto" w:fill="auto"/>
            <w:vAlign w:val="center"/>
          </w:tcPr>
          <w:p w14:paraId="76B39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3CFFEA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602D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460C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2915B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6708EA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D044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二</w:t>
            </w:r>
          </w:p>
        </w:tc>
        <w:tc>
          <w:tcPr>
            <w:tcW w:w="1509" w:type="pct"/>
            <w:shd w:val="clear" w:color="auto" w:fill="auto"/>
            <w:vAlign w:val="center"/>
          </w:tcPr>
          <w:p w14:paraId="29533E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定转子合装装置</w:t>
            </w:r>
          </w:p>
        </w:tc>
        <w:tc>
          <w:tcPr>
            <w:tcW w:w="1083" w:type="pct"/>
            <w:shd w:val="clear" w:color="auto" w:fill="auto"/>
            <w:vAlign w:val="center"/>
          </w:tcPr>
          <w:p w14:paraId="0968CC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B3904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57CCC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F0AF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851C23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sz w:val="20"/>
                <w:szCs w:val="20"/>
                <w:highlight w:val="yellow"/>
                <w:lang w:val="en-US" w:eastAsia="zh-CN"/>
              </w:rPr>
            </w:pPr>
          </w:p>
        </w:tc>
      </w:tr>
      <w:tr w14:paraId="74973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71E10A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509" w:type="pct"/>
            <w:shd w:val="clear" w:color="auto" w:fill="auto"/>
            <w:vAlign w:val="center"/>
          </w:tcPr>
          <w:p w14:paraId="6702EE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2DB71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7C0EA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EF75C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6E9BF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769ECD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sz w:val="20"/>
                <w:szCs w:val="20"/>
                <w:highlight w:val="yellow"/>
                <w:lang w:val="en-US" w:eastAsia="zh-CN"/>
              </w:rPr>
            </w:pPr>
          </w:p>
        </w:tc>
      </w:tr>
      <w:tr w14:paraId="2391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2A6D2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509" w:type="pct"/>
            <w:shd w:val="clear" w:color="auto" w:fill="auto"/>
            <w:vAlign w:val="center"/>
          </w:tcPr>
          <w:p w14:paraId="49C39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4D5EF2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782E02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379F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CEACD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0CF83D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D518F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w:t>
            </w:r>
          </w:p>
        </w:tc>
        <w:tc>
          <w:tcPr>
            <w:tcW w:w="1509" w:type="pct"/>
            <w:shd w:val="clear" w:color="auto" w:fill="auto"/>
            <w:vAlign w:val="center"/>
          </w:tcPr>
          <w:p w14:paraId="516E31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伺服压装装置</w:t>
            </w:r>
          </w:p>
        </w:tc>
        <w:tc>
          <w:tcPr>
            <w:tcW w:w="1083" w:type="pct"/>
            <w:shd w:val="clear" w:color="auto" w:fill="auto"/>
            <w:vAlign w:val="center"/>
          </w:tcPr>
          <w:p w14:paraId="73B43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B1ECC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5C8A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08B7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4E78712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442A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6323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509" w:type="pct"/>
            <w:shd w:val="clear" w:color="auto" w:fill="auto"/>
            <w:vAlign w:val="center"/>
          </w:tcPr>
          <w:p w14:paraId="7FCF8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45BFB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F6EF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56214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DE7D4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5528B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lang w:val="en-US" w:eastAsia="zh-CN"/>
              </w:rPr>
            </w:pPr>
            <w:r>
              <w:rPr>
                <w:rFonts w:hint="eastAsia" w:ascii="宋体" w:hAnsi="宋体" w:eastAsia="宋体" w:cs="宋体"/>
                <w:sz w:val="20"/>
                <w:szCs w:val="20"/>
                <w:highlight w:val="yellow"/>
                <w:lang w:val="en-US" w:eastAsia="zh-CN"/>
              </w:rPr>
              <w:t>招标方提供</w:t>
            </w: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EB8D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509" w:type="pct"/>
            <w:shd w:val="clear" w:color="auto" w:fill="auto"/>
            <w:vAlign w:val="center"/>
          </w:tcPr>
          <w:p w14:paraId="5DA05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压机改造</w:t>
            </w:r>
          </w:p>
        </w:tc>
        <w:tc>
          <w:tcPr>
            <w:tcW w:w="1083" w:type="pct"/>
            <w:shd w:val="clear" w:color="auto" w:fill="auto"/>
            <w:vAlign w:val="center"/>
          </w:tcPr>
          <w:p w14:paraId="05B50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55000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A4C15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50DFD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4C614DD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45FD5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509" w:type="pct"/>
            <w:shd w:val="clear" w:color="auto" w:fill="auto"/>
            <w:vAlign w:val="center"/>
          </w:tcPr>
          <w:p w14:paraId="12D86B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792FC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5089C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9868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585B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820B53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351913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四</w:t>
            </w:r>
          </w:p>
        </w:tc>
        <w:tc>
          <w:tcPr>
            <w:tcW w:w="1509" w:type="pct"/>
            <w:shd w:val="clear" w:color="auto" w:fill="auto"/>
            <w:vAlign w:val="center"/>
          </w:tcPr>
          <w:p w14:paraId="5AEB94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旋变调零装置</w:t>
            </w:r>
          </w:p>
        </w:tc>
        <w:tc>
          <w:tcPr>
            <w:tcW w:w="1083" w:type="pct"/>
            <w:shd w:val="clear" w:color="auto" w:fill="auto"/>
            <w:vAlign w:val="center"/>
          </w:tcPr>
          <w:p w14:paraId="428849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0ADF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85B9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05AECD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C58413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6F115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4191E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4.1</w:t>
            </w:r>
          </w:p>
        </w:tc>
        <w:tc>
          <w:tcPr>
            <w:tcW w:w="1509" w:type="pct"/>
            <w:shd w:val="clear" w:color="auto" w:fill="auto"/>
            <w:vAlign w:val="center"/>
          </w:tcPr>
          <w:p w14:paraId="00284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旋变调零仪</w:t>
            </w:r>
          </w:p>
        </w:tc>
        <w:tc>
          <w:tcPr>
            <w:tcW w:w="1083" w:type="pct"/>
            <w:shd w:val="clear" w:color="auto" w:fill="auto"/>
            <w:vAlign w:val="center"/>
          </w:tcPr>
          <w:p w14:paraId="2894B6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2645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2614EE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B19E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1D8677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6E21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071C74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4.2</w:t>
            </w:r>
          </w:p>
        </w:tc>
        <w:tc>
          <w:tcPr>
            <w:tcW w:w="1509" w:type="pct"/>
            <w:shd w:val="clear" w:color="auto" w:fill="auto"/>
            <w:vAlign w:val="center"/>
          </w:tcPr>
          <w:p w14:paraId="79A6C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1083" w:type="pct"/>
            <w:shd w:val="clear" w:color="auto" w:fill="auto"/>
            <w:vAlign w:val="center"/>
          </w:tcPr>
          <w:p w14:paraId="1D9F6A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C9FAF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03C50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961E9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E4BD44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5F2A0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76940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4.3</w:t>
            </w:r>
          </w:p>
        </w:tc>
        <w:tc>
          <w:tcPr>
            <w:tcW w:w="1509" w:type="pct"/>
            <w:shd w:val="clear" w:color="auto" w:fill="auto"/>
            <w:vAlign w:val="center"/>
          </w:tcPr>
          <w:p w14:paraId="19AFC8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电机定位台</w:t>
            </w:r>
          </w:p>
        </w:tc>
        <w:tc>
          <w:tcPr>
            <w:tcW w:w="1083" w:type="pct"/>
            <w:shd w:val="clear" w:color="auto" w:fill="auto"/>
            <w:vAlign w:val="center"/>
          </w:tcPr>
          <w:p w14:paraId="1CABF3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8C6B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26912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430D6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86100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6ED00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1C71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五</w:t>
            </w:r>
          </w:p>
        </w:tc>
        <w:tc>
          <w:tcPr>
            <w:tcW w:w="1509" w:type="pct"/>
            <w:shd w:val="clear" w:color="auto" w:fill="auto"/>
            <w:vAlign w:val="center"/>
          </w:tcPr>
          <w:p w14:paraId="38E7B3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气密性测试装置</w:t>
            </w:r>
          </w:p>
        </w:tc>
        <w:tc>
          <w:tcPr>
            <w:tcW w:w="1083" w:type="pct"/>
            <w:shd w:val="clear" w:color="auto" w:fill="auto"/>
            <w:vAlign w:val="center"/>
          </w:tcPr>
          <w:p w14:paraId="4C405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92A47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C060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99CC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A4263A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D1B9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C9836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1509" w:type="pct"/>
            <w:shd w:val="clear" w:color="auto" w:fill="auto"/>
            <w:vAlign w:val="center"/>
          </w:tcPr>
          <w:p w14:paraId="2D6E0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1083" w:type="pct"/>
            <w:vAlign w:val="center"/>
          </w:tcPr>
          <w:p w14:paraId="516F3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561" w:type="pct"/>
            <w:vAlign w:val="center"/>
          </w:tcPr>
          <w:p w14:paraId="5F569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6C809D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29554B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273900A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3D9B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12CA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509" w:type="pct"/>
            <w:shd w:val="clear" w:color="auto" w:fill="auto"/>
            <w:vAlign w:val="center"/>
          </w:tcPr>
          <w:p w14:paraId="798728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1083" w:type="pct"/>
            <w:vAlign w:val="center"/>
          </w:tcPr>
          <w:p w14:paraId="0CA328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561" w:type="pct"/>
            <w:vAlign w:val="center"/>
          </w:tcPr>
          <w:p w14:paraId="3A8BE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1BF62C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5CDB1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268B688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0A372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27" w:hRule="atLeast"/>
        </w:trPr>
        <w:tc>
          <w:tcPr>
            <w:tcW w:w="237" w:type="pct"/>
            <w:shd w:val="clear" w:color="auto" w:fill="auto"/>
            <w:vAlign w:val="center"/>
          </w:tcPr>
          <w:p w14:paraId="081F10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1509" w:type="pct"/>
            <w:shd w:val="clear" w:color="auto" w:fill="auto"/>
            <w:vAlign w:val="center"/>
          </w:tcPr>
          <w:p w14:paraId="7B9B1D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1083" w:type="pct"/>
            <w:vAlign w:val="center"/>
          </w:tcPr>
          <w:p w14:paraId="731A54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561" w:type="pct"/>
            <w:vAlign w:val="center"/>
          </w:tcPr>
          <w:p w14:paraId="11015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13B2E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22763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B63C79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24C4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15946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六</w:t>
            </w:r>
          </w:p>
        </w:tc>
        <w:tc>
          <w:tcPr>
            <w:tcW w:w="0" w:type="auto"/>
            <w:shd w:val="clear" w:color="auto" w:fill="auto"/>
            <w:vAlign w:val="center"/>
          </w:tcPr>
          <w:p w14:paraId="78B759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电机综合</w:t>
            </w:r>
            <w:r>
              <w:rPr>
                <w:rFonts w:hint="default" w:ascii="宋体" w:hAnsi="宋体" w:eastAsia="宋体" w:cs="宋体"/>
                <w:b/>
                <w:bCs/>
                <w:i w:val="0"/>
                <w:iCs w:val="0"/>
                <w:color w:val="000000"/>
                <w:kern w:val="0"/>
                <w:sz w:val="20"/>
                <w:szCs w:val="20"/>
                <w:u w:val="none"/>
                <w:lang w:val="en-US" w:eastAsia="zh-CN" w:bidi="ar"/>
              </w:rPr>
              <w:t>测试装置</w:t>
            </w:r>
          </w:p>
        </w:tc>
        <w:tc>
          <w:tcPr>
            <w:tcW w:w="0" w:type="auto"/>
          </w:tcPr>
          <w:p w14:paraId="6ED6A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491E09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21BCC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578D6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62DBF29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202E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0BAE9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0" w:type="auto"/>
            <w:shd w:val="clear" w:color="auto" w:fill="auto"/>
            <w:vAlign w:val="center"/>
          </w:tcPr>
          <w:p w14:paraId="00A88A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电机综合测试装置</w:t>
            </w:r>
          </w:p>
        </w:tc>
        <w:tc>
          <w:tcPr>
            <w:tcW w:w="0" w:type="auto"/>
          </w:tcPr>
          <w:p w14:paraId="4B99F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649FF8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CCE99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3766E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D033EA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41FE9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669CC7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0" w:type="auto"/>
            <w:shd w:val="clear" w:color="auto" w:fill="auto"/>
            <w:vAlign w:val="center"/>
          </w:tcPr>
          <w:p w14:paraId="105CA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0" w:type="auto"/>
          </w:tcPr>
          <w:p w14:paraId="00F83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4C1FE6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2BF8E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3D83C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98B22B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D4B2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0C4E2E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p>
        </w:tc>
        <w:tc>
          <w:tcPr>
            <w:tcW w:w="0" w:type="auto"/>
            <w:shd w:val="clear" w:color="auto" w:fill="auto"/>
            <w:vAlign w:val="center"/>
          </w:tcPr>
          <w:p w14:paraId="1D3B7F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p>
        </w:tc>
        <w:tc>
          <w:tcPr>
            <w:tcW w:w="0" w:type="auto"/>
          </w:tcPr>
          <w:p w14:paraId="2955B6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30F66B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18C22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1FA869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6A33A5F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2284FF3E">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134"/>
        <w:gridCol w:w="1391"/>
        <w:gridCol w:w="845"/>
        <w:gridCol w:w="1352"/>
        <w:gridCol w:w="1047"/>
        <w:gridCol w:w="1631"/>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40DA5C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序号</w:t>
            </w:r>
          </w:p>
        </w:tc>
        <w:tc>
          <w:tcPr>
            <w:tcW w:w="1149" w:type="pct"/>
            <w:vAlign w:val="center"/>
          </w:tcPr>
          <w:p w14:paraId="3C38D59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采购单位</w:t>
            </w:r>
          </w:p>
        </w:tc>
        <w:tc>
          <w:tcPr>
            <w:tcW w:w="748" w:type="pct"/>
            <w:vAlign w:val="center"/>
          </w:tcPr>
          <w:p w14:paraId="5DB143B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项目名称</w:t>
            </w:r>
          </w:p>
          <w:p w14:paraId="240A49A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（万元）</w:t>
            </w:r>
          </w:p>
        </w:tc>
        <w:tc>
          <w:tcPr>
            <w:tcW w:w="455" w:type="pct"/>
            <w:vAlign w:val="center"/>
          </w:tcPr>
          <w:p w14:paraId="3FEAEBD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数量</w:t>
            </w:r>
          </w:p>
        </w:tc>
        <w:tc>
          <w:tcPr>
            <w:tcW w:w="728" w:type="pct"/>
            <w:vAlign w:val="center"/>
          </w:tcPr>
          <w:p w14:paraId="40FAF1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合同金额</w:t>
            </w:r>
          </w:p>
        </w:tc>
        <w:tc>
          <w:tcPr>
            <w:tcW w:w="564" w:type="pct"/>
            <w:vAlign w:val="center"/>
          </w:tcPr>
          <w:p w14:paraId="220F6C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合同签订时间</w:t>
            </w:r>
          </w:p>
        </w:tc>
        <w:tc>
          <w:tcPr>
            <w:tcW w:w="878" w:type="pct"/>
            <w:vAlign w:val="center"/>
          </w:tcPr>
          <w:p w14:paraId="2EEA717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联系人及</w:t>
            </w:r>
          </w:p>
          <w:p w14:paraId="2D83CE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577DF5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737BB4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73D7533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261E686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CFC8D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7F262D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5E7E794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7D4E8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5103F4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1EA576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46E67EC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99772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0665B3F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7B7A3A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C829D4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4D7CDE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0FFC09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847FF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5DC4C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5D7953D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36ABD3C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E2CA2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16FAE1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69C7B8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3CFBDA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AD186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3CF0525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3853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59A5B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75F251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0A0762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DC69C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19E6D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066DC7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4C55B0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243C4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29BA8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302CBE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754696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9E68AC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6F2099B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698A932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432359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30EDAE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5930213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4C97AE8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1A9899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64F1A26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46AB181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57C49D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3F717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F3D4F9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B29DFF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B6BCB6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5FCC28A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7FC917F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9A0E9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C2962F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83AF2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2F9DBC7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5EB27C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186D75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652C2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D55FB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02D368C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48CC1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0ECAB00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4E5C1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7B3468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14D5706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B93640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F205F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74633F9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7C4838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04C0F33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47333F9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34906BA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FB047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DAE31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1598B01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7E5EF2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E0C71C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2C79B7F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47F416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372" w:type="pct"/>
            <w:gridSpan w:val="3"/>
          </w:tcPr>
          <w:p w14:paraId="0161E7D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宋体" w:eastAsia="宋体" w:cs="宋体"/>
                <w:sz w:val="24"/>
                <w:szCs w:val="24"/>
                <w:highlight w:val="yellow"/>
              </w:rPr>
              <w:t>2022年1月1日</w:t>
            </w:r>
            <w:r>
              <w:rPr>
                <w:rFonts w:ascii="宋体" w:hAnsi="宋体" w:eastAsia="宋体" w:cs="宋体"/>
                <w:sz w:val="24"/>
                <w:szCs w:val="24"/>
                <w:highlight w:val="yellow"/>
              </w:rPr>
              <w:t>至今所有业绩合同总额汇总（必填）</w:t>
            </w:r>
          </w:p>
        </w:tc>
        <w:tc>
          <w:tcPr>
            <w:tcW w:w="455" w:type="pct"/>
          </w:tcPr>
          <w:p w14:paraId="3DE72EA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EBDD93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246803B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A2F3F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提供2022年1月1日以来同类产品的制造销售业绩（用户名单、联系方式）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5" w:type="first"/>
          <w:footerReference r:id="rId24"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序号</w:t>
            </w:r>
          </w:p>
        </w:tc>
        <w:tc>
          <w:tcPr>
            <w:tcW w:w="1518" w:type="dxa"/>
            <w:vAlign w:val="center"/>
          </w:tcPr>
          <w:p w14:paraId="0938192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货物名称</w:t>
            </w:r>
          </w:p>
        </w:tc>
        <w:tc>
          <w:tcPr>
            <w:tcW w:w="848" w:type="dxa"/>
            <w:vAlign w:val="center"/>
          </w:tcPr>
          <w:p w14:paraId="21EC0DF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数量</w:t>
            </w:r>
          </w:p>
        </w:tc>
        <w:tc>
          <w:tcPr>
            <w:tcW w:w="2270" w:type="dxa"/>
            <w:vAlign w:val="center"/>
          </w:tcPr>
          <w:p w14:paraId="65F43B6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投标总价（元）</w:t>
            </w:r>
          </w:p>
        </w:tc>
        <w:tc>
          <w:tcPr>
            <w:tcW w:w="1100" w:type="dxa"/>
            <w:vAlign w:val="center"/>
          </w:tcPr>
          <w:p w14:paraId="0D0980A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质保期</w:t>
            </w:r>
          </w:p>
        </w:tc>
        <w:tc>
          <w:tcPr>
            <w:tcW w:w="1243" w:type="dxa"/>
            <w:vAlign w:val="center"/>
          </w:tcPr>
          <w:p w14:paraId="0837153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交货及安装</w:t>
            </w:r>
          </w:p>
          <w:p w14:paraId="537550F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时间</w:t>
            </w:r>
          </w:p>
        </w:tc>
        <w:tc>
          <w:tcPr>
            <w:tcW w:w="705" w:type="dxa"/>
            <w:vAlign w:val="center"/>
          </w:tcPr>
          <w:p w14:paraId="43D8F99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付款方式及比例如何响应</w:t>
            </w:r>
          </w:p>
        </w:tc>
        <w:tc>
          <w:tcPr>
            <w:tcW w:w="699" w:type="dxa"/>
            <w:vAlign w:val="center"/>
          </w:tcPr>
          <w:p w14:paraId="7EAED6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ascii="宋体" w:hAnsi="Times New Roman" w:eastAsia="宋体" w:cs="Times New Roman"/>
                <w:b/>
                <w:szCs w:val="20"/>
              </w:rPr>
              <w:t>1</w:t>
            </w:r>
          </w:p>
        </w:tc>
        <w:tc>
          <w:tcPr>
            <w:tcW w:w="1518" w:type="dxa"/>
            <w:vAlign w:val="center"/>
          </w:tcPr>
          <w:p w14:paraId="72D77A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Times New Roman" w:eastAsia="宋体" w:cs="Times New Roman"/>
                <w:b/>
                <w:szCs w:val="20"/>
                <w:lang w:val="en-US" w:eastAsia="zh-CN"/>
              </w:rPr>
            </w:pPr>
            <w:r>
              <w:rPr>
                <w:rFonts w:hint="eastAsia" w:ascii="宋体" w:hAnsi="Times New Roman" w:eastAsia="宋体" w:cs="Times New Roman"/>
                <w:b/>
                <w:szCs w:val="20"/>
                <w:lang w:val="en-US" w:eastAsia="zh-CN"/>
              </w:rPr>
              <w:t>项目名称</w:t>
            </w:r>
          </w:p>
        </w:tc>
        <w:tc>
          <w:tcPr>
            <w:tcW w:w="848" w:type="dxa"/>
            <w:vAlign w:val="center"/>
          </w:tcPr>
          <w:p w14:paraId="2CB6B3C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1套</w:t>
            </w:r>
          </w:p>
        </w:tc>
        <w:tc>
          <w:tcPr>
            <w:tcW w:w="2270" w:type="dxa"/>
            <w:vAlign w:val="center"/>
          </w:tcPr>
          <w:p w14:paraId="5D945FE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不含税价：</w:t>
            </w:r>
          </w:p>
          <w:p w14:paraId="50ACAE5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含税价格：    （大写：    ）</w:t>
            </w:r>
          </w:p>
          <w:p w14:paraId="6FB51B6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税率：</w:t>
            </w:r>
          </w:p>
        </w:tc>
        <w:tc>
          <w:tcPr>
            <w:tcW w:w="1100" w:type="dxa"/>
            <w:vAlign w:val="center"/>
          </w:tcPr>
          <w:p w14:paraId="62E05D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243" w:type="dxa"/>
            <w:vAlign w:val="center"/>
          </w:tcPr>
          <w:p w14:paraId="49BAAB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05" w:type="dxa"/>
            <w:vAlign w:val="center"/>
          </w:tcPr>
          <w:p w14:paraId="3F52CC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699" w:type="dxa"/>
            <w:vAlign w:val="center"/>
          </w:tcPr>
          <w:p w14:paraId="6DAA728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2"/>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5"/>
        <w:jc w:val="left"/>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6"/>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5"/>
        <w:gridCol w:w="3358"/>
        <w:gridCol w:w="1786"/>
        <w:gridCol w:w="1814"/>
        <w:gridCol w:w="891"/>
        <w:gridCol w:w="1133"/>
        <w:gridCol w:w="1374"/>
        <w:gridCol w:w="1724"/>
        <w:gridCol w:w="1166"/>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637"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64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8"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4"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0"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6"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3"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637"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64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8"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4"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0"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6"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定子热套装置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CF735D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D3F4D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感应加热装置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368B8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62495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19CA4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B2F6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DA7B7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415A3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012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60D5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025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50C91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96216F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定转子合装装置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EEE86B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E3A521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4A2C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73E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8280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F924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281B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1B0B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9649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C376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3EF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6F59DF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7634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5EF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631F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伺服压装装置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747A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6195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A21E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5BAE44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EE8FC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E98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BB946F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lang w:val="en-US" w:eastAsia="zh-CN"/>
              </w:rPr>
            </w:pPr>
          </w:p>
        </w:tc>
      </w:tr>
      <w:tr w14:paraId="0F461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5A29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26F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710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ADEC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F50C5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6EE3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2607C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5ED11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C578D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招标方提供</w:t>
            </w:r>
          </w:p>
        </w:tc>
      </w:tr>
      <w:tr w14:paraId="3DAC9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03FBD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FDB5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压机改造</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0C3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C3863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4337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6699C1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4A41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C94E8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6B7F7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A3A8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4A6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980F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1048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5A55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653DB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BC12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0508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DDDD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76114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四</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旋变调零装置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7803C9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21A2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7015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147D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旋变调零仪</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8E574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FB5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3FFDE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EB321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F9E87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9BB5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255F88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2477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CC4C8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298B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3827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BFE6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043D3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3FD3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A6ED3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AC2E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D12ED4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0FB0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0326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8856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电机定位台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40796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15F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BAD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7A370E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4C618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8514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370E7F8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五</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气密性测试装置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8DEF68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AB2D3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A32E1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60EC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7ECB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E5625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B8F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9291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77668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7200B8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05E2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8BA7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99E53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六</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电机综合</w:t>
            </w:r>
            <w:r>
              <w:rPr>
                <w:rFonts w:hint="default" w:ascii="宋体" w:hAnsi="宋体" w:eastAsia="宋体" w:cs="宋体"/>
                <w:b/>
                <w:bCs/>
                <w:i w:val="0"/>
                <w:iCs w:val="0"/>
                <w:color w:val="000000"/>
                <w:kern w:val="0"/>
                <w:sz w:val="20"/>
                <w:szCs w:val="20"/>
                <w:u w:val="none"/>
                <w:lang w:val="en-US" w:eastAsia="zh-CN" w:bidi="ar"/>
              </w:rPr>
              <w:t>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EA8C42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E87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电机综合测试装置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C3B0D5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73D2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809435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65E5A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0BC78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28A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210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C48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BED8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EE17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A3F83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3677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D04A13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A89654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color w:val="000000"/>
                <w:kern w:val="0"/>
                <w:sz w:val="20"/>
                <w:szCs w:val="20"/>
                <w:lang w:val="en-US" w:eastAsia="zh-CN" w:bidi="ar"/>
              </w:rPr>
            </w:pPr>
          </w:p>
        </w:tc>
        <w:tc>
          <w:tcPr>
            <w:tcW w:w="3204"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DF9EED">
      <w:pPr>
        <w:pStyle w:val="29"/>
        <w:rPr>
          <w:rFonts w:hint="eastAsia"/>
        </w:rPr>
        <w:sectPr>
          <w:footerReference r:id="rId26" w:type="default"/>
          <w:pgSz w:w="16841" w:h="11907" w:orient="landscape"/>
          <w:pgMar w:top="400" w:right="1387" w:bottom="1168" w:left="1473" w:header="0" w:footer="990" w:gutter="0"/>
          <w:cols w:equalWidth="0" w:num="1">
            <w:col w:w="13980"/>
          </w:cols>
        </w:sectPr>
      </w:pPr>
      <w:r>
        <w:rPr>
          <w:rFonts w:hint="eastAsia"/>
        </w:rPr>
        <w:t xml:space="preserve"> </w:t>
      </w:r>
    </w:p>
    <w:p w14:paraId="47485453">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45BD5FDC">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64B32386">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52F8949">
      <w:pPr>
        <w:rPr>
          <w:rFonts w:hint="eastAsia" w:ascii="宋体" w:hAnsi="宋体" w:eastAsia="宋体" w:cs="宋体"/>
          <w:sz w:val="24"/>
          <w:szCs w:val="24"/>
        </w:rPr>
        <w:sectPr>
          <w:type w:val="continuous"/>
          <w:pgSz w:w="16841" w:h="11907"/>
          <w:pgMar w:top="400" w:right="1387" w:bottom="1168" w:left="1473" w:header="0" w:footer="990" w:gutter="0"/>
          <w:cols w:equalWidth="0" w:num="2">
            <w:col w:w="4757" w:space="100"/>
            <w:col w:w="9124"/>
          </w:cols>
        </w:sectPr>
      </w:pPr>
    </w:p>
    <w:p w14:paraId="540A7304">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0" w:hRule="atLeast"/>
        </w:trPr>
        <w:tc>
          <w:tcPr>
            <w:tcW w:w="799" w:type="dxa"/>
            <w:vMerge w:val="restart"/>
            <w:tcBorders>
              <w:bottom w:val="nil"/>
            </w:tcBorders>
            <w:vAlign w:val="center"/>
          </w:tcPr>
          <w:p w14:paraId="60788F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25D137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序号</w:t>
            </w:r>
          </w:p>
        </w:tc>
        <w:tc>
          <w:tcPr>
            <w:tcW w:w="3530" w:type="dxa"/>
            <w:vMerge w:val="restart"/>
            <w:tcBorders>
              <w:bottom w:val="nil"/>
            </w:tcBorders>
            <w:vAlign w:val="center"/>
          </w:tcPr>
          <w:p w14:paraId="221BB3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729B87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内  容</w:t>
            </w:r>
          </w:p>
        </w:tc>
        <w:tc>
          <w:tcPr>
            <w:tcW w:w="2159" w:type="dxa"/>
            <w:vAlign w:val="center"/>
          </w:tcPr>
          <w:p w14:paraId="742E182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数  量</w:t>
            </w:r>
          </w:p>
        </w:tc>
        <w:tc>
          <w:tcPr>
            <w:tcW w:w="2186" w:type="dxa"/>
            <w:vAlign w:val="center"/>
          </w:tcPr>
          <w:p w14:paraId="0C86BA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单价(元)</w:t>
            </w:r>
            <w:r>
              <w:rPr>
                <w:rFonts w:hint="eastAsia" w:ascii="宋体" w:hAnsi="Times New Roman" w:eastAsia="宋体" w:cs="Times New Roman"/>
                <w:b/>
                <w:szCs w:val="20"/>
              </w:rPr>
              <w:t>（不含税）</w:t>
            </w:r>
          </w:p>
        </w:tc>
        <w:tc>
          <w:tcPr>
            <w:tcW w:w="2596" w:type="dxa"/>
            <w:vAlign w:val="center"/>
          </w:tcPr>
          <w:p w14:paraId="2343BF9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总价(元)</w:t>
            </w:r>
            <w:r>
              <w:rPr>
                <w:rFonts w:hint="eastAsia" w:ascii="宋体" w:hAnsi="Times New Roman" w:eastAsia="宋体" w:cs="Times New Roman"/>
                <w:b/>
                <w:szCs w:val="20"/>
              </w:rPr>
              <w:t>（不含税）</w:t>
            </w:r>
          </w:p>
        </w:tc>
        <w:tc>
          <w:tcPr>
            <w:tcW w:w="2164" w:type="dxa"/>
            <w:vAlign w:val="center"/>
          </w:tcPr>
          <w:p w14:paraId="06AABC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vAlign w:val="center"/>
          </w:tcPr>
          <w:p w14:paraId="6E05F7E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3530" w:type="dxa"/>
            <w:vMerge w:val="continue"/>
            <w:tcBorders>
              <w:top w:val="nil"/>
            </w:tcBorders>
            <w:vAlign w:val="center"/>
          </w:tcPr>
          <w:p w14:paraId="4DE1A4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59" w:type="dxa"/>
            <w:vAlign w:val="center"/>
          </w:tcPr>
          <w:p w14:paraId="2420673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1</w:t>
            </w:r>
          </w:p>
        </w:tc>
        <w:tc>
          <w:tcPr>
            <w:tcW w:w="2186" w:type="dxa"/>
            <w:vAlign w:val="center"/>
          </w:tcPr>
          <w:p w14:paraId="1189AF0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2</w:t>
            </w:r>
          </w:p>
        </w:tc>
        <w:tc>
          <w:tcPr>
            <w:tcW w:w="2596" w:type="dxa"/>
            <w:vAlign w:val="center"/>
          </w:tcPr>
          <w:p w14:paraId="0493952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3 (1×2)</w:t>
            </w:r>
          </w:p>
        </w:tc>
        <w:tc>
          <w:tcPr>
            <w:tcW w:w="2164" w:type="dxa"/>
            <w:vAlign w:val="center"/>
          </w:tcPr>
          <w:p w14:paraId="397CF5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196FC51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1</w:t>
            </w:r>
          </w:p>
        </w:tc>
        <w:tc>
          <w:tcPr>
            <w:tcW w:w="3530" w:type="dxa"/>
            <w:vAlign w:val="center"/>
          </w:tcPr>
          <w:p w14:paraId="202737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包装费</w:t>
            </w:r>
          </w:p>
        </w:tc>
        <w:tc>
          <w:tcPr>
            <w:tcW w:w="2159" w:type="dxa"/>
            <w:vAlign w:val="center"/>
          </w:tcPr>
          <w:p w14:paraId="01CB9AB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1658FB2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39CF47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33F0BC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4CE144F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2</w:t>
            </w:r>
          </w:p>
        </w:tc>
        <w:tc>
          <w:tcPr>
            <w:tcW w:w="3530" w:type="dxa"/>
            <w:vAlign w:val="center"/>
          </w:tcPr>
          <w:p w14:paraId="607F10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运输费</w:t>
            </w:r>
          </w:p>
        </w:tc>
        <w:tc>
          <w:tcPr>
            <w:tcW w:w="2159" w:type="dxa"/>
            <w:vAlign w:val="center"/>
          </w:tcPr>
          <w:p w14:paraId="51BA83D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16E486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7D342B5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Merge w:val="restart"/>
            <w:tcBorders>
              <w:bottom w:val="nil"/>
            </w:tcBorders>
            <w:vAlign w:val="center"/>
          </w:tcPr>
          <w:p w14:paraId="09AC503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048E37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运输方式及运输起止 地点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vAlign w:val="center"/>
          </w:tcPr>
          <w:p w14:paraId="08E238B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3</w:t>
            </w:r>
          </w:p>
        </w:tc>
        <w:tc>
          <w:tcPr>
            <w:tcW w:w="3530" w:type="dxa"/>
            <w:vAlign w:val="center"/>
          </w:tcPr>
          <w:p w14:paraId="68E6EF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运输保险费</w:t>
            </w:r>
          </w:p>
        </w:tc>
        <w:tc>
          <w:tcPr>
            <w:tcW w:w="2159" w:type="dxa"/>
            <w:vAlign w:val="center"/>
          </w:tcPr>
          <w:p w14:paraId="460102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300F0B4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2BD342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Merge w:val="continue"/>
            <w:tcBorders>
              <w:top w:val="nil"/>
            </w:tcBorders>
            <w:vAlign w:val="center"/>
          </w:tcPr>
          <w:p w14:paraId="618DA2B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56B2AC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4</w:t>
            </w:r>
          </w:p>
        </w:tc>
        <w:tc>
          <w:tcPr>
            <w:tcW w:w="3530" w:type="dxa"/>
            <w:vAlign w:val="center"/>
          </w:tcPr>
          <w:p w14:paraId="76B5EF1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装卸费</w:t>
            </w:r>
          </w:p>
        </w:tc>
        <w:tc>
          <w:tcPr>
            <w:tcW w:w="2159" w:type="dxa"/>
            <w:vAlign w:val="center"/>
          </w:tcPr>
          <w:p w14:paraId="4CACB5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3C457F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6FE619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5FCBF7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发生费用地点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6A886D7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5</w:t>
            </w:r>
          </w:p>
        </w:tc>
        <w:tc>
          <w:tcPr>
            <w:tcW w:w="3530" w:type="dxa"/>
            <w:vAlign w:val="center"/>
          </w:tcPr>
          <w:p w14:paraId="481EC4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其他</w:t>
            </w:r>
          </w:p>
        </w:tc>
        <w:tc>
          <w:tcPr>
            <w:tcW w:w="2159" w:type="dxa"/>
            <w:vAlign w:val="center"/>
          </w:tcPr>
          <w:p w14:paraId="1B364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08CDD96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7F5C27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5F69A06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说明具体内容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vAlign w:val="center"/>
          </w:tcPr>
          <w:p w14:paraId="0ECA9E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 xml:space="preserve">总价合计列入价格汇总表 </w:t>
            </w:r>
            <w:r>
              <w:rPr>
                <w:rFonts w:hint="eastAsia" w:ascii="宋体" w:hAnsi="Times New Roman" w:eastAsia="宋体" w:cs="Times New Roman"/>
                <w:b/>
                <w:szCs w:val="20"/>
              </w:rPr>
              <w:t>9</w:t>
            </w:r>
            <w:r>
              <w:rPr>
                <w:rFonts w:ascii="宋体" w:hAnsi="Times New Roman" w:eastAsia="宋体" w:cs="Times New Roman"/>
                <w:b/>
                <w:szCs w:val="20"/>
              </w:rPr>
              <w:t>-</w:t>
            </w:r>
            <w:r>
              <w:rPr>
                <w:rFonts w:hint="eastAsia" w:ascii="宋体" w:hAnsi="Times New Roman" w:eastAsia="宋体" w:cs="Times New Roman"/>
                <w:b/>
                <w:szCs w:val="20"/>
              </w:rPr>
              <w:t>5</w:t>
            </w:r>
          </w:p>
        </w:tc>
        <w:tc>
          <w:tcPr>
            <w:tcW w:w="4760" w:type="dxa"/>
            <w:gridSpan w:val="2"/>
            <w:vAlign w:val="center"/>
          </w:tcPr>
          <w:p w14:paraId="7F2DF8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总价合计</w:t>
            </w:r>
            <w:r>
              <w:rPr>
                <w:rFonts w:hint="eastAsia" w:ascii="宋体" w:hAnsi="Times New Roman" w:eastAsia="宋体" w:cs="Times New Roman"/>
                <w:b/>
                <w:szCs w:val="20"/>
              </w:rPr>
              <w:t>（不含税）</w:t>
            </w:r>
            <w:r>
              <w:rPr>
                <w:rFonts w:ascii="宋体" w:hAnsi="Times New Roman" w:eastAsia="宋体" w:cs="Times New Roman"/>
                <w:b/>
                <w:szCs w:val="20"/>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7" w:type="default"/>
          <w:pgSz w:w="16841" w:h="11907"/>
          <w:pgMar w:top="400" w:right="1699" w:bottom="1184" w:left="1481" w:header="0" w:footer="1022" w:gutter="0"/>
          <w:cols w:space="720" w:num="1"/>
        </w:sectPr>
      </w:pPr>
    </w:p>
    <w:p w14:paraId="0D956127">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83F14B9">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227952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3EC14F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76C0A3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69FD3825">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23367C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5B8CA7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87DA7B1">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1BE57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2EAFE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6B1AC88D">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4797469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44113D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5358C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vAlign w:val="center"/>
          </w:tcPr>
          <w:p w14:paraId="1719C833">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vAlign w:val="center"/>
          </w:tcPr>
          <w:p w14:paraId="2376C2D2">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vAlign w:val="center"/>
          </w:tcPr>
          <w:p w14:paraId="64BE074F">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vAlign w:val="center"/>
          </w:tcPr>
          <w:p w14:paraId="3FA6DC44">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vAlign w:val="center"/>
          </w:tcPr>
          <w:p w14:paraId="43E7EFFF">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vAlign w:val="center"/>
          </w:tcPr>
          <w:p w14:paraId="4B3E7B6E">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2"/>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8" w:type="default"/>
          <w:pgSz w:w="16841" w:h="11907"/>
          <w:pgMar w:top="400" w:right="1699" w:bottom="1184" w:left="1481" w:header="0" w:footer="1022" w:gutter="0"/>
          <w:cols w:space="720" w:num="1"/>
        </w:sectPr>
      </w:pPr>
    </w:p>
    <w:p w14:paraId="400BB978">
      <w:pPr>
        <w:pStyle w:val="6"/>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3E1E50A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3540C7D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01E3CF7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5BE8AD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7EFD34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936FBA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621EEF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1C835D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7250A2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6DE05E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57AC5C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527CEC2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4A9077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298E1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32BDF9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736C60B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0D953A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C3C8D3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BE34F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0BF722A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4145A4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4B59B02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3D5BCC3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67A834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5AC6AB7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6D780A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43C6AE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00BB77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51B0AD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57B561E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5BBE43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59D3AB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3B2ABC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2D876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208BA6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1BE1A5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39824B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B80A22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1A1BE1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247BC02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2D347C9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148630C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688F8D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5744ED1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3C33F4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2BCBDFA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717AC4A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5C43FB4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6"/>
                <w:szCs w:val="21"/>
              </w:rPr>
            </w:pPr>
          </w:p>
        </w:tc>
        <w:tc>
          <w:tcPr>
            <w:tcW w:w="4867" w:type="dxa"/>
            <w:gridSpan w:val="3"/>
          </w:tcPr>
          <w:p w14:paraId="4448787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9" w:type="default"/>
          <w:pgSz w:w="16841" w:h="11907"/>
          <w:pgMar w:top="400" w:right="1500" w:bottom="1184" w:left="1480" w:header="0" w:footer="1022" w:gutter="0"/>
          <w:cols w:space="720" w:num="1"/>
        </w:sectPr>
      </w:pPr>
    </w:p>
    <w:p w14:paraId="02C8768E">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1</w:t>
            </w:r>
          </w:p>
        </w:tc>
        <w:tc>
          <w:tcPr>
            <w:tcW w:w="5765" w:type="dxa"/>
          </w:tcPr>
          <w:p w14:paraId="249FDC8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021E35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2</w:t>
            </w:r>
          </w:p>
        </w:tc>
        <w:tc>
          <w:tcPr>
            <w:tcW w:w="5765" w:type="dxa"/>
          </w:tcPr>
          <w:p w14:paraId="50D964B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46B95D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p w14:paraId="5E7A162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3</w:t>
            </w:r>
          </w:p>
        </w:tc>
        <w:tc>
          <w:tcPr>
            <w:tcW w:w="5765" w:type="dxa"/>
          </w:tcPr>
          <w:p w14:paraId="4E96A2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2910B1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4</w:t>
            </w:r>
          </w:p>
        </w:tc>
        <w:tc>
          <w:tcPr>
            <w:tcW w:w="5765" w:type="dxa"/>
          </w:tcPr>
          <w:p w14:paraId="4F90465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3C0F5E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2"/>
      </w:pPr>
    </w:p>
    <w:p w14:paraId="265BBE63">
      <w:pPr>
        <w:pStyle w:val="22"/>
      </w:pPr>
    </w:p>
    <w:p w14:paraId="328A4140">
      <w:pPr>
        <w:spacing w:before="140" w:line="220" w:lineRule="auto"/>
        <w:ind w:left="2" w:firstLine="464" w:firstLineChars="200"/>
        <w:rPr>
          <w:rFonts w:hint="eastAsia" w:ascii="宋体" w:hAnsi="宋体" w:eastAsia="宋体" w:cs="宋体"/>
          <w:spacing w:val="-2"/>
          <w:szCs w:val="21"/>
        </w:rPr>
        <w:sectPr>
          <w:footerReference r:id="rId30"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91"/>
        <w:gridCol w:w="2947"/>
        <w:gridCol w:w="2958"/>
        <w:gridCol w:w="1686"/>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0AB63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3E090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4D7BAC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响应规格</w:t>
            </w:r>
          </w:p>
        </w:tc>
        <w:tc>
          <w:tcPr>
            <w:tcW w:w="908" w:type="pct"/>
            <w:tcBorders>
              <w:top w:val="single" w:color="auto" w:sz="4" w:space="0"/>
              <w:left w:val="single" w:color="auto" w:sz="4" w:space="0"/>
              <w:bottom w:val="single" w:color="auto" w:sz="4" w:space="0"/>
            </w:tcBorders>
            <w:vAlign w:val="center"/>
          </w:tcPr>
          <w:p w14:paraId="36F66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是否偏离</w:t>
            </w:r>
          </w:p>
          <w:p w14:paraId="704A1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60A776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质保期</w:t>
            </w:r>
          </w:p>
        </w:tc>
        <w:tc>
          <w:tcPr>
            <w:tcW w:w="1587" w:type="pct"/>
            <w:tcBorders>
              <w:top w:val="single" w:color="auto" w:sz="4" w:space="0"/>
              <w:left w:val="single" w:color="auto" w:sz="4" w:space="0"/>
              <w:bottom w:val="single" w:color="auto" w:sz="4" w:space="0"/>
              <w:right w:val="single" w:color="auto" w:sz="4" w:space="0"/>
            </w:tcBorders>
            <w:vAlign w:val="center"/>
          </w:tcPr>
          <w:p w14:paraId="16F4D9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5B4628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04694E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0EF0A6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交货时间及地点</w:t>
            </w:r>
          </w:p>
        </w:tc>
        <w:tc>
          <w:tcPr>
            <w:tcW w:w="1587" w:type="pct"/>
            <w:tcBorders>
              <w:top w:val="single" w:color="auto" w:sz="4" w:space="0"/>
              <w:left w:val="single" w:color="auto" w:sz="4" w:space="0"/>
              <w:bottom w:val="single" w:color="auto" w:sz="4" w:space="0"/>
              <w:right w:val="single" w:color="auto" w:sz="4" w:space="0"/>
            </w:tcBorders>
            <w:vAlign w:val="center"/>
          </w:tcPr>
          <w:p w14:paraId="75F537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3AB2B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43A71A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44712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付款条件</w:t>
            </w:r>
          </w:p>
        </w:tc>
        <w:tc>
          <w:tcPr>
            <w:tcW w:w="1587" w:type="pct"/>
            <w:tcBorders>
              <w:top w:val="single" w:color="auto" w:sz="4" w:space="0"/>
              <w:left w:val="single" w:color="auto" w:sz="4" w:space="0"/>
              <w:bottom w:val="single" w:color="auto" w:sz="4" w:space="0"/>
              <w:right w:val="single" w:color="auto" w:sz="4" w:space="0"/>
            </w:tcBorders>
          </w:tcPr>
          <w:p w14:paraId="59F204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tcPr>
          <w:p w14:paraId="7F2EF9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0A2F9B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3F2E2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售后技术服务要求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4BCA41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783467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7DE10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11AB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509CC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F7414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3555D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006AB2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EA3D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7FE02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C8EF2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231462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B5EC1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8F32A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15B02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505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753F32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53C1F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75F098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383DC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1587" w:type="pct"/>
            <w:tcBorders>
              <w:top w:val="single" w:color="auto" w:sz="4" w:space="0"/>
              <w:left w:val="single" w:color="auto" w:sz="4" w:space="0"/>
              <w:bottom w:val="single" w:color="auto" w:sz="4" w:space="0"/>
              <w:right w:val="single" w:color="auto" w:sz="4" w:space="0"/>
            </w:tcBorders>
            <w:vAlign w:val="center"/>
          </w:tcPr>
          <w:p w14:paraId="760B42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c>
          <w:tcPr>
            <w:tcW w:w="1593" w:type="pct"/>
            <w:tcBorders>
              <w:top w:val="single" w:color="auto" w:sz="4" w:space="0"/>
              <w:left w:val="single" w:color="auto" w:sz="4" w:space="0"/>
              <w:bottom w:val="single" w:color="auto" w:sz="4" w:space="0"/>
              <w:right w:val="single" w:color="auto" w:sz="4" w:space="0"/>
            </w:tcBorders>
            <w:vAlign w:val="center"/>
          </w:tcPr>
          <w:p w14:paraId="62245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c>
          <w:tcPr>
            <w:tcW w:w="908" w:type="pct"/>
            <w:tcBorders>
              <w:top w:val="single" w:color="auto" w:sz="4" w:space="0"/>
              <w:left w:val="single" w:color="auto" w:sz="4" w:space="0"/>
              <w:bottom w:val="single" w:color="auto" w:sz="4" w:space="0"/>
            </w:tcBorders>
            <w:vAlign w:val="center"/>
          </w:tcPr>
          <w:p w14:paraId="38FF0C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31"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2"/>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2"/>
      </w:pPr>
    </w:p>
    <w:p w14:paraId="3A999A68">
      <w:pPr>
        <w:jc w:val="right"/>
        <w:rPr>
          <w:rFonts w:hint="eastAsia" w:asciiTheme="minorEastAsia" w:hAnsiTheme="minorEastAsia" w:cstheme="minorEastAsia"/>
          <w:sz w:val="20"/>
          <w:szCs w:val="20"/>
        </w:rPr>
      </w:pPr>
    </w:p>
    <w:p w14:paraId="4C1C271B">
      <w:pPr>
        <w:pStyle w:val="29"/>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9"/>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9"/>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9"/>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01EE94AF">
      <w:pPr>
        <w:ind w:left="0" w:leftChars="0" w:firstLine="0" w:firstLineChars="0"/>
        <w:rPr>
          <w:rFonts w:hint="eastAsia" w:asciiTheme="minorEastAsia" w:hAnsiTheme="minorEastAsia" w:cstheme="minorEastAsia"/>
          <w:sz w:val="20"/>
          <w:szCs w:val="20"/>
        </w:rPr>
      </w:pPr>
    </w:p>
    <w:p w14:paraId="542D40D0">
      <w:pPr>
        <w:pStyle w:val="29"/>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1110CEF9">
      <w:pPr>
        <w:outlineLvl w:val="2"/>
        <w:rPr>
          <w:rFonts w:hint="eastAsia" w:ascii="Times New Roman" w:hAnsi="Times New Roman" w:eastAsia="宋体" w:cs="Times New Roman"/>
          <w:b/>
          <w:bCs/>
          <w:color w:val="000000"/>
          <w:sz w:val="24"/>
          <w:szCs w:val="24"/>
          <w:highlight w:val="yellow"/>
        </w:rPr>
      </w:pPr>
      <w:r>
        <w:rPr>
          <w:rFonts w:hint="eastAsia" w:ascii="Times New Roman" w:hAnsi="Times New Roman" w:eastAsia="宋体" w:cs="Times New Roman"/>
          <w:b/>
          <w:bCs/>
          <w:color w:val="000000"/>
          <w:sz w:val="24"/>
          <w:szCs w:val="24"/>
          <w:highlight w:val="yellow"/>
        </w:rPr>
        <w:t>附件14技术标评分标准</w:t>
      </w:r>
    </w:p>
    <w:tbl>
      <w:tblPr>
        <w:tblStyle w:val="41"/>
        <w:tblW w:w="50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579"/>
        <w:gridCol w:w="599"/>
        <w:gridCol w:w="457"/>
        <w:gridCol w:w="2381"/>
        <w:gridCol w:w="492"/>
        <w:gridCol w:w="4628"/>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520" w:hRule="atLeast"/>
          <w:jc w:val="center"/>
        </w:trPr>
        <w:tc>
          <w:tcPr>
            <w:tcW w:w="317"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28"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0"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3"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69"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30"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543" w:hRule="atLeast"/>
          <w:jc w:val="center"/>
        </w:trPr>
        <w:tc>
          <w:tcPr>
            <w:tcW w:w="317"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28"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0"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3"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69"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 一般得2分(时间以签订日期为准)。投标人在2022年1月1日以来在中国与本标同类规格产品的业绩，以合同复印件加盖公章为准(须有客户联系方式及联系人以供招标人核实确认)。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0"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3"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69"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053" w:hRule="atLeast"/>
          <w:jc w:val="center"/>
        </w:trPr>
        <w:tc>
          <w:tcPr>
            <w:tcW w:w="317"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250"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3"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69"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30"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0"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3"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69"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530"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以及就该项目难点回答评标专家现场提问，打分0-8分。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287" w:hRule="atLeast"/>
          <w:jc w:val="center"/>
        </w:trPr>
        <w:tc>
          <w:tcPr>
            <w:tcW w:w="317"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0"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3"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69"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2530"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12分，较大偏离每一项扣4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0"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3"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69"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28"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0"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3"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69"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28"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0"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3"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69"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287" w:hRule="atLeast"/>
          <w:jc w:val="center"/>
        </w:trPr>
        <w:tc>
          <w:tcPr>
            <w:tcW w:w="317"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682"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545" w:hRule="atLeast"/>
          <w:jc w:val="center"/>
        </w:trPr>
        <w:tc>
          <w:tcPr>
            <w:tcW w:w="317"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682"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7ED1CC46">
      <w:pPr>
        <w:keepNext w:val="0"/>
        <w:keepLines w:val="0"/>
        <w:widowControl/>
        <w:suppressLineNumbers w:val="0"/>
        <w:ind w:left="0" w:leftChars="0" w:firstLine="0" w:firstLineChars="0"/>
        <w:jc w:val="left"/>
      </w:pPr>
      <w:r>
        <w:rPr>
          <w:rFonts w:hint="eastAsia" w:ascii="宋体" w:hAnsi="宋体" w:eastAsia="宋体" w:cs="宋体"/>
          <w:sz w:val="24"/>
          <w:szCs w:val="24"/>
          <w:lang w:val="en-US" w:eastAsia="zh-CN"/>
        </w:rPr>
        <w:t>注：</w:t>
      </w:r>
      <w:r>
        <w:rPr>
          <w:rFonts w:ascii="宋体" w:hAnsi="宋体" w:eastAsia="宋体" w:cs="宋体"/>
          <w:kern w:val="0"/>
          <w:sz w:val="24"/>
          <w:szCs w:val="24"/>
          <w:lang w:val="en-US" w:eastAsia="zh-CN" w:bidi="ar"/>
        </w:rPr>
        <w:t>投标人技术标的最终得分为所有评委打分汇总后的算术平均值。技术标根据评分办法进行打分，技术标评标小组推荐至少3家技术得分80分（含）以上的投标人入围，技术入围投标人不足三家时，本次按废标处理，招标人有权根据招标采购管理流程重新组织招标。评标过程中必须确保推荐的入围候选中标人，在功能、质量、先进性、业绩等方面均符合招标标准要求。</w:t>
      </w:r>
    </w:p>
    <w:p w14:paraId="72F729E7">
      <w:pPr>
        <w:keepNext w:val="0"/>
        <w:keepLines w:val="0"/>
        <w:widowControl/>
        <w:suppressLineNumbers w:val="0"/>
        <w:jc w:val="left"/>
      </w:pPr>
      <w:r>
        <w:rPr>
          <w:rFonts w:ascii="宋体" w:hAnsi="宋体" w:eastAsia="宋体" w:cs="宋体"/>
          <w:kern w:val="0"/>
          <w:sz w:val="24"/>
          <w:szCs w:val="24"/>
          <w:lang w:val="en-US" w:eastAsia="zh-CN" w:bidi="ar"/>
        </w:rPr>
        <w:t>评标方法</w:t>
      </w:r>
    </w:p>
    <w:p w14:paraId="5958551A">
      <w:pPr>
        <w:keepNext w:val="0"/>
        <w:keepLines w:val="0"/>
        <w:widowControl/>
        <w:suppressLineNumbers w:val="0"/>
        <w:jc w:val="left"/>
      </w:pPr>
      <w:r>
        <w:rPr>
          <w:rFonts w:ascii="宋体" w:hAnsi="宋体" w:eastAsia="宋体" w:cs="宋体"/>
          <w:kern w:val="0"/>
          <w:sz w:val="24"/>
          <w:szCs w:val="24"/>
          <w:lang w:val="en-US" w:eastAsia="zh-CN" w:bidi="ar"/>
        </w:rPr>
        <w:t>a、综合得分=技术分×40%+商务标得分×60%</w:t>
      </w:r>
    </w:p>
    <w:p w14:paraId="01205715">
      <w:pPr>
        <w:keepNext w:val="0"/>
        <w:keepLines w:val="0"/>
        <w:widowControl/>
        <w:suppressLineNumbers w:val="0"/>
        <w:jc w:val="left"/>
      </w:pPr>
      <w:r>
        <w:rPr>
          <w:rFonts w:ascii="宋体" w:hAnsi="宋体" w:eastAsia="宋体" w:cs="宋体"/>
          <w:kern w:val="0"/>
          <w:sz w:val="24"/>
          <w:szCs w:val="24"/>
          <w:lang w:val="en-US" w:eastAsia="zh-CN" w:bidi="ar"/>
        </w:rPr>
        <w:t>b、若评审出现总分并列时，比较产品技术与服务承诺部分综合得分，此分项得分高者排序在前；若产品技术与服务承诺综合得分仍相同，则由全体评委成员无记名投票，得票高者排序在前。</w:t>
      </w:r>
    </w:p>
    <w:p w14:paraId="297DBFA3">
      <w:pPr>
        <w:keepNext w:val="0"/>
        <w:keepLines w:val="0"/>
        <w:widowControl/>
        <w:suppressLineNumbers w:val="0"/>
        <w:jc w:val="left"/>
      </w:pPr>
      <w:r>
        <w:rPr>
          <w:rFonts w:ascii="宋体" w:hAnsi="宋体" w:eastAsia="宋体" w:cs="宋体"/>
          <w:kern w:val="0"/>
          <w:sz w:val="24"/>
          <w:szCs w:val="24"/>
          <w:lang w:val="en-US" w:eastAsia="zh-CN" w:bidi="ar"/>
        </w:rPr>
        <w:t>b、评委打分超过得分界限或未按本方法赋分时，该评委的打分按废票处理。</w:t>
      </w:r>
    </w:p>
    <w:p w14:paraId="1D52B5F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ascii="宋体" w:hAnsi="宋体" w:eastAsia="宋体" w:cs="宋体"/>
          <w:sz w:val="24"/>
          <w:szCs w:val="24"/>
        </w:rPr>
      </w:pPr>
    </w:p>
    <w:p w14:paraId="54FC2E07">
      <w:pPr>
        <w:outlineLvl w:val="2"/>
        <w:rPr>
          <w:rFonts w:hint="eastAsia" w:ascii="Times New Roman" w:hAnsi="Times New Roman" w:eastAsia="宋体" w:cs="Times New Roman"/>
          <w:b/>
          <w:bCs/>
          <w:color w:val="000000"/>
          <w:sz w:val="24"/>
          <w:szCs w:val="24"/>
        </w:rPr>
      </w:pPr>
    </w:p>
    <w:p w14:paraId="281C6ED6">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2"/>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42"/>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43"/>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4"/>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5"/>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2"/>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6"/>
                    <a:stretch>
                      <a:fillRect/>
                    </a:stretch>
                  </pic:blipFill>
                  <pic:spPr>
                    <a:xfrm>
                      <a:off x="0" y="0"/>
                      <a:ext cx="5760085" cy="2810122"/>
                    </a:xfrm>
                    <a:prstGeom prst="rect">
                      <a:avLst/>
                    </a:prstGeom>
                  </pic:spPr>
                </pic:pic>
              </a:graphicData>
            </a:graphic>
          </wp:inline>
        </w:drawing>
      </w:r>
    </w:p>
    <w:p w14:paraId="1CCAD19D">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7"/>
                    <a:stretch>
                      <a:fillRect/>
                    </a:stretch>
                  </pic:blipFill>
                  <pic:spPr>
                    <a:xfrm>
                      <a:off x="0" y="0"/>
                      <a:ext cx="5760085" cy="2820042"/>
                    </a:xfrm>
                    <a:prstGeom prst="rect">
                      <a:avLst/>
                    </a:prstGeom>
                  </pic:spPr>
                </pic:pic>
              </a:graphicData>
            </a:graphic>
          </wp:inline>
        </w:drawing>
      </w:r>
    </w:p>
    <w:p w14:paraId="77C330B7">
      <w:pPr>
        <w:pStyle w:val="22"/>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2"/>
        <w:rPr>
          <w:rFonts w:eastAsia="宋体"/>
        </w:rPr>
        <w:sectPr>
          <w:headerReference r:id="rId33" w:type="first"/>
          <w:footerReference r:id="rId35" w:type="first"/>
          <w:headerReference r:id="rId32" w:type="default"/>
          <w:footerReference r:id="rId34" w:type="default"/>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w:t>
      </w:r>
      <w:r>
        <w:rPr>
          <w:rFonts w:hint="eastAsia" w:hAnsi="宋体" w:eastAsia="宋体" w:cs="宋体"/>
          <w:b/>
          <w:bCs/>
          <w:color w:val="000000"/>
          <w:sz w:val="24"/>
          <w:szCs w:val="28"/>
          <w:highlight w:val="green"/>
        </w:rPr>
        <w:t>直管单位非生产招标→工艺设备→产线建设</w:t>
      </w:r>
      <w:r>
        <w:rPr>
          <w:rFonts w:hint="eastAsia" w:hAnsi="宋体" w:eastAsia="宋体" w:cs="宋体"/>
          <w:b/>
          <w:bCs/>
          <w:color w:val="000000"/>
          <w:sz w:val="24"/>
          <w:szCs w:val="28"/>
          <w:highlight w:val="yellow"/>
        </w:rPr>
        <w:t>”，业务主管部门为“工艺研究院”。</w:t>
      </w:r>
    </w:p>
    <w:p w14:paraId="54903180">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8"/>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2"/>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4"/>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4C149719">
      <w:pPr>
        <w:rPr>
          <w:rFonts w:hint="eastAsia" w:ascii="仿宋_GB2312" w:hAnsi="仿宋_GB2312" w:eastAsia="仿宋_GB2312" w:cs="仿宋_GB2312"/>
        </w:rPr>
      </w:pPr>
    </w:p>
    <w:sectPr>
      <w:headerReference r:id="rId37" w:type="first"/>
      <w:footerReference r:id="rId39" w:type="first"/>
      <w:headerReference r:id="rId36" w:type="default"/>
      <w:footerReference r:id="rId38" w:type="default"/>
      <w:pgSz w:w="11906" w:h="16838"/>
      <w:pgMar w:top="1588" w:right="1418" w:bottom="1134" w:left="1418"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altName w:val="方正舒体"/>
    <w:panose1 w:val="02000000000000000000"/>
    <w:charset w:val="86"/>
    <w:family w:val="auto"/>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7"/>
      <w:jc w:val="both"/>
      <w:rPr>
        <w:rFonts w:hint="eastAsia"/>
      </w:rPr>
    </w:pPr>
  </w:p>
  <w:p w14:paraId="66B7C82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lang w:val="en-US" w:eastAsia="zh-CN"/>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3D07">
    <w:pPr>
      <w:pStyle w:val="27"/>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04038">
    <w:pPr>
      <w:spacing w:line="182" w:lineRule="auto"/>
      <w:ind w:left="6866"/>
      <w:rPr>
        <w:rFonts w:hint="eastAsia" w:ascii="宋体" w:hAnsi="宋体" w:eastAsia="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120D3">
                          <w:pPr>
                            <w:pStyle w:val="27"/>
                            <w:rPr>
                              <w:rFonts w:hint="eastAsia"/>
                            </w:rPr>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455120D3">
                    <w:pPr>
                      <w:pStyle w:val="27"/>
                      <w:rPr>
                        <w:rFonts w:hint="eastAsia"/>
                      </w:rPr>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7"/>
      <w:jc w:val="center"/>
      <w:rPr>
        <w:rFonts w:hint="eastAsia"/>
      </w:rP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5B84">
    <w:pPr>
      <w:pStyle w:val="28"/>
      <w:pBdr>
        <w:bottom w:val="single" w:color="auto" w:sz="4" w:space="9"/>
      </w:pBdr>
      <w:jc w:val="both"/>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电机装配及测试装置</w:t>
    </w:r>
    <w:r>
      <w:rPr>
        <w:rFonts w:hint="eastAsia" w:ascii="黑体" w:eastAsia="黑体"/>
        <w:sz w:val="24"/>
        <w:szCs w:val="24"/>
      </w:rPr>
      <w:t>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8"/>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8"/>
      <w:rPr>
        <w:rFonts w:hint="eastAsia"/>
      </w:rPr>
    </w:pPr>
  </w:p>
  <w:p w14:paraId="0902BB8F">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8"/>
      <w:rPr>
        <w:rFonts w:hint="eastAsia"/>
      </w:rPr>
    </w:pPr>
  </w:p>
  <w:p w14:paraId="577C2265">
    <w:pPr>
      <w:pStyle w:val="28"/>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F8927FB5"/>
    <w:multiLevelType w:val="singleLevel"/>
    <w:tmpl w:val="F8927FB5"/>
    <w:lvl w:ilvl="0" w:tentative="0">
      <w:start w:val="1"/>
      <w:numFmt w:val="bullet"/>
      <w:lvlText w:val=""/>
      <w:lvlJc w:val="left"/>
      <w:pPr>
        <w:ind w:left="420" w:hanging="420"/>
      </w:pPr>
      <w:rPr>
        <w:rFonts w:hint="default" w:ascii="Wingdings" w:hAnsi="Wingdings"/>
      </w:rPr>
    </w:lvl>
  </w:abstractNum>
  <w:abstractNum w:abstractNumId="2">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3">
    <w:nsid w:val="57C9E72F"/>
    <w:multiLevelType w:val="singleLevel"/>
    <w:tmpl w:val="57C9E72F"/>
    <w:lvl w:ilvl="0" w:tentative="0">
      <w:start w:val="1"/>
      <w:numFmt w:val="bullet"/>
      <w:lvlText w:val=""/>
      <w:lvlJc w:val="left"/>
      <w:pPr>
        <w:ind w:left="420" w:hanging="420"/>
      </w:pPr>
      <w:rPr>
        <w:rFonts w:hint="default" w:ascii="Wingdings" w:hAnsi="Wingdings"/>
      </w:rPr>
    </w:lvl>
  </w:abstractNum>
  <w:abstractNum w:abstractNumId="4">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E8C6948"/>
    <w:multiLevelType w:val="singleLevel"/>
    <w:tmpl w:val="6E8C6948"/>
    <w:lvl w:ilvl="0" w:tentative="0">
      <w:start w:val="1"/>
      <w:numFmt w:val="chineseCounting"/>
      <w:suff w:val="space"/>
      <w:lvlText w:val="第%1部分"/>
      <w:lvlJc w:val="left"/>
      <w:rPr>
        <w:rFonts w:hint="eastAsia"/>
      </w:rPr>
    </w:lvl>
  </w:abstractNum>
  <w:abstractNum w:abstractNumId="6">
    <w:nsid w:val="7A612DE2"/>
    <w:multiLevelType w:val="multilevel"/>
    <w:tmpl w:val="7A612DE2"/>
    <w:lvl w:ilvl="0" w:tentative="0">
      <w:start w:val="2"/>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4"/>
  </w:num>
  <w:num w:numId="2">
    <w:abstractNumId w:val="5"/>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80564"/>
    <w:rsid w:val="00A960B2"/>
    <w:rsid w:val="00AE6633"/>
    <w:rsid w:val="00AF54BF"/>
    <w:rsid w:val="00B01FF1"/>
    <w:rsid w:val="00B61F43"/>
    <w:rsid w:val="00B72516"/>
    <w:rsid w:val="00B92C97"/>
    <w:rsid w:val="00BA10B5"/>
    <w:rsid w:val="00BA3C70"/>
    <w:rsid w:val="00BB4E42"/>
    <w:rsid w:val="00BE3229"/>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AE5B4F"/>
    <w:rsid w:val="01C52478"/>
    <w:rsid w:val="01CE0603"/>
    <w:rsid w:val="01D1140E"/>
    <w:rsid w:val="02135051"/>
    <w:rsid w:val="02184C85"/>
    <w:rsid w:val="02451546"/>
    <w:rsid w:val="02524699"/>
    <w:rsid w:val="027408EE"/>
    <w:rsid w:val="02963F39"/>
    <w:rsid w:val="02B66382"/>
    <w:rsid w:val="02BA7274"/>
    <w:rsid w:val="03247961"/>
    <w:rsid w:val="03251978"/>
    <w:rsid w:val="0325718A"/>
    <w:rsid w:val="033A780B"/>
    <w:rsid w:val="03BB27D2"/>
    <w:rsid w:val="042921B6"/>
    <w:rsid w:val="043432A1"/>
    <w:rsid w:val="0442138C"/>
    <w:rsid w:val="04805ADA"/>
    <w:rsid w:val="04AD02B8"/>
    <w:rsid w:val="04B75DD4"/>
    <w:rsid w:val="04BE2E08"/>
    <w:rsid w:val="04DF17D4"/>
    <w:rsid w:val="04E80A94"/>
    <w:rsid w:val="052E47BF"/>
    <w:rsid w:val="053B565E"/>
    <w:rsid w:val="05412745"/>
    <w:rsid w:val="05491761"/>
    <w:rsid w:val="05575651"/>
    <w:rsid w:val="05A351AD"/>
    <w:rsid w:val="05C234EE"/>
    <w:rsid w:val="05D95918"/>
    <w:rsid w:val="05DD4F28"/>
    <w:rsid w:val="05F9748A"/>
    <w:rsid w:val="06032214"/>
    <w:rsid w:val="06160D68"/>
    <w:rsid w:val="06266F78"/>
    <w:rsid w:val="06382EFE"/>
    <w:rsid w:val="063E7B7A"/>
    <w:rsid w:val="0640283F"/>
    <w:rsid w:val="06582413"/>
    <w:rsid w:val="066D19F4"/>
    <w:rsid w:val="067E33B8"/>
    <w:rsid w:val="069C2954"/>
    <w:rsid w:val="06A01095"/>
    <w:rsid w:val="06C47DA6"/>
    <w:rsid w:val="06E82FCB"/>
    <w:rsid w:val="06F34B95"/>
    <w:rsid w:val="07571DAC"/>
    <w:rsid w:val="075D2305"/>
    <w:rsid w:val="078A0D17"/>
    <w:rsid w:val="07AB6BDF"/>
    <w:rsid w:val="07D25D65"/>
    <w:rsid w:val="08000695"/>
    <w:rsid w:val="08332819"/>
    <w:rsid w:val="083B072C"/>
    <w:rsid w:val="084C21AB"/>
    <w:rsid w:val="085B3B1D"/>
    <w:rsid w:val="086271E8"/>
    <w:rsid w:val="08741EBB"/>
    <w:rsid w:val="08C87A6E"/>
    <w:rsid w:val="08E64121"/>
    <w:rsid w:val="08EE6740"/>
    <w:rsid w:val="09044037"/>
    <w:rsid w:val="090D5816"/>
    <w:rsid w:val="0942017F"/>
    <w:rsid w:val="09810F23"/>
    <w:rsid w:val="09BA1FBB"/>
    <w:rsid w:val="09CB139F"/>
    <w:rsid w:val="09D54AFC"/>
    <w:rsid w:val="09F27F5D"/>
    <w:rsid w:val="09F7606D"/>
    <w:rsid w:val="0A0106F5"/>
    <w:rsid w:val="0A112AB7"/>
    <w:rsid w:val="0A2743E0"/>
    <w:rsid w:val="0A4E4DF4"/>
    <w:rsid w:val="0A5F69F4"/>
    <w:rsid w:val="0A5F7DC1"/>
    <w:rsid w:val="0A661334"/>
    <w:rsid w:val="0A6C1855"/>
    <w:rsid w:val="0A8B04DC"/>
    <w:rsid w:val="0A9B4CA6"/>
    <w:rsid w:val="0AA16DFC"/>
    <w:rsid w:val="0ABB0FF9"/>
    <w:rsid w:val="0AC402B6"/>
    <w:rsid w:val="0AD71BC7"/>
    <w:rsid w:val="0ADB7197"/>
    <w:rsid w:val="0AF420EB"/>
    <w:rsid w:val="0B162096"/>
    <w:rsid w:val="0B1910D3"/>
    <w:rsid w:val="0B2B2BF5"/>
    <w:rsid w:val="0B2F3908"/>
    <w:rsid w:val="0B3F6206"/>
    <w:rsid w:val="0B50371D"/>
    <w:rsid w:val="0B5346A2"/>
    <w:rsid w:val="0B7434CA"/>
    <w:rsid w:val="0B93548B"/>
    <w:rsid w:val="0BBD05C5"/>
    <w:rsid w:val="0BE12DB6"/>
    <w:rsid w:val="0C061FF2"/>
    <w:rsid w:val="0C0914C9"/>
    <w:rsid w:val="0C21374B"/>
    <w:rsid w:val="0C345AD1"/>
    <w:rsid w:val="0C405504"/>
    <w:rsid w:val="0C5806CC"/>
    <w:rsid w:val="0C626CE4"/>
    <w:rsid w:val="0C727688"/>
    <w:rsid w:val="0C91607A"/>
    <w:rsid w:val="0CAC3BFF"/>
    <w:rsid w:val="0CC05B7D"/>
    <w:rsid w:val="0CD10F40"/>
    <w:rsid w:val="0D0C2B7B"/>
    <w:rsid w:val="0D49693B"/>
    <w:rsid w:val="0D542EEE"/>
    <w:rsid w:val="0D9308F8"/>
    <w:rsid w:val="0DDA6377"/>
    <w:rsid w:val="0E1A1D85"/>
    <w:rsid w:val="0E1E25B6"/>
    <w:rsid w:val="0E2322C1"/>
    <w:rsid w:val="0E2350DD"/>
    <w:rsid w:val="0E4806A0"/>
    <w:rsid w:val="0E750568"/>
    <w:rsid w:val="0E870499"/>
    <w:rsid w:val="0EA24D8E"/>
    <w:rsid w:val="0EB25028"/>
    <w:rsid w:val="0EB81390"/>
    <w:rsid w:val="0EB93A32"/>
    <w:rsid w:val="0ECE5049"/>
    <w:rsid w:val="0EFB5FED"/>
    <w:rsid w:val="0F2D7A80"/>
    <w:rsid w:val="0F4277E5"/>
    <w:rsid w:val="0F4A548B"/>
    <w:rsid w:val="0F6273CA"/>
    <w:rsid w:val="0F7279A6"/>
    <w:rsid w:val="0F9500FF"/>
    <w:rsid w:val="0FA75561"/>
    <w:rsid w:val="0FB83603"/>
    <w:rsid w:val="0FCA77F1"/>
    <w:rsid w:val="0FCD5DCC"/>
    <w:rsid w:val="0FEF02B3"/>
    <w:rsid w:val="10270545"/>
    <w:rsid w:val="103819AC"/>
    <w:rsid w:val="104B7348"/>
    <w:rsid w:val="106E6B14"/>
    <w:rsid w:val="108A1D4B"/>
    <w:rsid w:val="10A10111"/>
    <w:rsid w:val="10AA31D3"/>
    <w:rsid w:val="10BE093E"/>
    <w:rsid w:val="10EC27C5"/>
    <w:rsid w:val="110F6D60"/>
    <w:rsid w:val="111B0FE9"/>
    <w:rsid w:val="11274EE5"/>
    <w:rsid w:val="115F67A8"/>
    <w:rsid w:val="1168209E"/>
    <w:rsid w:val="119A7465"/>
    <w:rsid w:val="11C07DA5"/>
    <w:rsid w:val="123B6FD5"/>
    <w:rsid w:val="12413D84"/>
    <w:rsid w:val="12491386"/>
    <w:rsid w:val="127B2E60"/>
    <w:rsid w:val="128F0BE6"/>
    <w:rsid w:val="12B409FA"/>
    <w:rsid w:val="12DF667C"/>
    <w:rsid w:val="12E201DF"/>
    <w:rsid w:val="12E362FB"/>
    <w:rsid w:val="12E55336"/>
    <w:rsid w:val="12E60579"/>
    <w:rsid w:val="130A724C"/>
    <w:rsid w:val="130B4CCD"/>
    <w:rsid w:val="13174782"/>
    <w:rsid w:val="13371015"/>
    <w:rsid w:val="1356156E"/>
    <w:rsid w:val="13695B36"/>
    <w:rsid w:val="136C088B"/>
    <w:rsid w:val="1372609F"/>
    <w:rsid w:val="13813990"/>
    <w:rsid w:val="13920429"/>
    <w:rsid w:val="13A82806"/>
    <w:rsid w:val="13CC3B21"/>
    <w:rsid w:val="14092DB2"/>
    <w:rsid w:val="143E3DC5"/>
    <w:rsid w:val="145A6A37"/>
    <w:rsid w:val="1467440F"/>
    <w:rsid w:val="14D7277E"/>
    <w:rsid w:val="14E21050"/>
    <w:rsid w:val="14F5646A"/>
    <w:rsid w:val="14F73019"/>
    <w:rsid w:val="15044722"/>
    <w:rsid w:val="15080C95"/>
    <w:rsid w:val="152B7F51"/>
    <w:rsid w:val="153E45AB"/>
    <w:rsid w:val="153E5042"/>
    <w:rsid w:val="15433A9B"/>
    <w:rsid w:val="158C7EE5"/>
    <w:rsid w:val="15AD1F11"/>
    <w:rsid w:val="15BB0D33"/>
    <w:rsid w:val="15D13671"/>
    <w:rsid w:val="15F81DA1"/>
    <w:rsid w:val="15FC2F04"/>
    <w:rsid w:val="16181FAC"/>
    <w:rsid w:val="165B00BA"/>
    <w:rsid w:val="168756A0"/>
    <w:rsid w:val="1697741D"/>
    <w:rsid w:val="16A45A46"/>
    <w:rsid w:val="16B24402"/>
    <w:rsid w:val="16E22D25"/>
    <w:rsid w:val="16F5303A"/>
    <w:rsid w:val="16F94849"/>
    <w:rsid w:val="17045E51"/>
    <w:rsid w:val="172011D4"/>
    <w:rsid w:val="17252C3B"/>
    <w:rsid w:val="173D3649"/>
    <w:rsid w:val="173F0A2E"/>
    <w:rsid w:val="175A07E0"/>
    <w:rsid w:val="17770BC2"/>
    <w:rsid w:val="17860E2F"/>
    <w:rsid w:val="17A119AA"/>
    <w:rsid w:val="17AF1095"/>
    <w:rsid w:val="1813218C"/>
    <w:rsid w:val="181E57CF"/>
    <w:rsid w:val="18454A08"/>
    <w:rsid w:val="18586F2B"/>
    <w:rsid w:val="18656713"/>
    <w:rsid w:val="188C65D3"/>
    <w:rsid w:val="18A70482"/>
    <w:rsid w:val="18CA3EB9"/>
    <w:rsid w:val="18E815ED"/>
    <w:rsid w:val="192F3CC4"/>
    <w:rsid w:val="1935690C"/>
    <w:rsid w:val="19A766B9"/>
    <w:rsid w:val="19B423DE"/>
    <w:rsid w:val="19BE4F9F"/>
    <w:rsid w:val="19C85C15"/>
    <w:rsid w:val="19CE76BA"/>
    <w:rsid w:val="19F26070"/>
    <w:rsid w:val="19F97C8B"/>
    <w:rsid w:val="1A117A54"/>
    <w:rsid w:val="1A1523CE"/>
    <w:rsid w:val="1A21343D"/>
    <w:rsid w:val="1A3D0DB4"/>
    <w:rsid w:val="1A6513D4"/>
    <w:rsid w:val="1A6A129C"/>
    <w:rsid w:val="1A703458"/>
    <w:rsid w:val="1AA37A2C"/>
    <w:rsid w:val="1AA730BD"/>
    <w:rsid w:val="1AB0786C"/>
    <w:rsid w:val="1AD20CC7"/>
    <w:rsid w:val="1ADF5B23"/>
    <w:rsid w:val="1AE3343E"/>
    <w:rsid w:val="1B162396"/>
    <w:rsid w:val="1B257AD4"/>
    <w:rsid w:val="1B294C9D"/>
    <w:rsid w:val="1B333D5D"/>
    <w:rsid w:val="1B4667CC"/>
    <w:rsid w:val="1B4C6157"/>
    <w:rsid w:val="1B515E62"/>
    <w:rsid w:val="1B587618"/>
    <w:rsid w:val="1B5944E3"/>
    <w:rsid w:val="1B5F19C7"/>
    <w:rsid w:val="1B5F1C25"/>
    <w:rsid w:val="1BAB0ADF"/>
    <w:rsid w:val="1BEF4851"/>
    <w:rsid w:val="1C183DA8"/>
    <w:rsid w:val="1C1C709B"/>
    <w:rsid w:val="1C4806F1"/>
    <w:rsid w:val="1C690B86"/>
    <w:rsid w:val="1C9F6814"/>
    <w:rsid w:val="1CAB69CA"/>
    <w:rsid w:val="1CB369A2"/>
    <w:rsid w:val="1CB731AA"/>
    <w:rsid w:val="1CD65C5D"/>
    <w:rsid w:val="1CDE0462"/>
    <w:rsid w:val="1D1B2A71"/>
    <w:rsid w:val="1D4E6711"/>
    <w:rsid w:val="1D547061"/>
    <w:rsid w:val="1D5C514E"/>
    <w:rsid w:val="1D5F7331"/>
    <w:rsid w:val="1D803B43"/>
    <w:rsid w:val="1D85395E"/>
    <w:rsid w:val="1D865D14"/>
    <w:rsid w:val="1D8705EC"/>
    <w:rsid w:val="1DC823F7"/>
    <w:rsid w:val="1DED1842"/>
    <w:rsid w:val="1E001284"/>
    <w:rsid w:val="1E20535F"/>
    <w:rsid w:val="1E43150B"/>
    <w:rsid w:val="1E575188"/>
    <w:rsid w:val="1E8C2E63"/>
    <w:rsid w:val="1E9E304B"/>
    <w:rsid w:val="1EA93E80"/>
    <w:rsid w:val="1ED33FB6"/>
    <w:rsid w:val="1EE81332"/>
    <w:rsid w:val="1EED2D98"/>
    <w:rsid w:val="1F32415A"/>
    <w:rsid w:val="1F3A560A"/>
    <w:rsid w:val="1F466CDC"/>
    <w:rsid w:val="1F5A4199"/>
    <w:rsid w:val="1F7E2174"/>
    <w:rsid w:val="1F8964CB"/>
    <w:rsid w:val="1FBC5EF2"/>
    <w:rsid w:val="1FC32513"/>
    <w:rsid w:val="1FE258CB"/>
    <w:rsid w:val="200D253F"/>
    <w:rsid w:val="20107567"/>
    <w:rsid w:val="201E3957"/>
    <w:rsid w:val="202A27D1"/>
    <w:rsid w:val="20631369"/>
    <w:rsid w:val="208717DB"/>
    <w:rsid w:val="20AB56C6"/>
    <w:rsid w:val="20AF0CAD"/>
    <w:rsid w:val="20D52D39"/>
    <w:rsid w:val="20F2001C"/>
    <w:rsid w:val="212C13E3"/>
    <w:rsid w:val="21545FA4"/>
    <w:rsid w:val="2176507C"/>
    <w:rsid w:val="219E32F8"/>
    <w:rsid w:val="21BA10C4"/>
    <w:rsid w:val="21BE35AF"/>
    <w:rsid w:val="21C11174"/>
    <w:rsid w:val="21E93AF0"/>
    <w:rsid w:val="22244B28"/>
    <w:rsid w:val="22467FD4"/>
    <w:rsid w:val="22784511"/>
    <w:rsid w:val="229451FD"/>
    <w:rsid w:val="22986197"/>
    <w:rsid w:val="22A12DB6"/>
    <w:rsid w:val="22AA3280"/>
    <w:rsid w:val="22C97F89"/>
    <w:rsid w:val="2305495A"/>
    <w:rsid w:val="23195423"/>
    <w:rsid w:val="23252EAE"/>
    <w:rsid w:val="23400B66"/>
    <w:rsid w:val="23510E00"/>
    <w:rsid w:val="235176F4"/>
    <w:rsid w:val="236356D1"/>
    <w:rsid w:val="23A91C83"/>
    <w:rsid w:val="23C94380"/>
    <w:rsid w:val="23C962E8"/>
    <w:rsid w:val="23F628B3"/>
    <w:rsid w:val="241779D8"/>
    <w:rsid w:val="241C63FF"/>
    <w:rsid w:val="241F0332"/>
    <w:rsid w:val="24373239"/>
    <w:rsid w:val="243954FA"/>
    <w:rsid w:val="244E64C3"/>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AE12D9"/>
    <w:rsid w:val="25E036B2"/>
    <w:rsid w:val="25E9082A"/>
    <w:rsid w:val="25EA57D5"/>
    <w:rsid w:val="25F42473"/>
    <w:rsid w:val="25FF7AB9"/>
    <w:rsid w:val="262E3697"/>
    <w:rsid w:val="26701A1C"/>
    <w:rsid w:val="267A2E85"/>
    <w:rsid w:val="267E2DFB"/>
    <w:rsid w:val="267F0FB7"/>
    <w:rsid w:val="26AA1A7C"/>
    <w:rsid w:val="26AF2D79"/>
    <w:rsid w:val="26B34B91"/>
    <w:rsid w:val="26DD6B95"/>
    <w:rsid w:val="26F8717B"/>
    <w:rsid w:val="270701F0"/>
    <w:rsid w:val="270D0281"/>
    <w:rsid w:val="270D66E8"/>
    <w:rsid w:val="27514612"/>
    <w:rsid w:val="278B0DAB"/>
    <w:rsid w:val="279C6B0E"/>
    <w:rsid w:val="27A64735"/>
    <w:rsid w:val="27CC4DF2"/>
    <w:rsid w:val="27E22DFD"/>
    <w:rsid w:val="27E523B1"/>
    <w:rsid w:val="27E77285"/>
    <w:rsid w:val="281864F2"/>
    <w:rsid w:val="28287CEE"/>
    <w:rsid w:val="285C301A"/>
    <w:rsid w:val="286903EF"/>
    <w:rsid w:val="287F5DD3"/>
    <w:rsid w:val="288047CB"/>
    <w:rsid w:val="288240FF"/>
    <w:rsid w:val="289E62FA"/>
    <w:rsid w:val="28AB671E"/>
    <w:rsid w:val="28BA30C3"/>
    <w:rsid w:val="28D72A57"/>
    <w:rsid w:val="291E2CA6"/>
    <w:rsid w:val="29331862"/>
    <w:rsid w:val="29514925"/>
    <w:rsid w:val="298E421D"/>
    <w:rsid w:val="299E147F"/>
    <w:rsid w:val="29AF20F4"/>
    <w:rsid w:val="29B63C82"/>
    <w:rsid w:val="29C32A87"/>
    <w:rsid w:val="29CF070E"/>
    <w:rsid w:val="29CF26DC"/>
    <w:rsid w:val="2A1C5DA0"/>
    <w:rsid w:val="2A200D39"/>
    <w:rsid w:val="2A311938"/>
    <w:rsid w:val="2A507EFF"/>
    <w:rsid w:val="2A906CB5"/>
    <w:rsid w:val="2A9248E5"/>
    <w:rsid w:val="2A931BAD"/>
    <w:rsid w:val="2AAD5526"/>
    <w:rsid w:val="2ACB3B45"/>
    <w:rsid w:val="2ADC05A4"/>
    <w:rsid w:val="2B6F0D7F"/>
    <w:rsid w:val="2B797443"/>
    <w:rsid w:val="2B8716BD"/>
    <w:rsid w:val="2B8B76FF"/>
    <w:rsid w:val="2B906D86"/>
    <w:rsid w:val="2BAF763B"/>
    <w:rsid w:val="2BCC38A8"/>
    <w:rsid w:val="2BD5034F"/>
    <w:rsid w:val="2C0B6845"/>
    <w:rsid w:val="2C164021"/>
    <w:rsid w:val="2C4E3791"/>
    <w:rsid w:val="2C8A2821"/>
    <w:rsid w:val="2CC04EFA"/>
    <w:rsid w:val="2CF750C7"/>
    <w:rsid w:val="2D025012"/>
    <w:rsid w:val="2D120D4B"/>
    <w:rsid w:val="2D4178F0"/>
    <w:rsid w:val="2D6C5D01"/>
    <w:rsid w:val="2D9C5B61"/>
    <w:rsid w:val="2DA535EC"/>
    <w:rsid w:val="2DAE631A"/>
    <w:rsid w:val="2DD877E0"/>
    <w:rsid w:val="2DE33AEA"/>
    <w:rsid w:val="2DE616C9"/>
    <w:rsid w:val="2DE6471C"/>
    <w:rsid w:val="2DFC2451"/>
    <w:rsid w:val="2E060EEA"/>
    <w:rsid w:val="2E100FE3"/>
    <w:rsid w:val="2E110022"/>
    <w:rsid w:val="2E3422F8"/>
    <w:rsid w:val="2E392F37"/>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521E67"/>
    <w:rsid w:val="2F5C684F"/>
    <w:rsid w:val="2F7B3E4B"/>
    <w:rsid w:val="2FB67DA1"/>
    <w:rsid w:val="2FE45F3B"/>
    <w:rsid w:val="2FF40AC8"/>
    <w:rsid w:val="303A20E7"/>
    <w:rsid w:val="304C4B41"/>
    <w:rsid w:val="307776D1"/>
    <w:rsid w:val="30862574"/>
    <w:rsid w:val="30A77875"/>
    <w:rsid w:val="30B631E1"/>
    <w:rsid w:val="311933AA"/>
    <w:rsid w:val="315A1E1F"/>
    <w:rsid w:val="31611C9E"/>
    <w:rsid w:val="317550C0"/>
    <w:rsid w:val="317D15BB"/>
    <w:rsid w:val="31934D3E"/>
    <w:rsid w:val="31D07E6C"/>
    <w:rsid w:val="31D574D0"/>
    <w:rsid w:val="31DD1A92"/>
    <w:rsid w:val="31F67A05"/>
    <w:rsid w:val="323808A8"/>
    <w:rsid w:val="323F65DA"/>
    <w:rsid w:val="32412074"/>
    <w:rsid w:val="32422082"/>
    <w:rsid w:val="325B63D6"/>
    <w:rsid w:val="325E3EE7"/>
    <w:rsid w:val="32860F5E"/>
    <w:rsid w:val="32A0644D"/>
    <w:rsid w:val="32B77AC3"/>
    <w:rsid w:val="32D0705C"/>
    <w:rsid w:val="32DD7D02"/>
    <w:rsid w:val="32DE0199"/>
    <w:rsid w:val="3309244E"/>
    <w:rsid w:val="33334E8E"/>
    <w:rsid w:val="335B2774"/>
    <w:rsid w:val="3364565D"/>
    <w:rsid w:val="337E5276"/>
    <w:rsid w:val="33A4642E"/>
    <w:rsid w:val="33A877AB"/>
    <w:rsid w:val="33B02259"/>
    <w:rsid w:val="33C44FD3"/>
    <w:rsid w:val="33D37851"/>
    <w:rsid w:val="33D4039C"/>
    <w:rsid w:val="33D47E05"/>
    <w:rsid w:val="33F508A6"/>
    <w:rsid w:val="340017FF"/>
    <w:rsid w:val="3413677D"/>
    <w:rsid w:val="342B544B"/>
    <w:rsid w:val="342C7624"/>
    <w:rsid w:val="343839A4"/>
    <w:rsid w:val="343E2DC2"/>
    <w:rsid w:val="34586FDF"/>
    <w:rsid w:val="345E036E"/>
    <w:rsid w:val="349138EA"/>
    <w:rsid w:val="349D0BDD"/>
    <w:rsid w:val="34DE1E4F"/>
    <w:rsid w:val="34F07DB1"/>
    <w:rsid w:val="350420D4"/>
    <w:rsid w:val="351224A5"/>
    <w:rsid w:val="352B6E83"/>
    <w:rsid w:val="353046F2"/>
    <w:rsid w:val="354D2044"/>
    <w:rsid w:val="356157C6"/>
    <w:rsid w:val="35831650"/>
    <w:rsid w:val="358D07D1"/>
    <w:rsid w:val="35B0692A"/>
    <w:rsid w:val="35C94EBD"/>
    <w:rsid w:val="35D328DF"/>
    <w:rsid w:val="35D354B8"/>
    <w:rsid w:val="35D4025C"/>
    <w:rsid w:val="35D72186"/>
    <w:rsid w:val="35F516ED"/>
    <w:rsid w:val="35FC2392"/>
    <w:rsid w:val="36066C4F"/>
    <w:rsid w:val="36263487"/>
    <w:rsid w:val="362666BC"/>
    <w:rsid w:val="364517CF"/>
    <w:rsid w:val="364A7982"/>
    <w:rsid w:val="36513CE6"/>
    <w:rsid w:val="366478E6"/>
    <w:rsid w:val="366D14E9"/>
    <w:rsid w:val="368A6B11"/>
    <w:rsid w:val="36931098"/>
    <w:rsid w:val="36A77DAA"/>
    <w:rsid w:val="36B66E30"/>
    <w:rsid w:val="37085B1F"/>
    <w:rsid w:val="372E04CB"/>
    <w:rsid w:val="374440F3"/>
    <w:rsid w:val="3762046C"/>
    <w:rsid w:val="376A7E9C"/>
    <w:rsid w:val="376B5C1E"/>
    <w:rsid w:val="37742729"/>
    <w:rsid w:val="3790083E"/>
    <w:rsid w:val="37A92DDE"/>
    <w:rsid w:val="37C77814"/>
    <w:rsid w:val="37E52224"/>
    <w:rsid w:val="37F51174"/>
    <w:rsid w:val="382C7B34"/>
    <w:rsid w:val="38662298"/>
    <w:rsid w:val="38715CEA"/>
    <w:rsid w:val="388A3751"/>
    <w:rsid w:val="38CE513F"/>
    <w:rsid w:val="38D65199"/>
    <w:rsid w:val="38E070F2"/>
    <w:rsid w:val="39034314"/>
    <w:rsid w:val="390B0AC4"/>
    <w:rsid w:val="390D33AB"/>
    <w:rsid w:val="3916419B"/>
    <w:rsid w:val="391E6D06"/>
    <w:rsid w:val="39355B41"/>
    <w:rsid w:val="393A3C1D"/>
    <w:rsid w:val="3965541C"/>
    <w:rsid w:val="39673821"/>
    <w:rsid w:val="39825EE7"/>
    <w:rsid w:val="399C2315"/>
    <w:rsid w:val="39A3641C"/>
    <w:rsid w:val="39A93BA9"/>
    <w:rsid w:val="39BF24C9"/>
    <w:rsid w:val="39CE5179"/>
    <w:rsid w:val="39F47F9D"/>
    <w:rsid w:val="3A074847"/>
    <w:rsid w:val="3A3B3117"/>
    <w:rsid w:val="3AA10261"/>
    <w:rsid w:val="3AA90FE6"/>
    <w:rsid w:val="3AA9318F"/>
    <w:rsid w:val="3AAF547F"/>
    <w:rsid w:val="3AB62DA0"/>
    <w:rsid w:val="3AC61BD3"/>
    <w:rsid w:val="3AFF5495"/>
    <w:rsid w:val="3B051543"/>
    <w:rsid w:val="3B111E76"/>
    <w:rsid w:val="3B1726EF"/>
    <w:rsid w:val="3B4F7D1F"/>
    <w:rsid w:val="3B510C66"/>
    <w:rsid w:val="3B653103"/>
    <w:rsid w:val="3B7D3FD5"/>
    <w:rsid w:val="3B823DDF"/>
    <w:rsid w:val="3B8D4F0E"/>
    <w:rsid w:val="3BAB4D14"/>
    <w:rsid w:val="3BAC7AF6"/>
    <w:rsid w:val="3BB956C1"/>
    <w:rsid w:val="3BDA7D0C"/>
    <w:rsid w:val="3C01177E"/>
    <w:rsid w:val="3C084B3D"/>
    <w:rsid w:val="3C237ED3"/>
    <w:rsid w:val="3C241E9D"/>
    <w:rsid w:val="3C3C1178"/>
    <w:rsid w:val="3C91192E"/>
    <w:rsid w:val="3CAA596A"/>
    <w:rsid w:val="3CB1587B"/>
    <w:rsid w:val="3CB735F2"/>
    <w:rsid w:val="3CBE0C38"/>
    <w:rsid w:val="3CC372BE"/>
    <w:rsid w:val="3CED621B"/>
    <w:rsid w:val="3D0A123D"/>
    <w:rsid w:val="3D0C5F6A"/>
    <w:rsid w:val="3D186684"/>
    <w:rsid w:val="3D363C36"/>
    <w:rsid w:val="3D397557"/>
    <w:rsid w:val="3D4C7C96"/>
    <w:rsid w:val="3D61755A"/>
    <w:rsid w:val="3D635B43"/>
    <w:rsid w:val="3D8B2178"/>
    <w:rsid w:val="3D9364A0"/>
    <w:rsid w:val="3DB1150E"/>
    <w:rsid w:val="3DB34909"/>
    <w:rsid w:val="3DD115F5"/>
    <w:rsid w:val="3DE435F0"/>
    <w:rsid w:val="3DE5122C"/>
    <w:rsid w:val="3DF37E53"/>
    <w:rsid w:val="3E134150"/>
    <w:rsid w:val="3E1E6276"/>
    <w:rsid w:val="3E985F3F"/>
    <w:rsid w:val="3EB219E2"/>
    <w:rsid w:val="3ED26DE9"/>
    <w:rsid w:val="3ED51606"/>
    <w:rsid w:val="3EED17D0"/>
    <w:rsid w:val="3EF96F7D"/>
    <w:rsid w:val="3F0C0304"/>
    <w:rsid w:val="3F0F7A7F"/>
    <w:rsid w:val="3F2C09B1"/>
    <w:rsid w:val="3F5E56C6"/>
    <w:rsid w:val="3FDB6617"/>
    <w:rsid w:val="3FEC147E"/>
    <w:rsid w:val="40036A74"/>
    <w:rsid w:val="4003755E"/>
    <w:rsid w:val="400D1324"/>
    <w:rsid w:val="401B03DB"/>
    <w:rsid w:val="4024153A"/>
    <w:rsid w:val="402853D1"/>
    <w:rsid w:val="403703F1"/>
    <w:rsid w:val="40376375"/>
    <w:rsid w:val="404A563B"/>
    <w:rsid w:val="40815A60"/>
    <w:rsid w:val="408546CF"/>
    <w:rsid w:val="40A13D96"/>
    <w:rsid w:val="40C84E1D"/>
    <w:rsid w:val="40E55F7F"/>
    <w:rsid w:val="41064BEA"/>
    <w:rsid w:val="411B386E"/>
    <w:rsid w:val="412732B7"/>
    <w:rsid w:val="4127791F"/>
    <w:rsid w:val="41281794"/>
    <w:rsid w:val="413C1FDF"/>
    <w:rsid w:val="414D1B28"/>
    <w:rsid w:val="415512BB"/>
    <w:rsid w:val="415648A7"/>
    <w:rsid w:val="41806A69"/>
    <w:rsid w:val="4185761F"/>
    <w:rsid w:val="419B5B8A"/>
    <w:rsid w:val="41B0259C"/>
    <w:rsid w:val="41B3295A"/>
    <w:rsid w:val="41BC6F1C"/>
    <w:rsid w:val="41EA2E34"/>
    <w:rsid w:val="41EF2363"/>
    <w:rsid w:val="41F77860"/>
    <w:rsid w:val="42125648"/>
    <w:rsid w:val="421E4A73"/>
    <w:rsid w:val="42217CAC"/>
    <w:rsid w:val="424A4B98"/>
    <w:rsid w:val="42581D3A"/>
    <w:rsid w:val="4262787F"/>
    <w:rsid w:val="42643391"/>
    <w:rsid w:val="426E2C81"/>
    <w:rsid w:val="42903DE8"/>
    <w:rsid w:val="42C817D4"/>
    <w:rsid w:val="42D011BC"/>
    <w:rsid w:val="42FE0080"/>
    <w:rsid w:val="430F4676"/>
    <w:rsid w:val="43315D2E"/>
    <w:rsid w:val="434A644D"/>
    <w:rsid w:val="43824A1C"/>
    <w:rsid w:val="4390486D"/>
    <w:rsid w:val="4399333D"/>
    <w:rsid w:val="43B2241F"/>
    <w:rsid w:val="43C3013B"/>
    <w:rsid w:val="43CE64CC"/>
    <w:rsid w:val="43D110E1"/>
    <w:rsid w:val="43E873C9"/>
    <w:rsid w:val="44181DC4"/>
    <w:rsid w:val="44250817"/>
    <w:rsid w:val="4429652B"/>
    <w:rsid w:val="44905B1F"/>
    <w:rsid w:val="45007767"/>
    <w:rsid w:val="450734F3"/>
    <w:rsid w:val="4523357B"/>
    <w:rsid w:val="45316885"/>
    <w:rsid w:val="453B3049"/>
    <w:rsid w:val="453F0643"/>
    <w:rsid w:val="45682DFA"/>
    <w:rsid w:val="458C735B"/>
    <w:rsid w:val="459455AC"/>
    <w:rsid w:val="45A95EE9"/>
    <w:rsid w:val="45D35790"/>
    <w:rsid w:val="45DC2BBD"/>
    <w:rsid w:val="45FB0F21"/>
    <w:rsid w:val="460C59D7"/>
    <w:rsid w:val="4615106E"/>
    <w:rsid w:val="46167166"/>
    <w:rsid w:val="461A2194"/>
    <w:rsid w:val="4622247F"/>
    <w:rsid w:val="462E6C42"/>
    <w:rsid w:val="464473C4"/>
    <w:rsid w:val="465E515F"/>
    <w:rsid w:val="46901553"/>
    <w:rsid w:val="469B1BC5"/>
    <w:rsid w:val="469E62EA"/>
    <w:rsid w:val="46BE6485"/>
    <w:rsid w:val="46C1577B"/>
    <w:rsid w:val="46F450DE"/>
    <w:rsid w:val="46F91E7C"/>
    <w:rsid w:val="46FF21F6"/>
    <w:rsid w:val="47131BFB"/>
    <w:rsid w:val="47200EE3"/>
    <w:rsid w:val="47435AC2"/>
    <w:rsid w:val="47544B78"/>
    <w:rsid w:val="47587AF7"/>
    <w:rsid w:val="476E0E9F"/>
    <w:rsid w:val="47745A86"/>
    <w:rsid w:val="479010F6"/>
    <w:rsid w:val="47A52B16"/>
    <w:rsid w:val="47AC17F9"/>
    <w:rsid w:val="47B93F31"/>
    <w:rsid w:val="47C87B80"/>
    <w:rsid w:val="47DC5987"/>
    <w:rsid w:val="47E239AC"/>
    <w:rsid w:val="480F4B73"/>
    <w:rsid w:val="48580F04"/>
    <w:rsid w:val="48602ADC"/>
    <w:rsid w:val="486F6565"/>
    <w:rsid w:val="48886075"/>
    <w:rsid w:val="48CA3D62"/>
    <w:rsid w:val="48CD3476"/>
    <w:rsid w:val="48DB38E3"/>
    <w:rsid w:val="48F5140F"/>
    <w:rsid w:val="49001B5E"/>
    <w:rsid w:val="490552B7"/>
    <w:rsid w:val="49376DB0"/>
    <w:rsid w:val="4957740E"/>
    <w:rsid w:val="49804BB7"/>
    <w:rsid w:val="49826DCB"/>
    <w:rsid w:val="4984282A"/>
    <w:rsid w:val="499013E7"/>
    <w:rsid w:val="49952D5A"/>
    <w:rsid w:val="49B95283"/>
    <w:rsid w:val="49C8088A"/>
    <w:rsid w:val="49CB23A5"/>
    <w:rsid w:val="49F04811"/>
    <w:rsid w:val="49F0795B"/>
    <w:rsid w:val="4A301C93"/>
    <w:rsid w:val="4A3302AB"/>
    <w:rsid w:val="4A7F3A12"/>
    <w:rsid w:val="4AC85D49"/>
    <w:rsid w:val="4ACB4AB2"/>
    <w:rsid w:val="4ADC635C"/>
    <w:rsid w:val="4AE308A9"/>
    <w:rsid w:val="4B0E7DF8"/>
    <w:rsid w:val="4B0F7A89"/>
    <w:rsid w:val="4B187071"/>
    <w:rsid w:val="4B294DDA"/>
    <w:rsid w:val="4B3E6D0C"/>
    <w:rsid w:val="4B8F44A9"/>
    <w:rsid w:val="4B9A1456"/>
    <w:rsid w:val="4BA32C82"/>
    <w:rsid w:val="4BAD1567"/>
    <w:rsid w:val="4BBD4EE7"/>
    <w:rsid w:val="4BD73978"/>
    <w:rsid w:val="4BE70627"/>
    <w:rsid w:val="4C0A5AE1"/>
    <w:rsid w:val="4C130AB8"/>
    <w:rsid w:val="4C391ADB"/>
    <w:rsid w:val="4C5A284D"/>
    <w:rsid w:val="4C63431C"/>
    <w:rsid w:val="4C907F2F"/>
    <w:rsid w:val="4C975D73"/>
    <w:rsid w:val="4CB571EA"/>
    <w:rsid w:val="4CB96B43"/>
    <w:rsid w:val="4CBB4010"/>
    <w:rsid w:val="4CC75FCC"/>
    <w:rsid w:val="4CD63947"/>
    <w:rsid w:val="4CD9638C"/>
    <w:rsid w:val="4CF3344B"/>
    <w:rsid w:val="4CFC49F4"/>
    <w:rsid w:val="4D073D73"/>
    <w:rsid w:val="4D1E27BA"/>
    <w:rsid w:val="4D23574A"/>
    <w:rsid w:val="4D3B12BD"/>
    <w:rsid w:val="4D4C4DB0"/>
    <w:rsid w:val="4D6238ED"/>
    <w:rsid w:val="4D6B06B3"/>
    <w:rsid w:val="4D7322D5"/>
    <w:rsid w:val="4D865EF5"/>
    <w:rsid w:val="4DAF797F"/>
    <w:rsid w:val="4DD7034C"/>
    <w:rsid w:val="4DE312CB"/>
    <w:rsid w:val="4DF5318E"/>
    <w:rsid w:val="4E1F4862"/>
    <w:rsid w:val="4E2B0F4A"/>
    <w:rsid w:val="4E2E4393"/>
    <w:rsid w:val="4E34765B"/>
    <w:rsid w:val="4E535EF2"/>
    <w:rsid w:val="4E56234E"/>
    <w:rsid w:val="4E7F7C36"/>
    <w:rsid w:val="4EB270FD"/>
    <w:rsid w:val="4ECE472F"/>
    <w:rsid w:val="4EF11A75"/>
    <w:rsid w:val="4F035942"/>
    <w:rsid w:val="4F08773C"/>
    <w:rsid w:val="4F31409F"/>
    <w:rsid w:val="4F4437CC"/>
    <w:rsid w:val="4F543B82"/>
    <w:rsid w:val="4F5C0D3C"/>
    <w:rsid w:val="4F5E670E"/>
    <w:rsid w:val="4F830A4B"/>
    <w:rsid w:val="4F846A83"/>
    <w:rsid w:val="4F9F566B"/>
    <w:rsid w:val="4FE52410"/>
    <w:rsid w:val="50070E2C"/>
    <w:rsid w:val="500E01E6"/>
    <w:rsid w:val="502F619C"/>
    <w:rsid w:val="504B57F2"/>
    <w:rsid w:val="505C5D66"/>
    <w:rsid w:val="509A4341"/>
    <w:rsid w:val="50B72BFD"/>
    <w:rsid w:val="50C62BC7"/>
    <w:rsid w:val="50F72A66"/>
    <w:rsid w:val="510A39E4"/>
    <w:rsid w:val="5123368C"/>
    <w:rsid w:val="512B012E"/>
    <w:rsid w:val="5130747C"/>
    <w:rsid w:val="51527191"/>
    <w:rsid w:val="515C765A"/>
    <w:rsid w:val="516610D8"/>
    <w:rsid w:val="51752B27"/>
    <w:rsid w:val="51825244"/>
    <w:rsid w:val="51905BB3"/>
    <w:rsid w:val="51946FCB"/>
    <w:rsid w:val="519E7677"/>
    <w:rsid w:val="51A05024"/>
    <w:rsid w:val="51AC60FD"/>
    <w:rsid w:val="51DD796B"/>
    <w:rsid w:val="51DF373B"/>
    <w:rsid w:val="521066B1"/>
    <w:rsid w:val="524644C3"/>
    <w:rsid w:val="5266163F"/>
    <w:rsid w:val="527D59E1"/>
    <w:rsid w:val="52EF4CB5"/>
    <w:rsid w:val="52F959F0"/>
    <w:rsid w:val="52FF21DE"/>
    <w:rsid w:val="5302488E"/>
    <w:rsid w:val="53136173"/>
    <w:rsid w:val="53645473"/>
    <w:rsid w:val="539A4AC7"/>
    <w:rsid w:val="53BA2A8C"/>
    <w:rsid w:val="53D004E8"/>
    <w:rsid w:val="542631B6"/>
    <w:rsid w:val="544B7B6F"/>
    <w:rsid w:val="545F0C78"/>
    <w:rsid w:val="545F7ABE"/>
    <w:rsid w:val="54647343"/>
    <w:rsid w:val="54A61722"/>
    <w:rsid w:val="54B31FAF"/>
    <w:rsid w:val="54FB4092"/>
    <w:rsid w:val="5520610B"/>
    <w:rsid w:val="5524472E"/>
    <w:rsid w:val="55326D63"/>
    <w:rsid w:val="55332A56"/>
    <w:rsid w:val="55484F36"/>
    <w:rsid w:val="555D1A10"/>
    <w:rsid w:val="557F6D1A"/>
    <w:rsid w:val="55CE2B4A"/>
    <w:rsid w:val="560449EF"/>
    <w:rsid w:val="56152B28"/>
    <w:rsid w:val="562338FD"/>
    <w:rsid w:val="56440315"/>
    <w:rsid w:val="56574DB7"/>
    <w:rsid w:val="566766E5"/>
    <w:rsid w:val="568A5206"/>
    <w:rsid w:val="56AC4A78"/>
    <w:rsid w:val="56BE449A"/>
    <w:rsid w:val="56C502EA"/>
    <w:rsid w:val="56DB16B9"/>
    <w:rsid w:val="56DE4C90"/>
    <w:rsid w:val="56F03CB1"/>
    <w:rsid w:val="572F3F4E"/>
    <w:rsid w:val="57442EFB"/>
    <w:rsid w:val="574436DA"/>
    <w:rsid w:val="577A3463"/>
    <w:rsid w:val="57BD5228"/>
    <w:rsid w:val="57DB3DF1"/>
    <w:rsid w:val="57F967AD"/>
    <w:rsid w:val="58052975"/>
    <w:rsid w:val="582D112D"/>
    <w:rsid w:val="583152CE"/>
    <w:rsid w:val="58AF0BB8"/>
    <w:rsid w:val="58D802CE"/>
    <w:rsid w:val="58E525CA"/>
    <w:rsid w:val="58FA1B64"/>
    <w:rsid w:val="59351174"/>
    <w:rsid w:val="593B5DDE"/>
    <w:rsid w:val="593D045A"/>
    <w:rsid w:val="59473F47"/>
    <w:rsid w:val="5960739E"/>
    <w:rsid w:val="5976568E"/>
    <w:rsid w:val="59896D0A"/>
    <w:rsid w:val="59AC73AD"/>
    <w:rsid w:val="59B72684"/>
    <w:rsid w:val="59CC6E29"/>
    <w:rsid w:val="59CE7D0B"/>
    <w:rsid w:val="59CF110D"/>
    <w:rsid w:val="59F66B3A"/>
    <w:rsid w:val="5A0532BF"/>
    <w:rsid w:val="5A3B615E"/>
    <w:rsid w:val="5A6E4EEC"/>
    <w:rsid w:val="5A9579AE"/>
    <w:rsid w:val="5AC468CD"/>
    <w:rsid w:val="5ACB1A0A"/>
    <w:rsid w:val="5ACB3B4E"/>
    <w:rsid w:val="5B342B9A"/>
    <w:rsid w:val="5B3936BE"/>
    <w:rsid w:val="5B492591"/>
    <w:rsid w:val="5B4B0ABD"/>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EE76A1"/>
    <w:rsid w:val="5D0C57B5"/>
    <w:rsid w:val="5D153EC6"/>
    <w:rsid w:val="5D8D085B"/>
    <w:rsid w:val="5D9539D7"/>
    <w:rsid w:val="5DBF6C59"/>
    <w:rsid w:val="5E1D6F56"/>
    <w:rsid w:val="5E4333EB"/>
    <w:rsid w:val="5E52187F"/>
    <w:rsid w:val="5E6A13CD"/>
    <w:rsid w:val="5E705D15"/>
    <w:rsid w:val="5E92274E"/>
    <w:rsid w:val="5E93326C"/>
    <w:rsid w:val="5E9F1A7A"/>
    <w:rsid w:val="5EAB19DE"/>
    <w:rsid w:val="5EB32EE1"/>
    <w:rsid w:val="5EC857E1"/>
    <w:rsid w:val="5EFB4BA4"/>
    <w:rsid w:val="5F0535BA"/>
    <w:rsid w:val="5F0A2EB1"/>
    <w:rsid w:val="5F1F3F1B"/>
    <w:rsid w:val="5F5F46B5"/>
    <w:rsid w:val="5F6505FD"/>
    <w:rsid w:val="5F654690"/>
    <w:rsid w:val="5F746EA8"/>
    <w:rsid w:val="5F895CFD"/>
    <w:rsid w:val="5FB25360"/>
    <w:rsid w:val="5FB82DF5"/>
    <w:rsid w:val="5FBA3CC0"/>
    <w:rsid w:val="5FD807F5"/>
    <w:rsid w:val="5FD90D61"/>
    <w:rsid w:val="60122598"/>
    <w:rsid w:val="60177697"/>
    <w:rsid w:val="602329DB"/>
    <w:rsid w:val="602C13CC"/>
    <w:rsid w:val="603C30B0"/>
    <w:rsid w:val="604D2EC1"/>
    <w:rsid w:val="60736DCB"/>
    <w:rsid w:val="607777D6"/>
    <w:rsid w:val="607B63D6"/>
    <w:rsid w:val="607D4389"/>
    <w:rsid w:val="60911000"/>
    <w:rsid w:val="60996A4F"/>
    <w:rsid w:val="60BC76A1"/>
    <w:rsid w:val="60D94443"/>
    <w:rsid w:val="61021EFD"/>
    <w:rsid w:val="610B7637"/>
    <w:rsid w:val="612631A2"/>
    <w:rsid w:val="615F5624"/>
    <w:rsid w:val="61720EED"/>
    <w:rsid w:val="61BE4076"/>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42085E"/>
    <w:rsid w:val="636F415C"/>
    <w:rsid w:val="63754A1B"/>
    <w:rsid w:val="63852ED6"/>
    <w:rsid w:val="63F40F8B"/>
    <w:rsid w:val="640F4C9F"/>
    <w:rsid w:val="64372D3D"/>
    <w:rsid w:val="64785A9C"/>
    <w:rsid w:val="64917820"/>
    <w:rsid w:val="64AA1CC5"/>
    <w:rsid w:val="651C646F"/>
    <w:rsid w:val="651D5BE5"/>
    <w:rsid w:val="65204E75"/>
    <w:rsid w:val="65646CE3"/>
    <w:rsid w:val="656B2909"/>
    <w:rsid w:val="65A3045D"/>
    <w:rsid w:val="65AD2015"/>
    <w:rsid w:val="65C04C39"/>
    <w:rsid w:val="65C222CF"/>
    <w:rsid w:val="65D97752"/>
    <w:rsid w:val="65E25E59"/>
    <w:rsid w:val="65F903DC"/>
    <w:rsid w:val="65FB005C"/>
    <w:rsid w:val="6609788A"/>
    <w:rsid w:val="661047DD"/>
    <w:rsid w:val="661C4D37"/>
    <w:rsid w:val="66242736"/>
    <w:rsid w:val="66307F76"/>
    <w:rsid w:val="663B69C4"/>
    <w:rsid w:val="66564F2B"/>
    <w:rsid w:val="665761F7"/>
    <w:rsid w:val="66580EAF"/>
    <w:rsid w:val="66694D0D"/>
    <w:rsid w:val="667A1C2F"/>
    <w:rsid w:val="667B4472"/>
    <w:rsid w:val="66AA6977"/>
    <w:rsid w:val="66BC0B99"/>
    <w:rsid w:val="66D435C2"/>
    <w:rsid w:val="66E40473"/>
    <w:rsid w:val="66EB550E"/>
    <w:rsid w:val="66F041A8"/>
    <w:rsid w:val="67056EA1"/>
    <w:rsid w:val="671109C3"/>
    <w:rsid w:val="6721178A"/>
    <w:rsid w:val="6739399A"/>
    <w:rsid w:val="673F39DE"/>
    <w:rsid w:val="674C5D22"/>
    <w:rsid w:val="67663AF8"/>
    <w:rsid w:val="67762CFD"/>
    <w:rsid w:val="6777598C"/>
    <w:rsid w:val="677A678D"/>
    <w:rsid w:val="67815A82"/>
    <w:rsid w:val="67980D1B"/>
    <w:rsid w:val="68011379"/>
    <w:rsid w:val="680D1D06"/>
    <w:rsid w:val="681462BE"/>
    <w:rsid w:val="68157452"/>
    <w:rsid w:val="68252C37"/>
    <w:rsid w:val="683C7AA3"/>
    <w:rsid w:val="68572B2F"/>
    <w:rsid w:val="686A495D"/>
    <w:rsid w:val="68817BAC"/>
    <w:rsid w:val="68852F89"/>
    <w:rsid w:val="689A5E59"/>
    <w:rsid w:val="68BF65E6"/>
    <w:rsid w:val="68CC4C87"/>
    <w:rsid w:val="68EE72DF"/>
    <w:rsid w:val="692E2EB0"/>
    <w:rsid w:val="694035C3"/>
    <w:rsid w:val="69485FEA"/>
    <w:rsid w:val="694C7BCA"/>
    <w:rsid w:val="69677DC0"/>
    <w:rsid w:val="69937EC7"/>
    <w:rsid w:val="69D64558"/>
    <w:rsid w:val="69E23E3D"/>
    <w:rsid w:val="6A042548"/>
    <w:rsid w:val="6A196F4E"/>
    <w:rsid w:val="6A304492"/>
    <w:rsid w:val="6A471EFD"/>
    <w:rsid w:val="6A5B587F"/>
    <w:rsid w:val="6A90616B"/>
    <w:rsid w:val="6AA64288"/>
    <w:rsid w:val="6AB57116"/>
    <w:rsid w:val="6ABF0D91"/>
    <w:rsid w:val="6AE73176"/>
    <w:rsid w:val="6B0A525B"/>
    <w:rsid w:val="6B17424A"/>
    <w:rsid w:val="6B2218FA"/>
    <w:rsid w:val="6B691672"/>
    <w:rsid w:val="6B755FDA"/>
    <w:rsid w:val="6B7D64E9"/>
    <w:rsid w:val="6BB640C5"/>
    <w:rsid w:val="6BCF0C2E"/>
    <w:rsid w:val="6BD06892"/>
    <w:rsid w:val="6BE33C8F"/>
    <w:rsid w:val="6BE526B4"/>
    <w:rsid w:val="6BE97F42"/>
    <w:rsid w:val="6C3A0859"/>
    <w:rsid w:val="6C416AD8"/>
    <w:rsid w:val="6C5E6A51"/>
    <w:rsid w:val="6C6513C3"/>
    <w:rsid w:val="6C744268"/>
    <w:rsid w:val="6C8407E5"/>
    <w:rsid w:val="6CC60283"/>
    <w:rsid w:val="6CCD388D"/>
    <w:rsid w:val="6CD62D03"/>
    <w:rsid w:val="6CD97FB6"/>
    <w:rsid w:val="6CDA233C"/>
    <w:rsid w:val="6CDC1927"/>
    <w:rsid w:val="6D170809"/>
    <w:rsid w:val="6D302CD4"/>
    <w:rsid w:val="6D4B22B8"/>
    <w:rsid w:val="6D663E0B"/>
    <w:rsid w:val="6D930013"/>
    <w:rsid w:val="6DA828B1"/>
    <w:rsid w:val="6DB12928"/>
    <w:rsid w:val="6DE05CD4"/>
    <w:rsid w:val="6DFF1C9E"/>
    <w:rsid w:val="6E1374F8"/>
    <w:rsid w:val="6E1A1656"/>
    <w:rsid w:val="6E1C6A73"/>
    <w:rsid w:val="6E231DD6"/>
    <w:rsid w:val="6E337CDC"/>
    <w:rsid w:val="6E404513"/>
    <w:rsid w:val="6E5A5288"/>
    <w:rsid w:val="6E614EA5"/>
    <w:rsid w:val="6E6715F2"/>
    <w:rsid w:val="6E6F0172"/>
    <w:rsid w:val="6E76199A"/>
    <w:rsid w:val="6EA12B0F"/>
    <w:rsid w:val="6EE013EE"/>
    <w:rsid w:val="6EE079F1"/>
    <w:rsid w:val="6EE42C42"/>
    <w:rsid w:val="6F1B5C73"/>
    <w:rsid w:val="6F211A55"/>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E64CC7"/>
    <w:rsid w:val="71047C73"/>
    <w:rsid w:val="7109004F"/>
    <w:rsid w:val="710F390D"/>
    <w:rsid w:val="71103167"/>
    <w:rsid w:val="712E56F7"/>
    <w:rsid w:val="7148570A"/>
    <w:rsid w:val="7156627F"/>
    <w:rsid w:val="71642194"/>
    <w:rsid w:val="71691ABB"/>
    <w:rsid w:val="71815087"/>
    <w:rsid w:val="7183799B"/>
    <w:rsid w:val="71AE1AEA"/>
    <w:rsid w:val="71BD3E64"/>
    <w:rsid w:val="71C852BA"/>
    <w:rsid w:val="71CF3B6C"/>
    <w:rsid w:val="71DE77FE"/>
    <w:rsid w:val="71ED53C5"/>
    <w:rsid w:val="71F80F33"/>
    <w:rsid w:val="722111CB"/>
    <w:rsid w:val="722922C6"/>
    <w:rsid w:val="722D46B7"/>
    <w:rsid w:val="722E6D97"/>
    <w:rsid w:val="724D6E70"/>
    <w:rsid w:val="72632F3A"/>
    <w:rsid w:val="728121EC"/>
    <w:rsid w:val="72874010"/>
    <w:rsid w:val="72936E59"/>
    <w:rsid w:val="72A56BA8"/>
    <w:rsid w:val="72AB7FF8"/>
    <w:rsid w:val="72BE454D"/>
    <w:rsid w:val="72C05852"/>
    <w:rsid w:val="72F759AB"/>
    <w:rsid w:val="73020F0E"/>
    <w:rsid w:val="730701C4"/>
    <w:rsid w:val="73154F5B"/>
    <w:rsid w:val="732D4B5D"/>
    <w:rsid w:val="73393C88"/>
    <w:rsid w:val="734E3933"/>
    <w:rsid w:val="7362513F"/>
    <w:rsid w:val="7372081D"/>
    <w:rsid w:val="73740A39"/>
    <w:rsid w:val="73771D49"/>
    <w:rsid w:val="737F240C"/>
    <w:rsid w:val="739049CF"/>
    <w:rsid w:val="73A1354E"/>
    <w:rsid w:val="73A91864"/>
    <w:rsid w:val="73AE2AAC"/>
    <w:rsid w:val="73BA5FD6"/>
    <w:rsid w:val="73CD0FA0"/>
    <w:rsid w:val="73E544F1"/>
    <w:rsid w:val="742A10F7"/>
    <w:rsid w:val="74466A1C"/>
    <w:rsid w:val="745253E2"/>
    <w:rsid w:val="74A11E7D"/>
    <w:rsid w:val="74AC62F7"/>
    <w:rsid w:val="74AF76ED"/>
    <w:rsid w:val="74B25745"/>
    <w:rsid w:val="74B46F86"/>
    <w:rsid w:val="74F97739"/>
    <w:rsid w:val="74FB18F9"/>
    <w:rsid w:val="75465BBF"/>
    <w:rsid w:val="75590B0A"/>
    <w:rsid w:val="7582279F"/>
    <w:rsid w:val="75843EB5"/>
    <w:rsid w:val="759F4605"/>
    <w:rsid w:val="75AB44BA"/>
    <w:rsid w:val="75BB71AF"/>
    <w:rsid w:val="75D05731"/>
    <w:rsid w:val="75F01962"/>
    <w:rsid w:val="75F145C2"/>
    <w:rsid w:val="760E19DF"/>
    <w:rsid w:val="7615653D"/>
    <w:rsid w:val="761B75CE"/>
    <w:rsid w:val="762116DB"/>
    <w:rsid w:val="76517CAC"/>
    <w:rsid w:val="76676A53"/>
    <w:rsid w:val="76741165"/>
    <w:rsid w:val="768153C1"/>
    <w:rsid w:val="769E78D2"/>
    <w:rsid w:val="76B620A1"/>
    <w:rsid w:val="76CF67D0"/>
    <w:rsid w:val="76F20814"/>
    <w:rsid w:val="77001F24"/>
    <w:rsid w:val="770D5E61"/>
    <w:rsid w:val="771A5453"/>
    <w:rsid w:val="771B2BF8"/>
    <w:rsid w:val="77214B01"/>
    <w:rsid w:val="77462524"/>
    <w:rsid w:val="7754544E"/>
    <w:rsid w:val="775D7201"/>
    <w:rsid w:val="77673D84"/>
    <w:rsid w:val="7778770E"/>
    <w:rsid w:val="779A7EBA"/>
    <w:rsid w:val="77A21064"/>
    <w:rsid w:val="77A90F64"/>
    <w:rsid w:val="77BA4E88"/>
    <w:rsid w:val="77E34EB2"/>
    <w:rsid w:val="78027672"/>
    <w:rsid w:val="781564B8"/>
    <w:rsid w:val="78224ACF"/>
    <w:rsid w:val="784A620C"/>
    <w:rsid w:val="78654DF4"/>
    <w:rsid w:val="788A2AAC"/>
    <w:rsid w:val="78936F61"/>
    <w:rsid w:val="78CD6DCC"/>
    <w:rsid w:val="78D07CAF"/>
    <w:rsid w:val="78DE12D7"/>
    <w:rsid w:val="78FC2038"/>
    <w:rsid w:val="78FC33D7"/>
    <w:rsid w:val="79183D69"/>
    <w:rsid w:val="79210683"/>
    <w:rsid w:val="79534C4C"/>
    <w:rsid w:val="79690914"/>
    <w:rsid w:val="797B41A3"/>
    <w:rsid w:val="79951709"/>
    <w:rsid w:val="799C3465"/>
    <w:rsid w:val="79B14EC4"/>
    <w:rsid w:val="79BE1ECC"/>
    <w:rsid w:val="79C066C2"/>
    <w:rsid w:val="79CE69C9"/>
    <w:rsid w:val="7A024BBA"/>
    <w:rsid w:val="7A2A6B4A"/>
    <w:rsid w:val="7A66105B"/>
    <w:rsid w:val="7A681070"/>
    <w:rsid w:val="7A71506F"/>
    <w:rsid w:val="7A7E1B39"/>
    <w:rsid w:val="7A860C7C"/>
    <w:rsid w:val="7AB16925"/>
    <w:rsid w:val="7AB879FE"/>
    <w:rsid w:val="7AC96BBD"/>
    <w:rsid w:val="7B250F87"/>
    <w:rsid w:val="7B3264DD"/>
    <w:rsid w:val="7B7374F2"/>
    <w:rsid w:val="7B81188A"/>
    <w:rsid w:val="7B9C495B"/>
    <w:rsid w:val="7B9E2902"/>
    <w:rsid w:val="7BBA14B3"/>
    <w:rsid w:val="7BC854E2"/>
    <w:rsid w:val="7BED3460"/>
    <w:rsid w:val="7C0562EC"/>
    <w:rsid w:val="7C1F58E4"/>
    <w:rsid w:val="7C27683F"/>
    <w:rsid w:val="7C330D65"/>
    <w:rsid w:val="7C4D0079"/>
    <w:rsid w:val="7C502792"/>
    <w:rsid w:val="7C8B6DF3"/>
    <w:rsid w:val="7C92265B"/>
    <w:rsid w:val="7CB14B4D"/>
    <w:rsid w:val="7CB479A6"/>
    <w:rsid w:val="7CF26969"/>
    <w:rsid w:val="7CF6528D"/>
    <w:rsid w:val="7CF96E16"/>
    <w:rsid w:val="7D0E5A5A"/>
    <w:rsid w:val="7D25523C"/>
    <w:rsid w:val="7D434BA5"/>
    <w:rsid w:val="7D5E1216"/>
    <w:rsid w:val="7D660BE8"/>
    <w:rsid w:val="7DA553F4"/>
    <w:rsid w:val="7DB23041"/>
    <w:rsid w:val="7E003759"/>
    <w:rsid w:val="7E200E4E"/>
    <w:rsid w:val="7E514E49"/>
    <w:rsid w:val="7E5632B4"/>
    <w:rsid w:val="7E5F5463"/>
    <w:rsid w:val="7E5F7809"/>
    <w:rsid w:val="7E620A5F"/>
    <w:rsid w:val="7E66156B"/>
    <w:rsid w:val="7E812A19"/>
    <w:rsid w:val="7E9E4BBC"/>
    <w:rsid w:val="7EAF2C64"/>
    <w:rsid w:val="7EB22415"/>
    <w:rsid w:val="7EB904A9"/>
    <w:rsid w:val="7ECE5D75"/>
    <w:rsid w:val="7ED56C53"/>
    <w:rsid w:val="7EEA1BAF"/>
    <w:rsid w:val="7EF32454"/>
    <w:rsid w:val="7F0F270F"/>
    <w:rsid w:val="7F3541C2"/>
    <w:rsid w:val="7F412978"/>
    <w:rsid w:val="7F5460D4"/>
    <w:rsid w:val="7F552892"/>
    <w:rsid w:val="7F6A0F42"/>
    <w:rsid w:val="7F8477C4"/>
    <w:rsid w:val="7F8A5E48"/>
    <w:rsid w:val="7F9C388A"/>
    <w:rsid w:val="7FBD5515"/>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00" w:firstLineChars="200"/>
      <w:jc w:val="both"/>
    </w:pPr>
    <w:rPr>
      <w:rFonts w:asciiTheme="minorAscii" w:hAnsiTheme="minorAscii" w:eastAsiaTheme="minorEastAsia" w:cstheme="minorBidi"/>
      <w:kern w:val="2"/>
      <w:sz w:val="21"/>
      <w:szCs w:val="22"/>
      <w:lang w:val="en-US" w:eastAsia="zh-CN" w:bidi="ar-SA"/>
    </w:rPr>
  </w:style>
  <w:style w:type="paragraph" w:styleId="2">
    <w:name w:val="heading 1"/>
    <w:basedOn w:val="3"/>
    <w:next w:val="1"/>
    <w:link w:val="51"/>
    <w:qFormat/>
    <w:uiPriority w:val="9"/>
    <w:pPr>
      <w:keepNext/>
      <w:keepLines/>
      <w:jc w:val="center"/>
      <w:outlineLvl w:val="0"/>
    </w:pPr>
    <w:rPr>
      <w:b/>
      <w:bCs/>
      <w:kern w:val="44"/>
      <w:sz w:val="36"/>
      <w:szCs w:val="44"/>
    </w:rPr>
  </w:style>
  <w:style w:type="paragraph" w:styleId="4">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150"/>
    <w:unhideWhenUsed/>
    <w:qFormat/>
    <w:uiPriority w:val="9"/>
    <w:pPr>
      <w:keepNext/>
      <w:keepLines/>
      <w:spacing w:before="240" w:after="64" w:line="317" w:lineRule="auto"/>
      <w:outlineLvl w:val="6"/>
    </w:pPr>
    <w:rPr>
      <w:b/>
      <w:sz w:val="24"/>
    </w:rPr>
  </w:style>
  <w:style w:type="paragraph" w:styleId="10">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11">
    <w:name w:val="toc 7"/>
    <w:basedOn w:val="1"/>
    <w:next w:val="1"/>
    <w:qFormat/>
    <w:uiPriority w:val="39"/>
    <w:pPr>
      <w:ind w:left="1440"/>
      <w:jc w:val="left"/>
    </w:pPr>
    <w:rPr>
      <w:rFonts w:ascii="Calibri" w:hAnsi="Calibri" w:eastAsia="宋体" w:cs="Times New Roman"/>
      <w:sz w:val="18"/>
      <w:szCs w:val="18"/>
    </w:rPr>
  </w:style>
  <w:style w:type="paragraph" w:styleId="12">
    <w:name w:val="Normal Indent"/>
    <w:basedOn w:val="1"/>
    <w:next w:val="13"/>
    <w:qFormat/>
    <w:uiPriority w:val="0"/>
    <w:pPr>
      <w:ind w:firstLine="420"/>
    </w:pPr>
    <w:rPr>
      <w:rFonts w:ascii="Times New Roman" w:hAnsi="Times New Roman"/>
      <w:kern w:val="0"/>
      <w:sz w:val="20"/>
      <w:szCs w:val="20"/>
    </w:rPr>
  </w:style>
  <w:style w:type="paragraph" w:styleId="13">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4">
    <w:name w:val="caption"/>
    <w:basedOn w:val="1"/>
    <w:next w:val="1"/>
    <w:qFormat/>
    <w:uiPriority w:val="35"/>
    <w:pPr>
      <w:spacing w:before="152" w:after="160"/>
    </w:pPr>
    <w:rPr>
      <w:rFonts w:ascii="Arial" w:hAnsi="Arial" w:eastAsia="黑体" w:cs="Arial"/>
      <w:sz w:val="20"/>
      <w:szCs w:val="20"/>
    </w:rPr>
  </w:style>
  <w:style w:type="paragraph" w:styleId="15">
    <w:name w:val="Document Map"/>
    <w:basedOn w:val="1"/>
    <w:link w:val="74"/>
    <w:qFormat/>
    <w:uiPriority w:val="0"/>
    <w:pPr>
      <w:shd w:val="clear" w:color="auto" w:fill="000080"/>
    </w:pPr>
    <w:rPr>
      <w:sz w:val="24"/>
    </w:rPr>
  </w:style>
  <w:style w:type="paragraph" w:styleId="16">
    <w:name w:val="toa heading"/>
    <w:basedOn w:val="1"/>
    <w:next w:val="1"/>
    <w:qFormat/>
    <w:uiPriority w:val="99"/>
    <w:pPr>
      <w:spacing w:before="120"/>
    </w:pPr>
    <w:rPr>
      <w:rFonts w:ascii="Arial" w:hAnsi="Arial" w:eastAsia="宋体" w:cs="Arial"/>
      <w:sz w:val="24"/>
      <w:szCs w:val="24"/>
    </w:rPr>
  </w:style>
  <w:style w:type="paragraph" w:styleId="17">
    <w:name w:val="annotation text"/>
    <w:basedOn w:val="1"/>
    <w:link w:val="65"/>
    <w:qFormat/>
    <w:uiPriority w:val="0"/>
    <w:pPr>
      <w:jc w:val="left"/>
    </w:pPr>
  </w:style>
  <w:style w:type="paragraph" w:styleId="18">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9">
    <w:name w:val="Body Text Indent"/>
    <w:basedOn w:val="1"/>
    <w:link w:val="83"/>
    <w:qFormat/>
    <w:uiPriority w:val="99"/>
    <w:pPr>
      <w:spacing w:after="120"/>
      <w:ind w:left="420" w:leftChars="200"/>
    </w:pPr>
    <w:rPr>
      <w:rFonts w:ascii="Calibri" w:hAnsi="Calibri" w:eastAsia="宋体" w:cs="Times New Roman"/>
      <w:szCs w:val="20"/>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960"/>
      <w:jc w:val="left"/>
    </w:pPr>
    <w:rPr>
      <w:rFonts w:ascii="Calibri" w:hAnsi="Calibri" w:eastAsia="宋体" w:cs="Times New Roman"/>
      <w:sz w:val="18"/>
      <w:szCs w:val="18"/>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7"/>
    <w:next w:val="17"/>
    <w:link w:val="56"/>
    <w:qFormat/>
    <w:uiPriority w:val="0"/>
    <w:rPr>
      <w:b/>
    </w:rPr>
  </w:style>
  <w:style w:type="paragraph" w:styleId="40">
    <w:name w:val="Body Text First Indent 2"/>
    <w:basedOn w:val="19"/>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4"/>
    <w:qFormat/>
    <w:uiPriority w:val="9"/>
    <w:rPr>
      <w:rFonts w:ascii="Arial" w:hAnsi="Arial" w:eastAsia="宋体" w:cs="Times New Roman"/>
      <w:b/>
      <w:bCs/>
      <w:sz w:val="24"/>
      <w:szCs w:val="32"/>
    </w:rPr>
  </w:style>
  <w:style w:type="character" w:customStyle="1" w:styleId="53">
    <w:name w:val="标题 3 字符"/>
    <w:basedOn w:val="43"/>
    <w:link w:val="5"/>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7"/>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5"/>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9"/>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3"/>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4"/>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5"/>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8"/>
    <w:qFormat/>
    <w:uiPriority w:val="9"/>
    <w:rPr>
      <w:rFonts w:ascii="Arial" w:hAnsi="Arial" w:eastAsia="黑体" w:cstheme="minorBidi"/>
      <w:b/>
      <w:kern w:val="2"/>
      <w:sz w:val="24"/>
      <w:szCs w:val="22"/>
    </w:rPr>
  </w:style>
  <w:style w:type="character" w:customStyle="1" w:styleId="150">
    <w:name w:val="标题 7 字符"/>
    <w:basedOn w:val="43"/>
    <w:link w:val="9"/>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10"/>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6"/>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5.png"/><Relationship Id="rId53" Type="http://schemas.openxmlformats.org/officeDocument/2006/relationships/image" Target="media/image14.png"/><Relationship Id="rId52" Type="http://schemas.openxmlformats.org/officeDocument/2006/relationships/image" Target="media/image13.png"/><Relationship Id="rId51" Type="http://schemas.openxmlformats.org/officeDocument/2006/relationships/image" Target="media/image12.png"/><Relationship Id="rId50" Type="http://schemas.openxmlformats.org/officeDocument/2006/relationships/image" Target="media/image11.png"/><Relationship Id="rId5" Type="http://schemas.openxmlformats.org/officeDocument/2006/relationships/header" Target="header1.xml"/><Relationship Id="rId49" Type="http://schemas.openxmlformats.org/officeDocument/2006/relationships/image" Target="media/image10.png"/><Relationship Id="rId48" Type="http://schemas.openxmlformats.org/officeDocument/2006/relationships/image" Target="media/image9.png"/><Relationship Id="rId47" Type="http://schemas.openxmlformats.org/officeDocument/2006/relationships/image" Target="media/image8.png"/><Relationship Id="rId46" Type="http://schemas.openxmlformats.org/officeDocument/2006/relationships/image" Target="media/image7.png"/><Relationship Id="rId45" Type="http://schemas.openxmlformats.org/officeDocument/2006/relationships/image" Target="media/image6.png"/><Relationship Id="rId44" Type="http://schemas.openxmlformats.org/officeDocument/2006/relationships/image" Target="media/image5.png"/><Relationship Id="rId43" Type="http://schemas.openxmlformats.org/officeDocument/2006/relationships/image" Target="media/image4.png"/><Relationship Id="rId42" Type="http://schemas.openxmlformats.org/officeDocument/2006/relationships/image" Target="media/image3.png"/><Relationship Id="rId41" Type="http://schemas.openxmlformats.org/officeDocument/2006/relationships/image" Target="media/image2.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26.xml"/><Relationship Id="rId38" Type="http://schemas.openxmlformats.org/officeDocument/2006/relationships/footer" Target="footer25.xml"/><Relationship Id="rId37" Type="http://schemas.openxmlformats.org/officeDocument/2006/relationships/header" Target="header9.xml"/><Relationship Id="rId36" Type="http://schemas.openxmlformats.org/officeDocument/2006/relationships/header" Target="header8.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header" Target="header7.xml"/><Relationship Id="rId32" Type="http://schemas.openxmlformats.org/officeDocument/2006/relationships/header" Target="header6.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84</Pages>
  <Words>4354</Words>
  <Characters>4673</Characters>
  <Lines>371</Lines>
  <Paragraphs>104</Paragraphs>
  <TotalTime>79</TotalTime>
  <ScaleCrop>false</ScaleCrop>
  <LinksUpToDate>false</LinksUpToDate>
  <CharactersWithSpaces>4817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张晓庆</cp:lastModifiedBy>
  <cp:lastPrinted>2025-03-10T09:40:00Z</cp:lastPrinted>
  <dcterms:modified xsi:type="dcterms:W3CDTF">2026-11-02T09:10:58Z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5948DFADC8CA410A8CDBF99D6A6F2795_13</vt:lpwstr>
  </property>
  <property fmtid="{D5CDD505-2E9C-101B-9397-08002B2CF9AE}" pid="4" name="KSOTemplateDocerSaveRecord">
    <vt:lpwstr>eyJoZGlkIjoiMWVhNDhmMDMxNGM3ODM1MjU3M2FlOGVlOWQyZjc3NmYiLCJ1c2VySWQiOiIxNzY1MTkzNjY1In0=</vt:lpwstr>
  </property>
</Properties>
</file>